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color w:val="auto"/>
          <w:sz w:val="24"/>
          <w:u w:val="none"/>
        </w:rPr>
      </w:pPr>
    </w:p>
    <w:p w14:paraId="781F0199">
      <w:pPr>
        <w:spacing w:line="360" w:lineRule="auto"/>
        <w:jc w:val="center"/>
        <w:rPr>
          <w:rFonts w:ascii="宋体" w:hAnsi="宋体"/>
          <w:color w:val="auto"/>
          <w:sz w:val="24"/>
          <w:u w:val="none"/>
        </w:rPr>
      </w:pPr>
    </w:p>
    <w:p w14:paraId="588D4AEF">
      <w:pPr>
        <w:spacing w:line="360" w:lineRule="auto"/>
        <w:jc w:val="center"/>
        <w:rPr>
          <w:rFonts w:ascii="宋体" w:hAnsi="宋体"/>
          <w:color w:val="auto"/>
          <w:sz w:val="24"/>
          <w:u w:val="none"/>
        </w:rPr>
      </w:pPr>
    </w:p>
    <w:p w14:paraId="3F809282">
      <w:pPr>
        <w:spacing w:line="360" w:lineRule="auto"/>
        <w:jc w:val="center"/>
        <w:rPr>
          <w:rFonts w:ascii="宋体" w:hAnsi="宋体"/>
          <w:color w:val="auto"/>
          <w:sz w:val="24"/>
          <w:u w:val="none"/>
        </w:rPr>
      </w:pPr>
      <w:bookmarkStart w:id="1" w:name="_GoBack"/>
      <w:bookmarkEnd w:id="1"/>
    </w:p>
    <w:p w14:paraId="78F55EB3">
      <w:pPr>
        <w:spacing w:line="360" w:lineRule="auto"/>
        <w:jc w:val="center"/>
        <w:rPr>
          <w:rFonts w:hint="eastAsia" w:ascii="宋体" w:hAnsi="宋体"/>
          <w:b/>
          <w:bCs/>
          <w:color w:val="auto"/>
          <w:sz w:val="52"/>
          <w:szCs w:val="52"/>
          <w:u w:val="none"/>
        </w:rPr>
      </w:pPr>
      <w:r>
        <w:rPr>
          <w:rFonts w:ascii="宋体" w:hAnsi="宋体"/>
          <w:b/>
          <w:bCs/>
          <w:color w:val="auto"/>
          <w:sz w:val="52"/>
          <w:szCs w:val="52"/>
          <w:u w:val="none"/>
        </w:rPr>
        <w:t>2025</w:t>
      </w:r>
      <w:r>
        <w:rPr>
          <w:rFonts w:hint="eastAsia" w:ascii="宋体" w:hAnsi="宋体"/>
          <w:b/>
          <w:bCs/>
          <w:color w:val="auto"/>
          <w:sz w:val="52"/>
          <w:szCs w:val="52"/>
          <w:u w:val="none"/>
        </w:rPr>
        <w:t>年度内蒙古自治区特种设备</w:t>
      </w:r>
    </w:p>
    <w:p w14:paraId="42815D58">
      <w:pPr>
        <w:spacing w:line="360" w:lineRule="auto"/>
        <w:jc w:val="center"/>
        <w:rPr>
          <w:rFonts w:ascii="宋体" w:hAnsi="宋体"/>
          <w:b/>
          <w:bCs/>
          <w:color w:val="auto"/>
          <w:sz w:val="52"/>
          <w:szCs w:val="52"/>
          <w:u w:val="none"/>
        </w:rPr>
      </w:pPr>
      <w:r>
        <w:rPr>
          <w:rFonts w:hint="eastAsia" w:ascii="宋体" w:hAnsi="宋体"/>
          <w:b/>
          <w:bCs/>
          <w:color w:val="auto"/>
          <w:sz w:val="52"/>
          <w:szCs w:val="52"/>
          <w:u w:val="none"/>
        </w:rPr>
        <w:t>检验研究院包头分院</w:t>
      </w:r>
    </w:p>
    <w:p w14:paraId="77E6C3D2">
      <w:pPr>
        <w:spacing w:line="360" w:lineRule="auto"/>
        <w:jc w:val="center"/>
        <w:rPr>
          <w:rFonts w:ascii="宋体" w:hAnsi="宋体"/>
          <w:b/>
          <w:bCs/>
          <w:color w:val="auto"/>
          <w:sz w:val="52"/>
          <w:szCs w:val="52"/>
          <w:u w:val="none"/>
        </w:rPr>
      </w:pPr>
      <w:r>
        <w:rPr>
          <w:rFonts w:hint="eastAsia" w:ascii="宋体" w:hAnsi="宋体"/>
          <w:b/>
          <w:bCs/>
          <w:color w:val="auto"/>
          <w:sz w:val="52"/>
          <w:szCs w:val="52"/>
          <w:u w:val="none"/>
        </w:rPr>
        <w:t>公开报告</w:t>
      </w:r>
    </w:p>
    <w:p w14:paraId="6AF33ABC">
      <w:pPr>
        <w:spacing w:line="360" w:lineRule="auto"/>
        <w:jc w:val="center"/>
        <w:rPr>
          <w:rFonts w:ascii="宋体" w:hAnsi="宋体"/>
          <w:b/>
          <w:bCs/>
          <w:color w:val="auto"/>
          <w:sz w:val="52"/>
          <w:szCs w:val="52"/>
          <w:u w:val="none"/>
        </w:rPr>
      </w:pPr>
    </w:p>
    <w:p w14:paraId="10212A6C">
      <w:pPr>
        <w:spacing w:line="360" w:lineRule="auto"/>
        <w:jc w:val="center"/>
        <w:rPr>
          <w:rFonts w:ascii="宋体" w:hAnsi="宋体"/>
          <w:b/>
          <w:bCs/>
          <w:color w:val="auto"/>
          <w:sz w:val="52"/>
          <w:szCs w:val="52"/>
          <w:u w:val="none"/>
        </w:rPr>
      </w:pPr>
    </w:p>
    <w:p w14:paraId="636528E7">
      <w:pPr>
        <w:spacing w:line="360" w:lineRule="auto"/>
        <w:jc w:val="center"/>
        <w:rPr>
          <w:rFonts w:ascii="宋体" w:hAnsi="宋体"/>
          <w:b/>
          <w:bCs/>
          <w:color w:val="auto"/>
          <w:sz w:val="52"/>
          <w:szCs w:val="52"/>
          <w:u w:val="none"/>
        </w:rPr>
      </w:pPr>
    </w:p>
    <w:p w14:paraId="3ADF248C">
      <w:pPr>
        <w:spacing w:line="360" w:lineRule="auto"/>
        <w:jc w:val="center"/>
        <w:rPr>
          <w:rFonts w:ascii="宋体" w:hAnsi="宋体"/>
          <w:b/>
          <w:bCs/>
          <w:color w:val="auto"/>
          <w:sz w:val="52"/>
          <w:szCs w:val="52"/>
          <w:u w:val="none"/>
        </w:rPr>
      </w:pPr>
    </w:p>
    <w:p w14:paraId="4833DAB2">
      <w:pPr>
        <w:spacing w:line="360" w:lineRule="auto"/>
        <w:ind w:firstLine="2560" w:firstLineChars="800"/>
        <w:jc w:val="both"/>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单位名称：内蒙古自治区特种设备检验研究院包头分院</w:t>
      </w:r>
    </w:p>
    <w:p w14:paraId="19BA1B67">
      <w:pPr>
        <w:spacing w:line="360" w:lineRule="auto"/>
        <w:ind w:firstLine="2560" w:firstLineChars="800"/>
        <w:jc w:val="both"/>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rPr>
        <w:t>单位负责人：</w:t>
      </w:r>
      <w:r>
        <w:rPr>
          <w:rFonts w:hint="eastAsia" w:ascii="仿宋_GB2312" w:hAnsi="仿宋_GB2312" w:eastAsia="仿宋_GB2312" w:cs="仿宋_GB2312"/>
          <w:b w:val="0"/>
          <w:bCs w:val="0"/>
          <w:color w:val="auto"/>
          <w:sz w:val="32"/>
          <w:szCs w:val="32"/>
          <w:u w:val="none"/>
          <w:lang w:val="en-US" w:eastAsia="zh-CN"/>
        </w:rPr>
        <w:t>孙旭颖</w:t>
      </w:r>
    </w:p>
    <w:p w14:paraId="63D7E273">
      <w:pPr>
        <w:spacing w:line="360" w:lineRule="auto"/>
        <w:ind w:firstLine="2560" w:firstLineChars="800"/>
        <w:jc w:val="both"/>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rPr>
        <w:t>财务负责人：</w:t>
      </w:r>
      <w:r>
        <w:rPr>
          <w:rFonts w:hint="eastAsia" w:ascii="仿宋_GB2312" w:hAnsi="仿宋_GB2312" w:eastAsia="仿宋_GB2312" w:cs="仿宋_GB2312"/>
          <w:b w:val="0"/>
          <w:bCs w:val="0"/>
          <w:color w:val="auto"/>
          <w:sz w:val="32"/>
          <w:szCs w:val="32"/>
          <w:u w:val="none"/>
          <w:lang w:val="en-US" w:eastAsia="zh-CN"/>
        </w:rPr>
        <w:t>方佳乐</w:t>
      </w:r>
    </w:p>
    <w:p w14:paraId="1FE3AA59">
      <w:pPr>
        <w:spacing w:line="360" w:lineRule="auto"/>
        <w:ind w:firstLine="2560" w:firstLineChars="800"/>
        <w:jc w:val="both"/>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rPr>
        <w:t>编制人：</w:t>
      </w:r>
      <w:r>
        <w:rPr>
          <w:rFonts w:hint="eastAsia" w:ascii="仿宋_GB2312" w:hAnsi="仿宋_GB2312" w:eastAsia="仿宋_GB2312" w:cs="仿宋_GB2312"/>
          <w:b w:val="0"/>
          <w:bCs w:val="0"/>
          <w:color w:val="auto"/>
          <w:sz w:val="32"/>
          <w:szCs w:val="32"/>
          <w:u w:val="none"/>
          <w:lang w:val="en-US" w:eastAsia="zh-CN"/>
        </w:rPr>
        <w:t>花园</w:t>
      </w:r>
    </w:p>
    <w:p w14:paraId="1D89E7A7">
      <w:pPr>
        <w:spacing w:line="360" w:lineRule="auto"/>
        <w:ind w:firstLine="2560" w:firstLineChars="800"/>
        <w:jc w:val="both"/>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auto"/>
          <w:sz w:val="32"/>
          <w:szCs w:val="32"/>
          <w:u w:val="none"/>
        </w:rPr>
        <w:t>报送日期：2026年8 月</w:t>
      </w:r>
    </w:p>
    <w:p w14:paraId="454CAC92">
      <w:pPr>
        <w:ind w:firstLine="2249" w:firstLineChars="700"/>
        <w:rPr>
          <w:rFonts w:ascii="仿宋" w:hAnsi="仿宋" w:eastAsia="仿宋"/>
          <w:b/>
          <w:color w:val="auto"/>
          <w:sz w:val="32"/>
          <w:szCs w:val="32"/>
          <w:u w:val="none"/>
        </w:rPr>
        <w:sectPr>
          <w:footerReference r:id="rId3" w:type="default"/>
          <w:pgSz w:w="11906" w:h="16838"/>
          <w:pgMar w:top="1440" w:right="1800" w:bottom="1440" w:left="1800" w:header="0" w:footer="720" w:gutter="0"/>
          <w:cols w:space="425" w:num="1"/>
          <w:docGrid w:type="lines" w:linePitch="312" w:charSpace="0"/>
        </w:sectPr>
      </w:pPr>
    </w:p>
    <w:p w14:paraId="1C9A9517">
      <w:pPr>
        <w:pStyle w:val="28"/>
        <w:widowControl/>
        <w:spacing w:after="240"/>
        <w:jc w:val="center"/>
        <w:rPr>
          <w:rFonts w:ascii="Times New Roman" w:hAnsi="Times New Roman" w:eastAsia="Times New Roman" w:cs="Times New Roman"/>
          <w:color w:val="auto"/>
          <w:kern w:val="0"/>
          <w:sz w:val="24"/>
          <w:u w:val="none"/>
        </w:rPr>
      </w:pPr>
      <w:bookmarkStart w:id="0" w:name="a000"/>
      <w:r>
        <w:rPr>
          <w:rFonts w:ascii="FangSong_GB2312" w:hAnsi="FangSong_GB2312" w:eastAsia="FangSong_GB2312" w:cs="FangSong_GB2312"/>
          <w:b/>
          <w:bCs/>
          <w:color w:val="auto"/>
          <w:kern w:val="0"/>
          <w:sz w:val="48"/>
          <w:szCs w:val="48"/>
          <w:u w:val="none"/>
        </w:rPr>
        <w:t>目录</w:t>
      </w:r>
    </w:p>
    <w:p w14:paraId="69CE3661">
      <w:pPr>
        <w:widowControl/>
        <w:spacing w:before="240" w:after="240"/>
        <w:jc w:val="left"/>
        <w:rPr>
          <w:rFonts w:ascii="Times New Roman" w:hAnsi="Times New Roman" w:eastAsia="Times New Roman" w:cs="Times New Roman"/>
          <w:color w:val="auto"/>
          <w:kern w:val="0"/>
          <w:sz w:val="24"/>
          <w:u w:val="none"/>
        </w:rPr>
      </w:pPr>
      <w:r>
        <w:rPr>
          <w:rFonts w:ascii="Times New Roman" w:hAnsi="Times New Roman" w:eastAsia="Times New Roman" w:cs="Times New Roman"/>
          <w:b/>
          <w:bCs/>
          <w:color w:val="auto"/>
          <w:kern w:val="0"/>
          <w:sz w:val="24"/>
          <w:u w:val="none"/>
        </w:rPr>
        <w:t> </w:t>
      </w:r>
    </w:p>
    <w:p w14:paraId="083F015C">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黑体" w:hAnsi="黑体" w:eastAsia="黑体" w:cs="黑体"/>
          <w:color w:val="auto"/>
          <w:kern w:val="0"/>
          <w:sz w:val="32"/>
          <w:szCs w:val="32"/>
          <w:u w:val="none"/>
        </w:rPr>
        <w:t>第一部分</w:t>
      </w:r>
      <w:r>
        <w:rPr>
          <w:rFonts w:ascii="Calibri" w:hAnsi="Calibri" w:eastAsia="Calibri" w:cs="Calibri"/>
          <w:color w:val="auto"/>
          <w:kern w:val="0"/>
          <w:sz w:val="32"/>
          <w:szCs w:val="32"/>
          <w:u w:val="none"/>
          <w:lang w:eastAsia="en-US"/>
        </w:rPr>
        <w:t> </w:t>
      </w:r>
      <w:r>
        <w:rPr>
          <w:rFonts w:ascii="黑体" w:hAnsi="黑体" w:eastAsia="黑体" w:cs="黑体"/>
          <w:color w:val="auto"/>
          <w:kern w:val="0"/>
          <w:sz w:val="32"/>
          <w:szCs w:val="32"/>
          <w:u w:val="none"/>
          <w:lang w:eastAsia="en-US"/>
        </w:rPr>
        <w:t xml:space="preserve"> </w:t>
      </w:r>
      <w:r>
        <w:rPr>
          <w:rFonts w:hint="eastAsia" w:ascii="黑体" w:hAnsi="黑体" w:eastAsia="黑体" w:cs="黑体"/>
          <w:color w:val="auto"/>
          <w:kern w:val="0"/>
          <w:sz w:val="32"/>
          <w:szCs w:val="32"/>
          <w:u w:val="none"/>
          <w:lang w:eastAsia="zh-CN"/>
        </w:rPr>
        <w:t>单位</w:t>
      </w:r>
      <w:r>
        <w:rPr>
          <w:rFonts w:ascii="黑体" w:hAnsi="黑体" w:eastAsia="黑体" w:cs="黑体"/>
          <w:color w:val="auto"/>
          <w:kern w:val="0"/>
          <w:sz w:val="32"/>
          <w:szCs w:val="32"/>
          <w:u w:val="none"/>
        </w:rPr>
        <w:t>概况</w:t>
      </w:r>
    </w:p>
    <w:p w14:paraId="62B7FB3A">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一、主要职能、职责</w:t>
      </w:r>
    </w:p>
    <w:p w14:paraId="526753AD">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二、</w:t>
      </w:r>
      <w:r>
        <w:rPr>
          <w:rFonts w:hint="eastAsia" w:ascii="FangSong_GB2312" w:hAnsi="FangSong_GB2312" w:eastAsia="FangSong_GB2312" w:cs="FangSong_GB2312"/>
          <w:color w:val="auto"/>
          <w:kern w:val="0"/>
          <w:sz w:val="32"/>
          <w:szCs w:val="32"/>
          <w:u w:val="none"/>
          <w:lang w:eastAsia="zh-CN"/>
        </w:rPr>
        <w:t>单位</w:t>
      </w:r>
      <w:r>
        <w:rPr>
          <w:rFonts w:ascii="FangSong_GB2312" w:hAnsi="FangSong_GB2312" w:eastAsia="FangSong_GB2312" w:cs="FangSong_GB2312"/>
          <w:color w:val="auto"/>
          <w:kern w:val="0"/>
          <w:sz w:val="32"/>
          <w:szCs w:val="32"/>
          <w:u w:val="none"/>
        </w:rPr>
        <w:t>机构设置及决算单位构成情况</w:t>
      </w:r>
    </w:p>
    <w:p w14:paraId="38A612F3">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三、</w:t>
      </w:r>
      <w:r>
        <w:rPr>
          <w:rFonts w:eastAsia="Times New Roman"/>
          <w:color w:val="auto"/>
          <w:kern w:val="0"/>
          <w:sz w:val="32"/>
          <w:szCs w:val="32"/>
          <w:u w:val="none"/>
          <w:lang w:eastAsia="en-US"/>
        </w:rPr>
        <w:t>2025</w:t>
      </w:r>
      <w:r>
        <w:rPr>
          <w:rFonts w:ascii="FangSong_GB2312" w:hAnsi="FangSong_GB2312" w:eastAsia="FangSong_GB2312" w:cs="FangSong_GB2312"/>
          <w:color w:val="auto"/>
          <w:kern w:val="0"/>
          <w:sz w:val="32"/>
          <w:szCs w:val="32"/>
          <w:u w:val="none"/>
        </w:rPr>
        <w:t>年度</w:t>
      </w:r>
      <w:r>
        <w:rPr>
          <w:rFonts w:hint="eastAsia" w:ascii="FangSong_GB2312" w:hAnsi="FangSong_GB2312" w:eastAsia="FangSong_GB2312" w:cs="FangSong_GB2312"/>
          <w:color w:val="auto"/>
          <w:kern w:val="0"/>
          <w:sz w:val="32"/>
          <w:szCs w:val="32"/>
          <w:u w:val="none"/>
          <w:lang w:eastAsia="zh-CN"/>
        </w:rPr>
        <w:t>单位</w:t>
      </w:r>
      <w:r>
        <w:rPr>
          <w:rFonts w:ascii="FangSong_GB2312" w:hAnsi="FangSong_GB2312" w:eastAsia="FangSong_GB2312" w:cs="FangSong_GB2312"/>
          <w:color w:val="auto"/>
          <w:kern w:val="0"/>
          <w:sz w:val="32"/>
          <w:szCs w:val="32"/>
          <w:u w:val="none"/>
        </w:rPr>
        <w:t>主要工作完成情况</w:t>
      </w:r>
    </w:p>
    <w:p w14:paraId="0721AF60">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黑体" w:hAnsi="黑体" w:eastAsia="黑体" w:cs="黑体"/>
          <w:color w:val="auto"/>
          <w:kern w:val="0"/>
          <w:sz w:val="32"/>
          <w:szCs w:val="32"/>
          <w:u w:val="none"/>
        </w:rPr>
        <w:t>第二部分</w:t>
      </w:r>
      <w:r>
        <w:rPr>
          <w:rFonts w:ascii="Calibri" w:hAnsi="Calibri" w:eastAsia="Calibri" w:cs="Calibri"/>
          <w:color w:val="auto"/>
          <w:kern w:val="0"/>
          <w:sz w:val="32"/>
          <w:szCs w:val="32"/>
          <w:u w:val="none"/>
          <w:lang w:eastAsia="en-US"/>
        </w:rPr>
        <w:t> </w:t>
      </w:r>
      <w:r>
        <w:rPr>
          <w:rFonts w:ascii="黑体" w:hAnsi="黑体" w:eastAsia="黑体" w:cs="黑体"/>
          <w:color w:val="auto"/>
          <w:kern w:val="0"/>
          <w:sz w:val="32"/>
          <w:szCs w:val="32"/>
          <w:u w:val="none"/>
          <w:lang w:eastAsia="en-US"/>
        </w:rPr>
        <w:t xml:space="preserve"> </w:t>
      </w:r>
      <w:r>
        <w:rPr>
          <w:rFonts w:hint="eastAsia" w:ascii="黑体" w:hAnsi="黑体" w:eastAsia="黑体" w:cs="黑体"/>
          <w:color w:val="auto"/>
          <w:kern w:val="0"/>
          <w:sz w:val="32"/>
          <w:szCs w:val="32"/>
          <w:u w:val="none"/>
          <w:lang w:eastAsia="zh-CN"/>
        </w:rPr>
        <w:t>单位</w:t>
      </w:r>
      <w:r>
        <w:rPr>
          <w:rFonts w:ascii="黑体" w:hAnsi="黑体" w:eastAsia="黑体" w:cs="黑体"/>
          <w:color w:val="auto"/>
          <w:kern w:val="0"/>
          <w:sz w:val="32"/>
          <w:szCs w:val="32"/>
          <w:u w:val="none"/>
        </w:rPr>
        <w:t>决算情况说明</w:t>
      </w:r>
    </w:p>
    <w:p w14:paraId="7795C18A">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一、收入支出决算总体情况说明</w:t>
      </w:r>
    </w:p>
    <w:p w14:paraId="4FEBFBF5">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二、收入决算情况说明</w:t>
      </w:r>
    </w:p>
    <w:p w14:paraId="2A4B9199">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三、支出决算情况说明</w:t>
      </w:r>
    </w:p>
    <w:p w14:paraId="028E21F5">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四、财政拨款收入支出决算总体情况说明</w:t>
      </w:r>
    </w:p>
    <w:p w14:paraId="11FCE300">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五、一般公共预算财政拨款支出决算情况说明</w:t>
      </w:r>
    </w:p>
    <w:p w14:paraId="551F88FB">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六、一般公共预算财政拨款基本支出决算情况说明</w:t>
      </w:r>
    </w:p>
    <w:p w14:paraId="5AEBF53A">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七、一般公共预算财政拨款项目支出决算情况说明</w:t>
      </w:r>
    </w:p>
    <w:p w14:paraId="702A21C0">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八、财政拨款“三公”经费支出决算情况说明</w:t>
      </w:r>
    </w:p>
    <w:p w14:paraId="3E97439F">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九、政府性基金预算财政拨款支出决算情况说明</w:t>
      </w:r>
    </w:p>
    <w:p w14:paraId="14B98004">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十、国有资本经营预算财政拨款支出决算情况说明</w:t>
      </w:r>
    </w:p>
    <w:p w14:paraId="13E9EAB7">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十一、机关运行经费（公用经费）支出决算情况说明</w:t>
      </w:r>
    </w:p>
    <w:p w14:paraId="13562497">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十二、政府采购支出决算情况说明</w:t>
      </w:r>
    </w:p>
    <w:p w14:paraId="54C13F2B">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十三、国有资产占用情况说明</w:t>
      </w:r>
    </w:p>
    <w:p w14:paraId="15330D18">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十四、预算绩效情况说明</w:t>
      </w:r>
    </w:p>
    <w:p w14:paraId="54A77932">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黑体" w:hAnsi="黑体" w:eastAsia="黑体" w:cs="黑体"/>
          <w:color w:val="auto"/>
          <w:kern w:val="0"/>
          <w:sz w:val="32"/>
          <w:szCs w:val="32"/>
          <w:u w:val="none"/>
        </w:rPr>
        <w:t>第三部分</w:t>
      </w:r>
      <w:r>
        <w:rPr>
          <w:rFonts w:ascii="Calibri" w:hAnsi="Calibri" w:eastAsia="Calibri" w:cs="Calibri"/>
          <w:color w:val="auto"/>
          <w:kern w:val="0"/>
          <w:sz w:val="32"/>
          <w:szCs w:val="32"/>
          <w:u w:val="none"/>
          <w:lang w:eastAsia="en-US"/>
        </w:rPr>
        <w:t> </w:t>
      </w:r>
      <w:r>
        <w:rPr>
          <w:rFonts w:ascii="黑体" w:hAnsi="黑体" w:eastAsia="黑体" w:cs="黑体"/>
          <w:color w:val="auto"/>
          <w:kern w:val="0"/>
          <w:sz w:val="32"/>
          <w:szCs w:val="32"/>
          <w:u w:val="none"/>
          <w:lang w:eastAsia="en-US"/>
        </w:rPr>
        <w:t xml:space="preserve"> </w:t>
      </w:r>
      <w:r>
        <w:rPr>
          <w:rFonts w:ascii="黑体" w:hAnsi="黑体" w:eastAsia="黑体" w:cs="黑体"/>
          <w:color w:val="auto"/>
          <w:kern w:val="0"/>
          <w:sz w:val="32"/>
          <w:szCs w:val="32"/>
          <w:u w:val="none"/>
        </w:rPr>
        <w:t>名词解释</w:t>
      </w:r>
    </w:p>
    <w:p w14:paraId="0FC95E60">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黑体" w:hAnsi="黑体" w:eastAsia="黑体" w:cs="黑体"/>
          <w:color w:val="auto"/>
          <w:kern w:val="0"/>
          <w:sz w:val="32"/>
          <w:szCs w:val="32"/>
          <w:u w:val="none"/>
        </w:rPr>
        <w:t>第四部分</w:t>
      </w:r>
      <w:r>
        <w:rPr>
          <w:rFonts w:ascii="Calibri" w:hAnsi="Calibri" w:eastAsia="Calibri" w:cs="Calibri"/>
          <w:color w:val="auto"/>
          <w:kern w:val="0"/>
          <w:sz w:val="32"/>
          <w:szCs w:val="32"/>
          <w:u w:val="none"/>
          <w:lang w:eastAsia="en-US"/>
        </w:rPr>
        <w:t> </w:t>
      </w:r>
      <w:r>
        <w:rPr>
          <w:rFonts w:ascii="黑体" w:hAnsi="黑体" w:eastAsia="黑体" w:cs="黑体"/>
          <w:color w:val="auto"/>
          <w:kern w:val="0"/>
          <w:sz w:val="32"/>
          <w:szCs w:val="32"/>
          <w:u w:val="none"/>
          <w:lang w:eastAsia="en-US"/>
        </w:rPr>
        <w:t xml:space="preserve"> </w:t>
      </w:r>
      <w:r>
        <w:rPr>
          <w:rFonts w:ascii="黑体" w:hAnsi="黑体" w:eastAsia="黑体" w:cs="黑体"/>
          <w:color w:val="auto"/>
          <w:kern w:val="0"/>
          <w:sz w:val="32"/>
          <w:szCs w:val="32"/>
          <w:u w:val="none"/>
        </w:rPr>
        <w:t>决算公开联系方式及信息反馈渠道</w:t>
      </w:r>
    </w:p>
    <w:p w14:paraId="4F40BD16">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黑体" w:hAnsi="黑体" w:eastAsia="黑体" w:cs="黑体"/>
          <w:color w:val="auto"/>
          <w:kern w:val="0"/>
          <w:sz w:val="32"/>
          <w:szCs w:val="32"/>
          <w:u w:val="none"/>
        </w:rPr>
        <w:t>第五部分</w:t>
      </w:r>
      <w:r>
        <w:rPr>
          <w:rFonts w:ascii="Calibri" w:hAnsi="Calibri" w:eastAsia="Calibri" w:cs="Calibri"/>
          <w:color w:val="auto"/>
          <w:kern w:val="0"/>
          <w:sz w:val="32"/>
          <w:szCs w:val="32"/>
          <w:u w:val="none"/>
          <w:lang w:eastAsia="en-US"/>
        </w:rPr>
        <w:t> </w:t>
      </w:r>
      <w:r>
        <w:rPr>
          <w:rFonts w:ascii="黑体" w:hAnsi="黑体" w:eastAsia="黑体" w:cs="黑体"/>
          <w:color w:val="auto"/>
          <w:kern w:val="0"/>
          <w:sz w:val="32"/>
          <w:szCs w:val="32"/>
          <w:u w:val="none"/>
          <w:lang w:eastAsia="en-US"/>
        </w:rPr>
        <w:t xml:space="preserve"> </w:t>
      </w:r>
      <w:r>
        <w:rPr>
          <w:rFonts w:hint="eastAsia" w:ascii="黑体" w:hAnsi="黑体" w:eastAsia="黑体" w:cs="黑体"/>
          <w:b w:val="0"/>
          <w:bCs w:val="0"/>
          <w:sz w:val="32"/>
          <w:szCs w:val="32"/>
          <w:u w:val="none"/>
          <w:lang w:val="en-US" w:eastAsia="zh-CN"/>
        </w:rPr>
        <w:t>2025年度</w:t>
      </w:r>
      <w:r>
        <w:rPr>
          <w:rFonts w:hint="eastAsia" w:ascii="黑体" w:hAnsi="黑体" w:eastAsia="黑体" w:cs="黑体"/>
          <w:color w:val="auto"/>
          <w:kern w:val="0"/>
          <w:sz w:val="32"/>
          <w:szCs w:val="32"/>
          <w:u w:val="none"/>
          <w:lang w:eastAsia="zh-CN"/>
        </w:rPr>
        <w:t>单位</w:t>
      </w:r>
      <w:r>
        <w:rPr>
          <w:rFonts w:ascii="黑体" w:hAnsi="黑体" w:eastAsia="黑体" w:cs="黑体"/>
          <w:color w:val="auto"/>
          <w:kern w:val="0"/>
          <w:sz w:val="32"/>
          <w:szCs w:val="32"/>
          <w:u w:val="none"/>
        </w:rPr>
        <w:t>决算表</w:t>
      </w:r>
    </w:p>
    <w:p w14:paraId="4EE9EE38">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一、收入支出决算总表</w:t>
      </w:r>
    </w:p>
    <w:p w14:paraId="7BA12035">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二、收入决算表</w:t>
      </w:r>
    </w:p>
    <w:p w14:paraId="5251FFA3">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三、支出决算表</w:t>
      </w:r>
    </w:p>
    <w:p w14:paraId="7530D2A5">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四、财政拨款收入支出决算总表</w:t>
      </w:r>
    </w:p>
    <w:p w14:paraId="2D029719">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五、一般公共预算财政拨款支出决算表</w:t>
      </w:r>
    </w:p>
    <w:p w14:paraId="2CA1D3E5">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六、一般公共预算财政拨款基本支出决算明细表</w:t>
      </w:r>
    </w:p>
    <w:p w14:paraId="5319D711">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七、一般公共预算财政拨款项目支出决算明细表</w:t>
      </w:r>
    </w:p>
    <w:p w14:paraId="27781C1A">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八、政府性基金预算财政拨款收入支出决算表</w:t>
      </w:r>
    </w:p>
    <w:p w14:paraId="47316697">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九、国有资本经营预算财政拨款收入支出决算表</w:t>
      </w:r>
    </w:p>
    <w:p w14:paraId="3E681A9E">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十、财政拨款“三公”经费支出决算表</w:t>
      </w:r>
    </w:p>
    <w:p w14:paraId="32EBCC58">
      <w:pPr>
        <w:pStyle w:val="28"/>
        <w:widowControl/>
        <w:spacing w:before="240" w:after="240" w:line="360" w:lineRule="auto"/>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十一、机关运行经费支出、国有资产占用情况及政府采购支出信息表</w:t>
      </w:r>
    </w:p>
    <w:p w14:paraId="7E41D6AF">
      <w:pPr>
        <w:pStyle w:val="3"/>
        <w:keepNext w:val="0"/>
        <w:keepLines w:val="0"/>
        <w:widowControl/>
        <w:spacing w:before="0" w:after="0" w:line="360" w:lineRule="auto"/>
        <w:ind w:left="0" w:right="0"/>
        <w:jc w:val="center"/>
        <w:rPr>
          <w:rFonts w:ascii="Times New Roman" w:hAnsi="Times New Roman" w:eastAsia="Times New Roman" w:cs="Times New Roman"/>
          <w:b/>
          <w:bCs/>
          <w:color w:val="auto"/>
          <w:kern w:val="0"/>
          <w:sz w:val="36"/>
          <w:szCs w:val="36"/>
          <w:u w:val="none"/>
        </w:rPr>
      </w:pPr>
      <w:r>
        <w:rPr>
          <w:rFonts w:ascii="方正小标宋简体" w:hAnsi="方正小标宋简体" w:eastAsia="方正小标宋简体" w:cs="方正小标宋简体"/>
          <w:b w:val="0"/>
          <w:bCs w:val="0"/>
          <w:color w:val="auto"/>
          <w:kern w:val="0"/>
          <w:sz w:val="36"/>
          <w:szCs w:val="36"/>
          <w:u w:val="none"/>
        </w:rPr>
        <w:t>第一部分</w:t>
      </w:r>
      <w:r>
        <w:rPr>
          <w:rFonts w:ascii="方正小标宋简体" w:hAnsi="方正小标宋简体" w:eastAsia="方正小标宋简体" w:cs="方正小标宋简体"/>
          <w:b w:val="0"/>
          <w:bCs w:val="0"/>
          <w:color w:val="auto"/>
          <w:kern w:val="0"/>
          <w:sz w:val="36"/>
          <w:szCs w:val="36"/>
          <w:u w:val="none"/>
          <w:lang w:eastAsia="en-US"/>
        </w:rPr>
        <w:t xml:space="preserve">  </w:t>
      </w:r>
      <w:r>
        <w:rPr>
          <w:rFonts w:ascii="方正小标宋简体" w:hAnsi="方正小标宋简体" w:eastAsia="方正小标宋简体" w:cs="方正小标宋简体"/>
          <w:b w:val="0"/>
          <w:bCs w:val="0"/>
          <w:color w:val="auto"/>
          <w:kern w:val="0"/>
          <w:sz w:val="36"/>
          <w:szCs w:val="36"/>
          <w:u w:val="none"/>
        </w:rPr>
        <w:t>单位概况</w:t>
      </w:r>
    </w:p>
    <w:p w14:paraId="3FC2C1EB">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一、主要职能、职责</w:t>
      </w:r>
    </w:p>
    <w:p w14:paraId="79D310F9">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根据中共内蒙古自治区委员会机构编制委员会印发的《关于自治区市场监督管理局所属事业单位机构职能的批复》(内机编办发</w:t>
      </w:r>
      <w:r>
        <w:rPr>
          <w:rFonts w:hint="default" w:ascii="仿宋_GB2312" w:hAnsi="仿宋_GB2312" w:eastAsia="仿宋_GB2312" w:cs="仿宋_GB2312"/>
          <w:sz w:val="32"/>
          <w:szCs w:val="32"/>
          <w:u w:val="none"/>
          <w:lang w:val="en-US" w:eastAsia="zh-CN"/>
        </w:rPr>
        <w:t>【2020】148</w:t>
      </w:r>
      <w:r>
        <w:rPr>
          <w:rFonts w:hint="eastAsia" w:ascii="仿宋_GB2312" w:hAnsi="仿宋_GB2312" w:eastAsia="仿宋_GB2312" w:cs="仿宋_GB2312"/>
          <w:sz w:val="32"/>
          <w:szCs w:val="32"/>
          <w:u w:val="none"/>
          <w:lang w:val="en-US" w:eastAsia="zh-CN"/>
        </w:rPr>
        <w:t>号)，设立内蒙古自治区特种设备检验研究院包头分院，为自治区特种设备检验研究院所属分支机构，公益二类事业单位，副处级。</w:t>
      </w:r>
    </w:p>
    <w:p w14:paraId="0766476B">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主要职责是: 1.特种设备定期检验包括：锅炉定期检验；锅炉介质监测；压力容器、压力管道定期检验；安全阀校验；气瓶定期检验；起重机械、电梯定期检验；场（厂）内机动车辆定期检验。</w:t>
      </w:r>
    </w:p>
    <w:p w14:paraId="61625EA5">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2.特种设备安装（含修理、改造）安全性能监督检验包括：锅炉、压力容器、压力管道安装（含修理、改造）监督检验；锅炉化学清洗监督检验；起重机械、电梯安装（含修理、改造）监督检验。</w:t>
      </w:r>
    </w:p>
    <w:p w14:paraId="419A2DE3">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3.特种设备制造厂产品安全性能监督检验包括：锅炉、压力容器制造厂产品安全性能监督检验；</w:t>
      </w:r>
    </w:p>
    <w:p w14:paraId="4855072D">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times_new_roman" w:hAnsi="times_new_roman" w:eastAsia="times_new_roman" w:cs="times_new_roman"/>
          <w:color w:val="auto"/>
          <w:kern w:val="0"/>
          <w:sz w:val="27"/>
          <w:szCs w:val="27"/>
          <w:u w:val="none"/>
        </w:rPr>
      </w:pPr>
      <w:r>
        <w:rPr>
          <w:rFonts w:hint="eastAsia" w:ascii="仿宋_GB2312" w:hAnsi="仿宋_GB2312" w:eastAsia="仿宋_GB2312" w:cs="仿宋_GB2312"/>
          <w:sz w:val="32"/>
          <w:szCs w:val="32"/>
          <w:u w:val="none"/>
          <w:lang w:val="en-US" w:eastAsia="zh-CN"/>
        </w:rPr>
        <w:t>4.其他职能包括：特种设备作业人员培训考试及社会委托培训等。</w:t>
      </w:r>
    </w:p>
    <w:p w14:paraId="2F854D14">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二、单位机构设置及决算单位构成情况</w:t>
      </w:r>
    </w:p>
    <w:p w14:paraId="172B1102">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1.根据单位职责分工，本单位内设机构包括综合管理部、业务管理部、质量科技部、党群工作部、信息中心、承压检验一部，承压检验二部、承压检验三部、机电检验一部、机电检验二部、机电检验三部、基地检验检测中心、考试中心、财务核算分中心共计14个部门。本单位无下属单位。</w:t>
      </w:r>
    </w:p>
    <w:p w14:paraId="095124A4">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2.从决算单位构成看，纳入内蒙古自治区特种设备检验研究院包头分院 2025年单位汇总决算编制范围的预算单位共计1 家，详细情况见表：</w:t>
      </w:r>
    </w:p>
    <w:tbl>
      <w:tblPr>
        <w:tblStyle w:val="18"/>
        <w:tblW w:w="11790" w:type="dxa"/>
        <w:jc w:val="center"/>
        <w:tblCellSpacing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371"/>
        <w:gridCol w:w="6809"/>
        <w:gridCol w:w="3610"/>
      </w:tblGrid>
      <w:tr w14:paraId="4223E2D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tblCellSpacing w:w="15" w:type="dxa"/>
          <w:jc w:val="center"/>
        </w:trPr>
        <w:tc>
          <w:tcPr>
            <w:tcW w:w="132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4ACE9A8B">
            <w:pPr>
              <w:widowControl/>
              <w:jc w:val="center"/>
              <w:rPr>
                <w:rFonts w:hint="eastAsia" w:ascii="仿宋_GB2312" w:hAnsi="仿宋_GB2312" w:eastAsia="仿宋_GB2312" w:cs="仿宋_GB2312"/>
                <w:b w:val="0"/>
                <w:bCs w:val="0"/>
                <w:i w:val="0"/>
                <w:iCs w:val="0"/>
                <w:smallCaps w:val="0"/>
                <w:color w:val="auto"/>
                <w:kern w:val="0"/>
                <w:sz w:val="32"/>
                <w:szCs w:val="32"/>
                <w:u w:val="none"/>
              </w:rPr>
            </w:pPr>
            <w:r>
              <w:rPr>
                <w:rFonts w:hint="eastAsia" w:ascii="仿宋_GB2312" w:hAnsi="仿宋_GB2312" w:eastAsia="仿宋_GB2312" w:cs="仿宋_GB2312"/>
                <w:b w:val="0"/>
                <w:bCs w:val="0"/>
                <w:i w:val="0"/>
                <w:iCs w:val="0"/>
                <w:smallCaps w:val="0"/>
                <w:color w:val="auto"/>
                <w:kern w:val="0"/>
                <w:sz w:val="32"/>
                <w:szCs w:val="32"/>
                <w:u w:val="none"/>
              </w:rPr>
              <w:t>序号</w:t>
            </w:r>
          </w:p>
        </w:tc>
        <w:tc>
          <w:tcPr>
            <w:tcW w:w="6779"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1B469FE4">
            <w:pPr>
              <w:widowControl/>
              <w:jc w:val="center"/>
              <w:rPr>
                <w:rFonts w:hint="eastAsia" w:ascii="仿宋_GB2312" w:hAnsi="仿宋_GB2312" w:eastAsia="仿宋_GB2312" w:cs="仿宋_GB2312"/>
                <w:b w:val="0"/>
                <w:bCs w:val="0"/>
                <w:i w:val="0"/>
                <w:iCs w:val="0"/>
                <w:smallCaps w:val="0"/>
                <w:color w:val="auto"/>
                <w:kern w:val="0"/>
                <w:sz w:val="32"/>
                <w:szCs w:val="32"/>
                <w:u w:val="none"/>
              </w:rPr>
            </w:pPr>
            <w:r>
              <w:rPr>
                <w:rFonts w:hint="eastAsia" w:ascii="仿宋_GB2312" w:hAnsi="仿宋_GB2312" w:eastAsia="仿宋_GB2312" w:cs="仿宋_GB2312"/>
                <w:b w:val="0"/>
                <w:bCs w:val="0"/>
                <w:i w:val="0"/>
                <w:iCs w:val="0"/>
                <w:smallCaps w:val="0"/>
                <w:color w:val="auto"/>
                <w:kern w:val="0"/>
                <w:sz w:val="32"/>
                <w:szCs w:val="32"/>
                <w:u w:val="none"/>
              </w:rPr>
              <w:t>单位名称</w:t>
            </w:r>
          </w:p>
        </w:tc>
        <w:tc>
          <w:tcPr>
            <w:tcW w:w="356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57008A91">
            <w:pPr>
              <w:widowControl/>
              <w:jc w:val="center"/>
              <w:rPr>
                <w:rFonts w:hint="eastAsia" w:ascii="仿宋_GB2312" w:hAnsi="仿宋_GB2312" w:eastAsia="仿宋_GB2312" w:cs="仿宋_GB2312"/>
                <w:b w:val="0"/>
                <w:bCs w:val="0"/>
                <w:i w:val="0"/>
                <w:iCs w:val="0"/>
                <w:smallCaps w:val="0"/>
                <w:color w:val="auto"/>
                <w:kern w:val="0"/>
                <w:sz w:val="32"/>
                <w:szCs w:val="32"/>
                <w:u w:val="none"/>
              </w:rPr>
            </w:pPr>
            <w:r>
              <w:rPr>
                <w:rFonts w:hint="eastAsia" w:ascii="仿宋_GB2312" w:hAnsi="仿宋_GB2312" w:eastAsia="仿宋_GB2312" w:cs="仿宋_GB2312"/>
                <w:b w:val="0"/>
                <w:bCs w:val="0"/>
                <w:i w:val="0"/>
                <w:iCs w:val="0"/>
                <w:smallCaps w:val="0"/>
                <w:color w:val="auto"/>
                <w:kern w:val="0"/>
                <w:sz w:val="32"/>
                <w:szCs w:val="32"/>
                <w:u w:val="none"/>
              </w:rPr>
              <w:t>单位性质</w:t>
            </w:r>
          </w:p>
        </w:tc>
      </w:tr>
      <w:tr w14:paraId="3C7E676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132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40EE28C0">
            <w:pPr>
              <w:widowControl/>
              <w:jc w:val="center"/>
              <w:rPr>
                <w:rFonts w:hint="eastAsia" w:ascii="仿宋_GB2312" w:hAnsi="仿宋_GB2312" w:eastAsia="仿宋_GB2312" w:cs="仿宋_GB2312"/>
                <w:b w:val="0"/>
                <w:bCs w:val="0"/>
                <w:i w:val="0"/>
                <w:iCs w:val="0"/>
                <w:smallCaps w:val="0"/>
                <w:color w:val="auto"/>
                <w:kern w:val="0"/>
                <w:sz w:val="32"/>
                <w:szCs w:val="32"/>
                <w:u w:val="none"/>
              </w:rPr>
            </w:pPr>
            <w:r>
              <w:rPr>
                <w:rFonts w:hint="eastAsia" w:ascii="仿宋_GB2312" w:hAnsi="仿宋_GB2312" w:eastAsia="仿宋_GB2312" w:cs="仿宋_GB2312"/>
                <w:b w:val="0"/>
                <w:bCs w:val="0"/>
                <w:i w:val="0"/>
                <w:iCs w:val="0"/>
                <w:smallCaps w:val="0"/>
                <w:color w:val="auto"/>
                <w:kern w:val="0"/>
                <w:sz w:val="32"/>
                <w:szCs w:val="32"/>
                <w:u w:val="none"/>
              </w:rPr>
              <w:t>1</w:t>
            </w:r>
          </w:p>
        </w:tc>
        <w:tc>
          <w:tcPr>
            <w:tcW w:w="6779"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7FF058BB">
            <w:pPr>
              <w:widowControl/>
              <w:jc w:val="left"/>
              <w:rPr>
                <w:rFonts w:hint="eastAsia" w:ascii="仿宋_GB2312" w:hAnsi="仿宋_GB2312" w:eastAsia="仿宋_GB2312" w:cs="仿宋_GB2312"/>
                <w:b w:val="0"/>
                <w:bCs w:val="0"/>
                <w:i w:val="0"/>
                <w:iCs w:val="0"/>
                <w:smallCaps w:val="0"/>
                <w:color w:val="auto"/>
                <w:kern w:val="0"/>
                <w:sz w:val="32"/>
                <w:szCs w:val="32"/>
                <w:u w:val="none"/>
              </w:rPr>
            </w:pPr>
            <w:r>
              <w:rPr>
                <w:rFonts w:hint="eastAsia" w:ascii="仿宋_GB2312" w:hAnsi="仿宋_GB2312" w:eastAsia="仿宋_GB2312" w:cs="仿宋_GB2312"/>
                <w:b w:val="0"/>
                <w:bCs w:val="0"/>
                <w:i w:val="0"/>
                <w:iCs w:val="0"/>
                <w:smallCaps w:val="0"/>
                <w:color w:val="auto"/>
                <w:kern w:val="0"/>
                <w:sz w:val="32"/>
                <w:szCs w:val="32"/>
                <w:u w:val="none"/>
              </w:rPr>
              <w:t>内蒙古自治区特种设备检验研究院包头分院</w:t>
            </w:r>
          </w:p>
        </w:tc>
        <w:tc>
          <w:tcPr>
            <w:tcW w:w="356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487743DC">
            <w:pPr>
              <w:widowControl/>
              <w:jc w:val="left"/>
              <w:rPr>
                <w:rFonts w:hint="eastAsia" w:ascii="仿宋_GB2312" w:hAnsi="仿宋_GB2312" w:eastAsia="仿宋_GB2312" w:cs="仿宋_GB2312"/>
                <w:b w:val="0"/>
                <w:bCs w:val="0"/>
                <w:i w:val="0"/>
                <w:iCs w:val="0"/>
                <w:smallCaps w:val="0"/>
                <w:color w:val="auto"/>
                <w:kern w:val="0"/>
                <w:sz w:val="32"/>
                <w:szCs w:val="32"/>
                <w:u w:val="none"/>
                <w:lang w:val="en-US" w:eastAsia="zh-CN"/>
              </w:rPr>
            </w:pPr>
            <w:r>
              <w:rPr>
                <w:rFonts w:hint="eastAsia" w:ascii="仿宋_GB2312" w:hAnsi="仿宋_GB2312" w:eastAsia="仿宋_GB2312" w:cs="仿宋_GB2312"/>
                <w:b w:val="0"/>
                <w:bCs w:val="0"/>
                <w:i w:val="0"/>
                <w:iCs w:val="0"/>
                <w:smallCaps w:val="0"/>
                <w:color w:val="auto"/>
                <w:kern w:val="0"/>
                <w:sz w:val="32"/>
                <w:szCs w:val="32"/>
                <w:u w:val="none"/>
                <w:lang w:val="en-US" w:eastAsia="zh-CN"/>
              </w:rPr>
              <w:t>公益二类事业单位</w:t>
            </w:r>
          </w:p>
        </w:tc>
      </w:tr>
    </w:tbl>
    <w:p w14:paraId="48538C4C">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三、</w:t>
      </w:r>
      <w:r>
        <w:rPr>
          <w:rFonts w:eastAsia="Times New Roman"/>
          <w:b/>
          <w:bCs/>
          <w:color w:val="auto"/>
          <w:kern w:val="0"/>
          <w:sz w:val="32"/>
          <w:szCs w:val="32"/>
          <w:u w:val="none"/>
          <w:lang w:eastAsia="en-US"/>
        </w:rPr>
        <w:t>2025</w:t>
      </w:r>
      <w:r>
        <w:rPr>
          <w:rFonts w:ascii="黑体" w:hAnsi="黑体" w:eastAsia="黑体" w:cs="黑体"/>
          <w:b/>
          <w:bCs/>
          <w:color w:val="auto"/>
          <w:kern w:val="0"/>
          <w:sz w:val="32"/>
          <w:szCs w:val="32"/>
          <w:u w:val="none"/>
        </w:rPr>
        <w:t>年度单位主要工作完成情况</w:t>
      </w:r>
    </w:p>
    <w:p w14:paraId="5659ED4C">
      <w:pPr>
        <w:keepNext w:val="0"/>
        <w:keepLines w:val="0"/>
        <w:pageBreakBefore w:val="0"/>
        <w:widowControl w:val="0"/>
        <w:kinsoku/>
        <w:wordWrap/>
        <w:overflowPunct/>
        <w:topLinePunct w:val="0"/>
        <w:autoSpaceDE/>
        <w:autoSpaceDN/>
        <w:bidi w:val="0"/>
        <w:adjustRightInd/>
        <w:snapToGrid/>
        <w:spacing w:before="240" w:beforeLines="0" w:after="240" w:afterLines="0" w:line="600"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全年完成检验检测各类特种设备34815台（套）、压力管道1207.97公里、气瓶11650只、安全阀13846只、作业人员考试4082人次，配合完成检验人员考试1669人次，出具各类检验检测报告60096份，同比增长3%。2025年全年实现业务收入7979.26万元，完成目标的109%，同比增长3%。其中：非税收入4057.91万元、经营性财务收入3921.35万元，经营预算收入3215.59万元。在经济下行压力下，持续为事业发展提供坚实的经济基础。</w:t>
      </w:r>
    </w:p>
    <w:p w14:paraId="7F9833E3">
      <w:pPr>
        <w:widowControl/>
        <w:spacing w:before="240" w:after="240"/>
        <w:jc w:val="left"/>
        <w:rPr>
          <w:rFonts w:ascii="Times New Roman" w:hAnsi="Times New Roman" w:eastAsia="Times New Roman" w:cs="Times New Roman"/>
          <w:color w:val="auto"/>
          <w:kern w:val="0"/>
          <w:sz w:val="24"/>
          <w:u w:val="none"/>
        </w:rPr>
      </w:pPr>
    </w:p>
    <w:p w14:paraId="6F13A4E6">
      <w:pPr>
        <w:pStyle w:val="3"/>
        <w:keepNext w:val="0"/>
        <w:keepLines w:val="0"/>
        <w:widowControl/>
        <w:spacing w:before="0" w:after="0" w:line="360" w:lineRule="auto"/>
        <w:ind w:left="0" w:right="0"/>
        <w:jc w:val="center"/>
        <w:rPr>
          <w:rFonts w:ascii="Times New Roman" w:hAnsi="Times New Roman" w:eastAsia="Times New Roman" w:cs="Times New Roman"/>
          <w:b/>
          <w:bCs/>
          <w:color w:val="auto"/>
          <w:kern w:val="0"/>
          <w:sz w:val="36"/>
          <w:szCs w:val="36"/>
          <w:u w:val="none"/>
        </w:rPr>
      </w:pPr>
      <w:r>
        <w:rPr>
          <w:rFonts w:ascii="方正小标宋简体" w:hAnsi="方正小标宋简体" w:eastAsia="方正小标宋简体" w:cs="方正小标宋简体"/>
          <w:color w:val="auto"/>
          <w:kern w:val="0"/>
          <w:sz w:val="36"/>
          <w:szCs w:val="36"/>
          <w:u w:val="none"/>
        </w:rPr>
        <w:t>第二部分</w:t>
      </w:r>
      <w:r>
        <w:rPr>
          <w:rFonts w:ascii="Times New Roman" w:hAnsi="Times New Roman" w:eastAsia="Times New Roman" w:cs="Times New Roman"/>
          <w:color w:val="auto"/>
          <w:kern w:val="0"/>
          <w:sz w:val="36"/>
          <w:szCs w:val="36"/>
          <w:u w:val="none"/>
        </w:rPr>
        <w:t> </w:t>
      </w:r>
      <w:r>
        <w:rPr>
          <w:rFonts w:ascii="方正小标宋简体" w:hAnsi="方正小标宋简体" w:eastAsia="方正小标宋简体" w:cs="方正小标宋简体"/>
          <w:b w:val="0"/>
          <w:bCs w:val="0"/>
          <w:color w:val="auto"/>
          <w:kern w:val="0"/>
          <w:sz w:val="36"/>
          <w:szCs w:val="36"/>
          <w:u w:val="none"/>
        </w:rPr>
        <w:t xml:space="preserve"> </w:t>
      </w:r>
      <w:r>
        <w:rPr>
          <w:rFonts w:ascii="方正小标宋简体" w:hAnsi="方正小标宋简体" w:eastAsia="方正小标宋简体" w:cs="方正小标宋简体"/>
          <w:color w:val="auto"/>
          <w:kern w:val="0"/>
          <w:sz w:val="36"/>
          <w:szCs w:val="36"/>
          <w:u w:val="none"/>
        </w:rPr>
        <w:t>单位决算情况说明</w:t>
      </w:r>
    </w:p>
    <w:p w14:paraId="13B9044C">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一、收入支出决算总体情况说明</w:t>
      </w:r>
    </w:p>
    <w:p w14:paraId="67790E18">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 xml:space="preserve">内蒙古自治区特种设备检验研究院包头分院 </w:t>
      </w:r>
      <w:r>
        <w:rPr>
          <w:rFonts w:eastAsia="Times New Roman"/>
          <w:color w:val="auto"/>
          <w:kern w:val="0"/>
          <w:sz w:val="32"/>
          <w:szCs w:val="32"/>
          <w:u w:val="none"/>
          <w:lang w:eastAsia="en-US"/>
        </w:rPr>
        <w:t>2025</w:t>
      </w:r>
      <w:r>
        <w:rPr>
          <w:rFonts w:ascii="FangSong_GB2312" w:hAnsi="FangSong_GB2312" w:eastAsia="FangSong_GB2312" w:cs="FangSong_GB2312"/>
          <w:color w:val="auto"/>
          <w:kern w:val="0"/>
          <w:sz w:val="32"/>
          <w:szCs w:val="32"/>
          <w:u w:val="none"/>
        </w:rPr>
        <w:t>年度收入、支出决算总计均为</w:t>
      </w:r>
      <w:r>
        <w:rPr>
          <w:rFonts w:eastAsia="Times New Roman"/>
          <w:color w:val="auto"/>
          <w:kern w:val="0"/>
          <w:sz w:val="32"/>
          <w:szCs w:val="32"/>
          <w:u w:val="none"/>
          <w:lang w:eastAsia="en-US"/>
        </w:rPr>
        <w:t xml:space="preserve"> 7871.63</w:t>
      </w:r>
      <w:r>
        <w:rPr>
          <w:rFonts w:ascii="FangSong_GB2312" w:hAnsi="FangSong_GB2312" w:eastAsia="FangSong_GB2312" w:cs="FangSong_GB2312"/>
          <w:color w:val="auto"/>
          <w:kern w:val="0"/>
          <w:sz w:val="32"/>
          <w:szCs w:val="32"/>
          <w:u w:val="none"/>
        </w:rPr>
        <w:t>万元。与年初预算相比，收、支总计各减少</w:t>
      </w:r>
      <w:r>
        <w:rPr>
          <w:rFonts w:eastAsia="Times New Roman"/>
          <w:color w:val="auto"/>
          <w:kern w:val="0"/>
          <w:sz w:val="32"/>
          <w:szCs w:val="32"/>
          <w:u w:val="none"/>
          <w:lang w:eastAsia="en-US"/>
        </w:rPr>
        <w:t xml:space="preserve"> 40.19</w:t>
      </w:r>
      <w:r>
        <w:rPr>
          <w:rFonts w:ascii="FangSong_GB2312" w:hAnsi="FangSong_GB2312" w:eastAsia="FangSong_GB2312" w:cs="FangSong_GB2312"/>
          <w:color w:val="auto"/>
          <w:kern w:val="0"/>
          <w:sz w:val="32"/>
          <w:szCs w:val="32"/>
          <w:u w:val="none"/>
        </w:rPr>
        <w:t>万元，下降</w:t>
      </w:r>
      <w:r>
        <w:rPr>
          <w:rFonts w:eastAsia="Times New Roman"/>
          <w:color w:val="auto"/>
          <w:kern w:val="0"/>
          <w:sz w:val="32"/>
          <w:szCs w:val="32"/>
          <w:u w:val="none"/>
          <w:lang w:eastAsia="en-US"/>
        </w:rPr>
        <w:t xml:space="preserve"> 0.51</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，变动原因：</w:t>
      </w:r>
      <w:r>
        <w:rPr>
          <w:rFonts w:hint="eastAsia" w:ascii="FangSong_GB2312" w:hAnsi="FangSong_GB2312" w:eastAsia="FangSong_GB2312" w:cs="FangSong_GB2312"/>
          <w:color w:val="auto"/>
          <w:kern w:val="0"/>
          <w:sz w:val="32"/>
          <w:szCs w:val="32"/>
          <w:u w:val="none"/>
          <w:lang w:val="en-US" w:eastAsia="zh-CN"/>
        </w:rPr>
        <w:t>追加人员经费，财政资金较年初增加64.17万元，经济下行，经营收入较年初预算减少84.42万元</w:t>
      </w:r>
      <w:r>
        <w:rPr>
          <w:rFonts w:ascii="FangSong_GB2312" w:hAnsi="FangSong_GB2312" w:eastAsia="FangSong_GB2312" w:cs="FangSong_GB2312"/>
          <w:color w:val="auto"/>
          <w:kern w:val="0"/>
          <w:sz w:val="32"/>
          <w:szCs w:val="32"/>
          <w:u w:val="none"/>
        </w:rPr>
        <w:t>；</w:t>
      </w:r>
      <w:r>
        <w:rPr>
          <w:rFonts w:hint="eastAsia" w:ascii="FangSong_GB2312" w:hAnsi="FangSong_GB2312" w:eastAsia="FangSong_GB2312" w:cs="FangSong_GB2312"/>
          <w:color w:val="auto"/>
          <w:kern w:val="0"/>
          <w:sz w:val="32"/>
          <w:szCs w:val="32"/>
          <w:u w:val="none"/>
          <w:lang w:val="en-US" w:eastAsia="zh-CN"/>
        </w:rPr>
        <w:t>结转结余资金收支较年初相比减少19.96万元。</w:t>
      </w:r>
      <w:r>
        <w:rPr>
          <w:rFonts w:ascii="FangSong_GB2312" w:hAnsi="FangSong_GB2312" w:eastAsia="FangSong_GB2312" w:cs="FangSong_GB2312"/>
          <w:color w:val="auto"/>
          <w:kern w:val="0"/>
          <w:sz w:val="32"/>
          <w:szCs w:val="32"/>
          <w:highlight w:val="none"/>
          <w:u w:val="none"/>
        </w:rPr>
        <w:t>与上年决算相比，收、支总计各增加</w:t>
      </w:r>
      <w:r>
        <w:rPr>
          <w:rFonts w:eastAsia="Times New Roman"/>
          <w:color w:val="auto"/>
          <w:kern w:val="0"/>
          <w:sz w:val="32"/>
          <w:szCs w:val="32"/>
          <w:highlight w:val="none"/>
          <w:u w:val="none"/>
          <w:lang w:eastAsia="en-US"/>
        </w:rPr>
        <w:t>76.22</w:t>
      </w:r>
      <w:r>
        <w:rPr>
          <w:rFonts w:ascii="FangSong_GB2312" w:hAnsi="FangSong_GB2312" w:eastAsia="FangSong_GB2312" w:cs="FangSong_GB2312"/>
          <w:color w:val="auto"/>
          <w:kern w:val="0"/>
          <w:sz w:val="32"/>
          <w:szCs w:val="32"/>
          <w:highlight w:val="none"/>
          <w:u w:val="none"/>
        </w:rPr>
        <w:t>万元，增长</w:t>
      </w:r>
      <w:r>
        <w:rPr>
          <w:rFonts w:eastAsia="Times New Roman"/>
          <w:color w:val="auto"/>
          <w:kern w:val="0"/>
          <w:sz w:val="32"/>
          <w:szCs w:val="32"/>
          <w:highlight w:val="none"/>
          <w:u w:val="none"/>
          <w:lang w:eastAsia="en-US"/>
        </w:rPr>
        <w:t xml:space="preserve"> 0.98</w:t>
      </w:r>
      <w:r>
        <w:rPr>
          <w:rFonts w:ascii="FangSong_GB2312" w:hAnsi="FangSong_GB2312" w:eastAsia="FangSong_GB2312" w:cs="FangSong_GB2312"/>
          <w:color w:val="auto"/>
          <w:kern w:val="0"/>
          <w:sz w:val="32"/>
          <w:szCs w:val="32"/>
          <w:highlight w:val="none"/>
          <w:u w:val="none"/>
          <w:lang w:eastAsia="en-US"/>
        </w:rPr>
        <w:t>%</w:t>
      </w:r>
      <w:r>
        <w:rPr>
          <w:rFonts w:ascii="FangSong_GB2312" w:hAnsi="FangSong_GB2312" w:eastAsia="FangSong_GB2312" w:cs="FangSong_GB2312"/>
          <w:color w:val="auto"/>
          <w:kern w:val="0"/>
          <w:sz w:val="32"/>
          <w:szCs w:val="32"/>
          <w:highlight w:val="none"/>
          <w:u w:val="none"/>
        </w:rPr>
        <w:t>。</w:t>
      </w:r>
      <w:r>
        <w:rPr>
          <w:rFonts w:ascii="FangSong_GB2312" w:hAnsi="FangSong_GB2312" w:eastAsia="FangSong_GB2312" w:cs="FangSong_GB2312"/>
          <w:color w:val="auto"/>
          <w:kern w:val="0"/>
          <w:sz w:val="32"/>
          <w:szCs w:val="32"/>
          <w:u w:val="none"/>
        </w:rPr>
        <w:t>其中：</w:t>
      </w:r>
    </w:p>
    <w:p w14:paraId="4BEC2AB1">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楷体" w:hAnsi="楷体" w:eastAsia="楷体" w:cs="楷体"/>
          <w:b/>
          <w:bCs/>
          <w:color w:val="auto"/>
          <w:kern w:val="0"/>
          <w:sz w:val="32"/>
          <w:szCs w:val="32"/>
          <w:u w:val="none"/>
        </w:rPr>
        <w:t>（一）收入决算总计</w:t>
      </w:r>
      <w:r>
        <w:rPr>
          <w:rFonts w:eastAsia="Times New Roman"/>
          <w:b/>
          <w:bCs/>
          <w:color w:val="auto"/>
          <w:kern w:val="0"/>
          <w:sz w:val="32"/>
          <w:szCs w:val="32"/>
          <w:u w:val="none"/>
          <w:lang w:eastAsia="en-US"/>
        </w:rPr>
        <w:t xml:space="preserve"> 7871.63</w:t>
      </w:r>
      <w:r>
        <w:rPr>
          <w:rFonts w:ascii="楷体" w:hAnsi="楷体" w:eastAsia="楷体" w:cs="楷体"/>
          <w:b/>
          <w:bCs/>
          <w:color w:val="auto"/>
          <w:kern w:val="0"/>
          <w:sz w:val="32"/>
          <w:szCs w:val="32"/>
          <w:u w:val="none"/>
        </w:rPr>
        <w:t>万元。包括：</w:t>
      </w:r>
    </w:p>
    <w:p w14:paraId="57C12C76">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eastAsia="Times New Roman"/>
          <w:color w:val="auto"/>
          <w:kern w:val="0"/>
          <w:sz w:val="32"/>
          <w:szCs w:val="32"/>
          <w:u w:val="none"/>
          <w:lang w:eastAsia="en-US"/>
        </w:rPr>
        <w:t>1</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本年收入决算合计</w:t>
      </w:r>
      <w:r>
        <w:rPr>
          <w:rFonts w:eastAsia="Times New Roman"/>
          <w:color w:val="auto"/>
          <w:kern w:val="0"/>
          <w:sz w:val="32"/>
          <w:szCs w:val="32"/>
          <w:u w:val="none"/>
          <w:lang w:eastAsia="en-US"/>
        </w:rPr>
        <w:t xml:space="preserve"> 7291.58</w:t>
      </w:r>
      <w:r>
        <w:rPr>
          <w:rFonts w:ascii="FangSong_GB2312" w:hAnsi="FangSong_GB2312" w:eastAsia="FangSong_GB2312" w:cs="FangSong_GB2312"/>
          <w:color w:val="auto"/>
          <w:kern w:val="0"/>
          <w:sz w:val="32"/>
          <w:szCs w:val="32"/>
          <w:u w:val="none"/>
        </w:rPr>
        <w:t>万元。与上年决算相比，减少</w:t>
      </w:r>
      <w:r>
        <w:rPr>
          <w:rFonts w:eastAsia="Times New Roman"/>
          <w:color w:val="auto"/>
          <w:kern w:val="0"/>
          <w:sz w:val="32"/>
          <w:szCs w:val="32"/>
          <w:u w:val="none"/>
          <w:lang w:eastAsia="en-US"/>
        </w:rPr>
        <w:t xml:space="preserve"> 462.40</w:t>
      </w:r>
      <w:r>
        <w:rPr>
          <w:rFonts w:ascii="FangSong_GB2312" w:hAnsi="FangSong_GB2312" w:eastAsia="FangSong_GB2312" w:cs="FangSong_GB2312"/>
          <w:color w:val="auto"/>
          <w:kern w:val="0"/>
          <w:sz w:val="32"/>
          <w:szCs w:val="32"/>
          <w:u w:val="none"/>
        </w:rPr>
        <w:t>万元，下降</w:t>
      </w:r>
      <w:r>
        <w:rPr>
          <w:rFonts w:eastAsia="Times New Roman"/>
          <w:color w:val="auto"/>
          <w:kern w:val="0"/>
          <w:sz w:val="32"/>
          <w:szCs w:val="32"/>
          <w:u w:val="none"/>
          <w:lang w:eastAsia="en-US"/>
        </w:rPr>
        <w:t xml:space="preserve"> 5.96</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，变动原因：</w:t>
      </w:r>
      <w:r>
        <w:rPr>
          <w:rFonts w:hint="eastAsia" w:ascii="FangSong_GB2312" w:hAnsi="FangSong_GB2312" w:eastAsia="FangSong_GB2312" w:cs="FangSong_GB2312"/>
          <w:color w:val="auto"/>
          <w:kern w:val="0"/>
          <w:sz w:val="32"/>
          <w:szCs w:val="32"/>
          <w:u w:val="none"/>
          <w:lang w:val="en-US" w:eastAsia="zh-CN"/>
        </w:rPr>
        <w:t>经营业务量较上年减少，经营收入较上年减少850.95万元，一般公共预算财政拨款收入较上年增加388.55万元，合计减少462.4万元</w:t>
      </w:r>
      <w:r>
        <w:rPr>
          <w:rFonts w:ascii="FangSong_GB2312" w:hAnsi="FangSong_GB2312" w:eastAsia="FangSong_GB2312" w:cs="FangSong_GB2312"/>
          <w:color w:val="auto"/>
          <w:kern w:val="0"/>
          <w:sz w:val="32"/>
          <w:szCs w:val="32"/>
          <w:u w:val="none"/>
        </w:rPr>
        <w:t>。</w:t>
      </w:r>
    </w:p>
    <w:p w14:paraId="448475A4">
      <w:pPr>
        <w:pStyle w:val="28"/>
        <w:widowControl/>
        <w:spacing w:before="240" w:after="240" w:line="560" w:lineRule="atLeast"/>
        <w:ind w:firstLine="640"/>
        <w:jc w:val="left"/>
        <w:rPr>
          <w:rFonts w:hint="default" w:ascii="Times New Roman" w:hAnsi="Times New Roman" w:eastAsia="Times New Roman" w:cs="Times New Roman"/>
          <w:color w:val="auto"/>
          <w:kern w:val="0"/>
          <w:sz w:val="24"/>
          <w:u w:val="none"/>
          <w:lang w:val="en-US"/>
        </w:rPr>
      </w:pPr>
      <w:r>
        <w:rPr>
          <w:rFonts w:eastAsia="Times New Roman"/>
          <w:color w:val="auto"/>
          <w:kern w:val="0"/>
          <w:sz w:val="32"/>
          <w:szCs w:val="32"/>
          <w:u w:val="none"/>
          <w:lang w:eastAsia="en-US"/>
        </w:rPr>
        <w:t>2</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使用非财政拨款结余（含专用结余）</w:t>
      </w:r>
      <w:r>
        <w:rPr>
          <w:rFonts w:eastAsia="Times New Roman"/>
          <w:color w:val="auto"/>
          <w:kern w:val="0"/>
          <w:sz w:val="32"/>
          <w:szCs w:val="32"/>
          <w:u w:val="none"/>
          <w:lang w:eastAsia="en-US"/>
        </w:rPr>
        <w:t xml:space="preserve"> 580.04</w:t>
      </w:r>
      <w:r>
        <w:rPr>
          <w:rFonts w:ascii="FangSong_GB2312" w:hAnsi="FangSong_GB2312" w:eastAsia="FangSong_GB2312" w:cs="FangSong_GB2312"/>
          <w:color w:val="auto"/>
          <w:kern w:val="0"/>
          <w:sz w:val="32"/>
          <w:szCs w:val="32"/>
          <w:u w:val="none"/>
        </w:rPr>
        <w:t>万元。与上年决算相比，增加</w:t>
      </w:r>
      <w:r>
        <w:rPr>
          <w:rFonts w:eastAsia="Times New Roman"/>
          <w:color w:val="auto"/>
          <w:kern w:val="0"/>
          <w:sz w:val="32"/>
          <w:szCs w:val="32"/>
          <w:u w:val="none"/>
          <w:lang w:eastAsia="en-US"/>
        </w:rPr>
        <w:t>538.62</w:t>
      </w:r>
      <w:r>
        <w:rPr>
          <w:rFonts w:ascii="FangSong_GB2312" w:hAnsi="FangSong_GB2312" w:eastAsia="FangSong_GB2312" w:cs="FangSong_GB2312"/>
          <w:color w:val="auto"/>
          <w:kern w:val="0"/>
          <w:sz w:val="32"/>
          <w:szCs w:val="32"/>
          <w:u w:val="none"/>
        </w:rPr>
        <w:t>万元，增长</w:t>
      </w:r>
      <w:r>
        <w:rPr>
          <w:rFonts w:eastAsia="Times New Roman"/>
          <w:color w:val="auto"/>
          <w:kern w:val="0"/>
          <w:sz w:val="32"/>
          <w:szCs w:val="32"/>
          <w:u w:val="none"/>
          <w:lang w:eastAsia="en-US"/>
        </w:rPr>
        <w:t>1300.22</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，变动原因</w:t>
      </w:r>
      <w:r>
        <w:rPr>
          <w:rFonts w:hint="eastAsia" w:ascii="FangSong_GB2312" w:hAnsi="FangSong_GB2312" w:eastAsia="FangSong_GB2312" w:cs="FangSong_GB2312"/>
          <w:color w:val="auto"/>
          <w:kern w:val="0"/>
          <w:sz w:val="32"/>
          <w:szCs w:val="32"/>
          <w:u w:val="none"/>
          <w:lang w:eastAsia="zh-CN"/>
        </w:rPr>
        <w:t>：</w:t>
      </w:r>
      <w:r>
        <w:rPr>
          <w:rFonts w:hint="eastAsia" w:ascii="FangSong_GB2312" w:hAnsi="FangSong_GB2312" w:eastAsia="FangSong_GB2312" w:cs="FangSong_GB2312"/>
          <w:color w:val="auto"/>
          <w:kern w:val="0"/>
          <w:sz w:val="32"/>
          <w:szCs w:val="32"/>
          <w:u w:val="none"/>
          <w:lang w:val="en-US" w:eastAsia="zh-CN"/>
        </w:rPr>
        <w:t>年末经营结余减少，非财政拨款结余减少。</w:t>
      </w:r>
    </w:p>
    <w:p w14:paraId="17B3330A">
      <w:pPr>
        <w:pStyle w:val="28"/>
        <w:widowControl/>
        <w:spacing w:before="240" w:after="240" w:line="560" w:lineRule="atLeast"/>
        <w:ind w:firstLine="640"/>
        <w:jc w:val="left"/>
        <w:rPr>
          <w:rFonts w:ascii="FangSong_GB2312" w:hAnsi="FangSong_GB2312" w:eastAsia="FangSong_GB2312" w:cs="FangSong_GB2312"/>
          <w:color w:val="auto"/>
          <w:kern w:val="0"/>
          <w:sz w:val="32"/>
          <w:szCs w:val="32"/>
          <w:u w:val="none"/>
        </w:rPr>
      </w:pPr>
      <w:r>
        <w:rPr>
          <w:rFonts w:eastAsia="Times New Roman"/>
          <w:color w:val="auto"/>
          <w:kern w:val="0"/>
          <w:sz w:val="32"/>
          <w:szCs w:val="32"/>
          <w:u w:val="none"/>
          <w:lang w:eastAsia="en-US"/>
        </w:rPr>
        <w:t>3</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年初结转和结余</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rPr>
        <w:t>万元。与上年决算相比，增加</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rPr>
        <w:t>万元，增长</w:t>
      </w:r>
      <w:r>
        <w:rPr>
          <w:rFonts w:eastAsia="Times New Roman"/>
          <w:color w:val="auto"/>
          <w:kern w:val="0"/>
          <w:sz w:val="32"/>
          <w:szCs w:val="32"/>
          <w:u w:val="none"/>
          <w:lang w:eastAsia="en-US"/>
        </w:rPr>
        <w:t> 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，变动原因：</w:t>
      </w:r>
      <w:r>
        <w:rPr>
          <w:rFonts w:hint="eastAsia" w:ascii="FangSong_GB2312" w:hAnsi="FangSong_GB2312" w:eastAsia="FangSong_GB2312" w:cs="FangSong_GB2312"/>
          <w:color w:val="auto"/>
          <w:kern w:val="0"/>
          <w:sz w:val="32"/>
          <w:szCs w:val="32"/>
          <w:u w:val="none"/>
          <w:lang w:val="en-US" w:eastAsia="zh-CN"/>
        </w:rPr>
        <w:t>无变动，无年初结转结余资金</w:t>
      </w:r>
      <w:r>
        <w:rPr>
          <w:rFonts w:ascii="FangSong_GB2312" w:hAnsi="FangSong_GB2312" w:eastAsia="FangSong_GB2312" w:cs="FangSong_GB2312"/>
          <w:color w:val="auto"/>
          <w:kern w:val="0"/>
          <w:sz w:val="32"/>
          <w:szCs w:val="32"/>
          <w:u w:val="none"/>
        </w:rPr>
        <w:t>。</w:t>
      </w:r>
    </w:p>
    <w:p w14:paraId="45B4A44D">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楷体" w:hAnsi="楷体" w:eastAsia="楷体" w:cs="楷体"/>
          <w:b/>
          <w:bCs/>
          <w:color w:val="auto"/>
          <w:kern w:val="0"/>
          <w:sz w:val="32"/>
          <w:szCs w:val="32"/>
          <w:u w:val="none"/>
        </w:rPr>
        <w:t>（二）支出决算总计</w:t>
      </w:r>
      <w:r>
        <w:rPr>
          <w:rFonts w:eastAsia="Times New Roman"/>
          <w:b/>
          <w:bCs/>
          <w:color w:val="auto"/>
          <w:kern w:val="0"/>
          <w:sz w:val="32"/>
          <w:szCs w:val="32"/>
          <w:u w:val="none"/>
          <w:lang w:eastAsia="en-US"/>
        </w:rPr>
        <w:t xml:space="preserve"> 7871.63</w:t>
      </w:r>
      <w:r>
        <w:rPr>
          <w:rFonts w:ascii="楷体" w:hAnsi="楷体" w:eastAsia="楷体" w:cs="楷体"/>
          <w:b/>
          <w:bCs/>
          <w:color w:val="auto"/>
          <w:kern w:val="0"/>
          <w:sz w:val="32"/>
          <w:szCs w:val="32"/>
          <w:u w:val="none"/>
        </w:rPr>
        <w:t>万元。包括：</w:t>
      </w:r>
    </w:p>
    <w:p w14:paraId="00CFC597">
      <w:pPr>
        <w:pStyle w:val="28"/>
        <w:widowControl/>
        <w:spacing w:before="240" w:after="240" w:line="560" w:lineRule="atLeast"/>
        <w:ind w:firstLine="640"/>
        <w:jc w:val="left"/>
        <w:rPr>
          <w:rFonts w:ascii="FangSong_GB2312" w:hAnsi="FangSong_GB2312" w:eastAsia="FangSong_GB2312" w:cs="FangSong_GB2312"/>
          <w:color w:val="auto"/>
          <w:kern w:val="0"/>
          <w:sz w:val="32"/>
          <w:szCs w:val="32"/>
          <w:u w:val="none"/>
        </w:rPr>
      </w:pPr>
      <w:r>
        <w:rPr>
          <w:rFonts w:eastAsia="Times New Roman"/>
          <w:color w:val="auto"/>
          <w:kern w:val="0"/>
          <w:sz w:val="32"/>
          <w:szCs w:val="32"/>
          <w:u w:val="none"/>
          <w:lang w:eastAsia="en-US"/>
        </w:rPr>
        <w:t>1</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本年支出决算合计</w:t>
      </w:r>
      <w:r>
        <w:rPr>
          <w:rFonts w:eastAsia="Times New Roman"/>
          <w:color w:val="auto"/>
          <w:kern w:val="0"/>
          <w:sz w:val="32"/>
          <w:szCs w:val="32"/>
          <w:u w:val="none"/>
          <w:lang w:eastAsia="en-US"/>
        </w:rPr>
        <w:t xml:space="preserve"> 7611.23</w:t>
      </w:r>
      <w:r>
        <w:rPr>
          <w:rFonts w:ascii="FangSong_GB2312" w:hAnsi="FangSong_GB2312" w:eastAsia="FangSong_GB2312" w:cs="FangSong_GB2312"/>
          <w:color w:val="auto"/>
          <w:kern w:val="0"/>
          <w:sz w:val="32"/>
          <w:szCs w:val="32"/>
          <w:u w:val="none"/>
        </w:rPr>
        <w:t>万元。与上年决算相比，增加</w:t>
      </w:r>
      <w:r>
        <w:rPr>
          <w:rFonts w:eastAsia="Times New Roman"/>
          <w:color w:val="auto"/>
          <w:kern w:val="0"/>
          <w:sz w:val="32"/>
          <w:szCs w:val="32"/>
          <w:u w:val="none"/>
          <w:lang w:eastAsia="en-US"/>
        </w:rPr>
        <w:t xml:space="preserve"> 855.77</w:t>
      </w:r>
      <w:r>
        <w:rPr>
          <w:rFonts w:ascii="FangSong_GB2312" w:hAnsi="FangSong_GB2312" w:eastAsia="FangSong_GB2312" w:cs="FangSong_GB2312"/>
          <w:color w:val="auto"/>
          <w:kern w:val="0"/>
          <w:sz w:val="32"/>
          <w:szCs w:val="32"/>
          <w:u w:val="none"/>
        </w:rPr>
        <w:t>万元，增长</w:t>
      </w:r>
      <w:r>
        <w:rPr>
          <w:rFonts w:eastAsia="Times New Roman"/>
          <w:color w:val="auto"/>
          <w:kern w:val="0"/>
          <w:sz w:val="32"/>
          <w:szCs w:val="32"/>
          <w:u w:val="none"/>
          <w:lang w:eastAsia="en-US"/>
        </w:rPr>
        <w:t xml:space="preserve"> 12.67</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，变动原因</w:t>
      </w:r>
      <w:r>
        <w:rPr>
          <w:rFonts w:hint="eastAsia" w:ascii="FangSong_GB2312" w:hAnsi="FangSong_GB2312" w:eastAsia="FangSong_GB2312" w:cs="FangSong_GB2312"/>
          <w:color w:val="auto"/>
          <w:kern w:val="0"/>
          <w:sz w:val="32"/>
          <w:szCs w:val="32"/>
          <w:u w:val="none"/>
          <w:lang w:eastAsia="zh-CN"/>
        </w:rPr>
        <w:t>：</w:t>
      </w:r>
      <w:r>
        <w:rPr>
          <w:rFonts w:hint="eastAsia" w:ascii="FangSong_GB2312" w:hAnsi="FangSong_GB2312" w:eastAsia="FangSong_GB2312" w:cs="FangSong_GB2312"/>
          <w:color w:val="auto"/>
          <w:kern w:val="0"/>
          <w:sz w:val="32"/>
          <w:szCs w:val="32"/>
          <w:u w:val="none"/>
          <w:lang w:val="en-US" w:eastAsia="zh-CN"/>
        </w:rPr>
        <w:t>一是一般公共服务支出需求较上年增加，二是因为人员工资随年度增长，工资成本增加，社保等各类支出亦较上年增加</w:t>
      </w:r>
      <w:r>
        <w:rPr>
          <w:rFonts w:ascii="FangSong_GB2312" w:hAnsi="FangSong_GB2312" w:eastAsia="FangSong_GB2312" w:cs="FangSong_GB2312"/>
          <w:color w:val="auto"/>
          <w:kern w:val="0"/>
          <w:sz w:val="32"/>
          <w:szCs w:val="32"/>
          <w:u w:val="none"/>
        </w:rPr>
        <w:t>。</w:t>
      </w:r>
    </w:p>
    <w:p w14:paraId="28F26B26">
      <w:pPr>
        <w:pStyle w:val="28"/>
        <w:widowControl/>
        <w:spacing w:before="240" w:after="240" w:line="560" w:lineRule="atLeast"/>
        <w:ind w:firstLine="640"/>
        <w:jc w:val="left"/>
        <w:rPr>
          <w:rFonts w:ascii="FangSong_GB2312" w:hAnsi="FangSong_GB2312" w:eastAsia="FangSong_GB2312" w:cs="FangSong_GB2312"/>
          <w:color w:val="auto"/>
          <w:kern w:val="0"/>
          <w:sz w:val="32"/>
          <w:szCs w:val="32"/>
          <w:u w:val="none"/>
        </w:rPr>
      </w:pPr>
      <w:r>
        <w:rPr>
          <w:rFonts w:eastAsia="Times New Roman"/>
          <w:color w:val="auto"/>
          <w:kern w:val="0"/>
          <w:sz w:val="32"/>
          <w:szCs w:val="32"/>
          <w:u w:val="none"/>
          <w:lang w:eastAsia="en-US"/>
        </w:rPr>
        <w:t>2</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结余分配</w:t>
      </w:r>
      <w:r>
        <w:rPr>
          <w:rFonts w:eastAsia="Times New Roman"/>
          <w:color w:val="auto"/>
          <w:kern w:val="0"/>
          <w:sz w:val="32"/>
          <w:szCs w:val="32"/>
          <w:u w:val="none"/>
          <w:lang w:eastAsia="en-US"/>
        </w:rPr>
        <w:t xml:space="preserve"> 260.40</w:t>
      </w:r>
      <w:r>
        <w:rPr>
          <w:rFonts w:ascii="FangSong_GB2312" w:hAnsi="FangSong_GB2312" w:eastAsia="FangSong_GB2312" w:cs="FangSong_GB2312"/>
          <w:color w:val="auto"/>
          <w:kern w:val="0"/>
          <w:sz w:val="32"/>
          <w:szCs w:val="32"/>
          <w:u w:val="none"/>
        </w:rPr>
        <w:t>万元。结余分配事项：</w:t>
      </w:r>
      <w:r>
        <w:rPr>
          <w:rFonts w:hint="eastAsia" w:ascii="FangSong_GB2312" w:hAnsi="FangSong_GB2312" w:eastAsia="FangSong_GB2312" w:cs="FangSong_GB2312"/>
          <w:color w:val="auto"/>
          <w:kern w:val="0"/>
          <w:sz w:val="32"/>
          <w:szCs w:val="32"/>
          <w:u w:val="none"/>
          <w:lang w:val="en-US" w:eastAsia="zh-CN"/>
        </w:rPr>
        <w:t>使用专用结余弥补职工福利支出不足65.1</w:t>
      </w:r>
      <w:r>
        <w:rPr>
          <w:rFonts w:hint="eastAsia" w:ascii="FangSong_GB2312" w:hAnsi="FangSong_GB2312" w:eastAsia="FangSong_GB2312" w:cs="FangSong_GB2312"/>
          <w:color w:val="auto"/>
          <w:kern w:val="0"/>
          <w:sz w:val="32"/>
          <w:szCs w:val="32"/>
          <w:u w:val="none"/>
        </w:rPr>
        <w:t>万元，</w:t>
      </w:r>
      <w:r>
        <w:rPr>
          <w:rFonts w:hint="eastAsia" w:ascii="FangSong_GB2312" w:hAnsi="FangSong_GB2312" w:eastAsia="FangSong_GB2312" w:cs="FangSong_GB2312"/>
          <w:color w:val="auto"/>
          <w:kern w:val="0"/>
          <w:sz w:val="32"/>
          <w:szCs w:val="32"/>
          <w:u w:val="none"/>
          <w:lang w:val="en-US" w:eastAsia="zh-CN"/>
        </w:rPr>
        <w:t>使用非财政拨款</w:t>
      </w:r>
      <w:r>
        <w:rPr>
          <w:rFonts w:hint="eastAsia" w:ascii="FangSong_GB2312" w:hAnsi="FangSong_GB2312" w:eastAsia="FangSong_GB2312" w:cs="FangSong_GB2312"/>
          <w:color w:val="auto"/>
          <w:kern w:val="0"/>
          <w:sz w:val="32"/>
          <w:szCs w:val="32"/>
          <w:u w:val="none"/>
        </w:rPr>
        <w:t>结余</w:t>
      </w:r>
      <w:r>
        <w:rPr>
          <w:rFonts w:hint="eastAsia" w:ascii="FangSong_GB2312" w:hAnsi="FangSong_GB2312" w:eastAsia="FangSong_GB2312" w:cs="FangSong_GB2312"/>
          <w:color w:val="auto"/>
          <w:kern w:val="0"/>
          <w:sz w:val="32"/>
          <w:szCs w:val="32"/>
          <w:u w:val="none"/>
          <w:lang w:val="en-US" w:eastAsia="zh-CN"/>
        </w:rPr>
        <w:t>弥补事业支出不足195.3</w:t>
      </w:r>
      <w:r>
        <w:rPr>
          <w:rFonts w:hint="eastAsia" w:ascii="FangSong_GB2312" w:hAnsi="FangSong_GB2312" w:eastAsia="FangSong_GB2312" w:cs="FangSong_GB2312"/>
          <w:color w:val="auto"/>
          <w:kern w:val="0"/>
          <w:sz w:val="32"/>
          <w:szCs w:val="32"/>
          <w:u w:val="none"/>
        </w:rPr>
        <w:t>万元</w:t>
      </w:r>
      <w:r>
        <w:rPr>
          <w:rFonts w:ascii="FangSong_GB2312" w:hAnsi="FangSong_GB2312" w:eastAsia="FangSong_GB2312" w:cs="FangSong_GB2312"/>
          <w:color w:val="auto"/>
          <w:kern w:val="0"/>
          <w:sz w:val="32"/>
          <w:szCs w:val="32"/>
          <w:u w:val="none"/>
        </w:rPr>
        <w:t>。与上年决算相比，减少</w:t>
      </w:r>
      <w:r>
        <w:rPr>
          <w:rFonts w:eastAsia="Times New Roman"/>
          <w:color w:val="auto"/>
          <w:kern w:val="0"/>
          <w:sz w:val="32"/>
          <w:szCs w:val="32"/>
          <w:u w:val="none"/>
          <w:lang w:eastAsia="en-US"/>
        </w:rPr>
        <w:t>779.55</w:t>
      </w:r>
      <w:r>
        <w:rPr>
          <w:rFonts w:ascii="FangSong_GB2312" w:hAnsi="FangSong_GB2312" w:eastAsia="FangSong_GB2312" w:cs="FangSong_GB2312"/>
          <w:color w:val="auto"/>
          <w:kern w:val="0"/>
          <w:sz w:val="32"/>
          <w:szCs w:val="32"/>
          <w:u w:val="none"/>
        </w:rPr>
        <w:t>万元，下降</w:t>
      </w:r>
      <w:r>
        <w:rPr>
          <w:rFonts w:eastAsia="Times New Roman"/>
          <w:color w:val="auto"/>
          <w:kern w:val="0"/>
          <w:sz w:val="32"/>
          <w:szCs w:val="32"/>
          <w:u w:val="none"/>
          <w:lang w:eastAsia="en-US"/>
        </w:rPr>
        <w:t xml:space="preserve"> 74.96</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，变动原因：</w:t>
      </w:r>
      <w:r>
        <w:rPr>
          <w:rFonts w:hint="eastAsia" w:ascii="FangSong_GB2312" w:hAnsi="FangSong_GB2312" w:eastAsia="FangSong_GB2312" w:cs="FangSong_GB2312"/>
          <w:color w:val="auto"/>
          <w:kern w:val="0"/>
          <w:sz w:val="32"/>
          <w:szCs w:val="32"/>
          <w:u w:val="none"/>
          <w:lang w:val="en-US" w:eastAsia="zh-CN"/>
        </w:rPr>
        <w:t>2025年经营收入由于经济环境下行的影响减少，结余比去年减少850.95万元</w:t>
      </w:r>
      <w:r>
        <w:rPr>
          <w:rFonts w:ascii="FangSong_GB2312" w:hAnsi="FangSong_GB2312" w:eastAsia="FangSong_GB2312" w:cs="FangSong_GB2312"/>
          <w:color w:val="auto"/>
          <w:kern w:val="0"/>
          <w:sz w:val="32"/>
          <w:szCs w:val="32"/>
          <w:u w:val="none"/>
        </w:rPr>
        <w:t>。</w:t>
      </w:r>
    </w:p>
    <w:p w14:paraId="325C138A">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eastAsia="Times New Roman"/>
          <w:color w:val="auto"/>
          <w:kern w:val="0"/>
          <w:sz w:val="32"/>
          <w:szCs w:val="32"/>
          <w:u w:val="none"/>
          <w:lang w:eastAsia="en-US"/>
        </w:rPr>
        <w:t>3</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年末结转和结余 0万元。与上年决算相比，增加 0万元，增长 0%，变动原因：</w:t>
      </w:r>
      <w:r>
        <w:rPr>
          <w:rFonts w:hint="eastAsia" w:ascii="FangSong_GB2312" w:hAnsi="FangSong_GB2312" w:eastAsia="FangSong_GB2312" w:cs="FangSong_GB2312"/>
          <w:color w:val="auto"/>
          <w:kern w:val="0"/>
          <w:sz w:val="32"/>
          <w:szCs w:val="32"/>
          <w:u w:val="none"/>
        </w:rPr>
        <w:t>无变动，不存在此项内容</w:t>
      </w:r>
      <w:r>
        <w:rPr>
          <w:rFonts w:hint="eastAsia" w:ascii="FangSong_GB2312" w:hAnsi="FangSong_GB2312" w:eastAsia="FangSong_GB2312" w:cs="FangSong_GB2312"/>
          <w:color w:val="auto"/>
          <w:kern w:val="0"/>
          <w:sz w:val="32"/>
          <w:szCs w:val="32"/>
          <w:u w:val="none"/>
          <w:lang w:eastAsia="zh-CN"/>
        </w:rPr>
        <w:t>。</w:t>
      </w:r>
    </w:p>
    <w:p w14:paraId="1E4DB2D2">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二、收入决算情况说明</w:t>
      </w:r>
    </w:p>
    <w:p w14:paraId="52AC709F">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 xml:space="preserve">内蒙古自治区特种设备检验研究院包头分院 </w:t>
      </w:r>
      <w:r>
        <w:rPr>
          <w:rFonts w:eastAsia="Times New Roman"/>
          <w:color w:val="auto"/>
          <w:kern w:val="0"/>
          <w:sz w:val="32"/>
          <w:szCs w:val="32"/>
          <w:u w:val="none"/>
          <w:lang w:eastAsia="en-US"/>
        </w:rPr>
        <w:t>2025</w:t>
      </w:r>
      <w:r>
        <w:rPr>
          <w:rFonts w:ascii="FangSong_GB2312" w:hAnsi="FangSong_GB2312" w:eastAsia="FangSong_GB2312" w:cs="FangSong_GB2312"/>
          <w:color w:val="auto"/>
          <w:kern w:val="0"/>
          <w:sz w:val="32"/>
          <w:szCs w:val="32"/>
          <w:u w:val="none"/>
        </w:rPr>
        <w:t>年度本年收入决算合计</w:t>
      </w:r>
      <w:r>
        <w:rPr>
          <w:rFonts w:eastAsia="Times New Roman"/>
          <w:color w:val="auto"/>
          <w:kern w:val="0"/>
          <w:sz w:val="32"/>
          <w:szCs w:val="32"/>
          <w:u w:val="none"/>
          <w:lang w:eastAsia="en-US"/>
        </w:rPr>
        <w:t xml:space="preserve"> 7291.58</w:t>
      </w:r>
      <w:r>
        <w:rPr>
          <w:rFonts w:ascii="FangSong_GB2312" w:hAnsi="FangSong_GB2312" w:eastAsia="FangSong_GB2312" w:cs="FangSong_GB2312"/>
          <w:color w:val="auto"/>
          <w:kern w:val="0"/>
          <w:sz w:val="32"/>
          <w:szCs w:val="32"/>
          <w:u w:val="none"/>
        </w:rPr>
        <w:t>万元，其中：</w:t>
      </w:r>
    </w:p>
    <w:p w14:paraId="5DD7508B">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一般公共预算财政拨款收入</w:t>
      </w:r>
      <w:r>
        <w:rPr>
          <w:rFonts w:eastAsia="Times New Roman"/>
          <w:color w:val="auto"/>
          <w:kern w:val="0"/>
          <w:sz w:val="32"/>
          <w:szCs w:val="32"/>
          <w:u w:val="none"/>
          <w:lang w:eastAsia="en-US"/>
        </w:rPr>
        <w:t xml:space="preserve"> 4075.99</w:t>
      </w:r>
      <w:r>
        <w:rPr>
          <w:rFonts w:ascii="FangSong_GB2312" w:hAnsi="FangSong_GB2312" w:eastAsia="FangSong_GB2312" w:cs="FangSong_GB2312"/>
          <w:color w:val="auto"/>
          <w:kern w:val="0"/>
          <w:sz w:val="32"/>
          <w:szCs w:val="32"/>
          <w:u w:val="none"/>
        </w:rPr>
        <w:t>万元，占</w:t>
      </w:r>
      <w:r>
        <w:rPr>
          <w:rFonts w:eastAsia="Times New Roman"/>
          <w:color w:val="auto"/>
          <w:kern w:val="0"/>
          <w:sz w:val="32"/>
          <w:szCs w:val="32"/>
          <w:u w:val="none"/>
          <w:lang w:eastAsia="en-US"/>
        </w:rPr>
        <w:t xml:space="preserve"> 55.90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w:t>
      </w:r>
    </w:p>
    <w:p w14:paraId="27B36FE5">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政府性基金预算财政拨款收入</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rPr>
        <w:t>万元，占</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w:t>
      </w:r>
    </w:p>
    <w:p w14:paraId="57C9B269">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国有资本经营预算财政拨款收入</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rPr>
        <w:t>万元，占</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w:t>
      </w:r>
    </w:p>
    <w:p w14:paraId="67B6B495">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上级补助收入</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rPr>
        <w:t>万元，占</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w:t>
      </w:r>
    </w:p>
    <w:p w14:paraId="47BE4659">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事业收入</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rPr>
        <w:t>万元，占</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w:t>
      </w:r>
    </w:p>
    <w:p w14:paraId="1F0F2E3A">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经营收入</w:t>
      </w:r>
      <w:r>
        <w:rPr>
          <w:rFonts w:eastAsia="Times New Roman"/>
          <w:color w:val="auto"/>
          <w:kern w:val="0"/>
          <w:sz w:val="32"/>
          <w:szCs w:val="32"/>
          <w:u w:val="none"/>
          <w:lang w:eastAsia="en-US"/>
        </w:rPr>
        <w:t xml:space="preserve"> 3215.59</w:t>
      </w:r>
      <w:r>
        <w:rPr>
          <w:rFonts w:ascii="FangSong_GB2312" w:hAnsi="FangSong_GB2312" w:eastAsia="FangSong_GB2312" w:cs="FangSong_GB2312"/>
          <w:color w:val="auto"/>
          <w:kern w:val="0"/>
          <w:sz w:val="32"/>
          <w:szCs w:val="32"/>
          <w:u w:val="none"/>
        </w:rPr>
        <w:t>万元，占</w:t>
      </w:r>
      <w:r>
        <w:rPr>
          <w:rFonts w:eastAsia="Times New Roman"/>
          <w:color w:val="auto"/>
          <w:kern w:val="0"/>
          <w:sz w:val="32"/>
          <w:szCs w:val="32"/>
          <w:u w:val="none"/>
          <w:lang w:eastAsia="en-US"/>
        </w:rPr>
        <w:t xml:space="preserve"> 44.10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w:t>
      </w:r>
    </w:p>
    <w:p w14:paraId="1281C007">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附属单位上缴收入</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rPr>
        <w:t>万元，占</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w:t>
      </w:r>
    </w:p>
    <w:p w14:paraId="7595F18D">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其他收入</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rPr>
        <w:t>万元，占</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w:t>
      </w:r>
    </w:p>
    <w:p w14:paraId="0C4143CA">
      <w:pPr>
        <w:widowControl/>
        <w:spacing w:before="240" w:after="240"/>
        <w:jc w:val="center"/>
        <w:rPr>
          <w:rFonts w:ascii="Times New Roman" w:hAnsi="Times New Roman" w:eastAsia="Times New Roman" w:cs="Times New Roman"/>
          <w:color w:val="auto"/>
          <w:kern w:val="0"/>
          <w:sz w:val="24"/>
          <w:u w:val="none"/>
        </w:rPr>
      </w:pPr>
      <w:r>
        <w:rPr>
          <w:rFonts w:hint="eastAsia"/>
          <w:color w:val="auto"/>
          <w:u w:val="none"/>
        </w:rPr>
        <w:drawing>
          <wp:inline distT="0" distB="0" distL="114300" distR="114300">
            <wp:extent cx="5422900" cy="3021965"/>
            <wp:effectExtent l="4445" t="4445" r="8255" b="889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ascii="Times New Roman" w:hAnsi="Times New Roman" w:eastAsia="Times New Roman" w:cs="Times New Roman"/>
          <w:color w:val="auto"/>
          <w:kern w:val="0"/>
          <w:sz w:val="24"/>
          <w:u w:val="none"/>
        </w:rPr>
        <w:t> </w:t>
      </w:r>
      <w:r>
        <w:rPr>
          <w:rFonts w:ascii="FangSong_GB2312" w:hAnsi="FangSong_GB2312" w:eastAsia="FangSong_GB2312" w:cs="FangSong_GB2312"/>
          <w:color w:val="auto"/>
          <w:kern w:val="0"/>
          <w:sz w:val="27"/>
          <w:szCs w:val="27"/>
          <w:u w:val="none"/>
        </w:rPr>
        <w:t>图</w:t>
      </w:r>
      <w:r>
        <w:rPr>
          <w:rFonts w:ascii="times_new_roman" w:hAnsi="times_new_roman" w:eastAsia="times_new_roman" w:cs="times_new_roman"/>
          <w:color w:val="auto"/>
          <w:kern w:val="0"/>
          <w:sz w:val="27"/>
          <w:szCs w:val="27"/>
          <w:u w:val="none"/>
        </w:rPr>
        <w:t>1</w:t>
      </w:r>
      <w:r>
        <w:rPr>
          <w:rFonts w:ascii="FangSong_GB2312" w:hAnsi="FangSong_GB2312" w:eastAsia="FangSong_GB2312" w:cs="FangSong_GB2312"/>
          <w:color w:val="auto"/>
          <w:kern w:val="0"/>
          <w:sz w:val="27"/>
          <w:szCs w:val="27"/>
          <w:u w:val="none"/>
        </w:rPr>
        <w:t>.收入决算图</w:t>
      </w:r>
    </w:p>
    <w:p w14:paraId="40AB3CE8">
      <w:pPr>
        <w:pStyle w:val="28"/>
        <w:widowControl/>
        <w:spacing w:before="240" w:after="240" w:line="600" w:lineRule="atLeast"/>
        <w:ind w:firstLine="643"/>
        <w:jc w:val="left"/>
        <w:rPr>
          <w:rFonts w:ascii="Times New Roman" w:hAnsi="Times New Roman" w:eastAsia="Times New Roman" w:cs="Times New Roman"/>
          <w:color w:val="auto"/>
          <w:kern w:val="0"/>
          <w:sz w:val="24"/>
          <w:u w:val="none" w:color="FFFFFF" w:themeColor="background1"/>
        </w:rPr>
      </w:pPr>
      <w:r>
        <w:rPr>
          <w:rFonts w:ascii="黑体" w:hAnsi="黑体" w:eastAsia="黑体" w:cs="黑体"/>
          <w:b/>
          <w:bCs/>
          <w:color w:val="auto"/>
          <w:kern w:val="0"/>
          <w:sz w:val="32"/>
          <w:szCs w:val="32"/>
          <w:u w:val="none" w:color="FFFFFF" w:themeColor="background1"/>
        </w:rPr>
        <w:t>三、支出决算情况说明</w:t>
      </w:r>
    </w:p>
    <w:p w14:paraId="588EFAEC">
      <w:pPr>
        <w:pStyle w:val="28"/>
        <w:widowControl/>
        <w:spacing w:before="240" w:after="240" w:line="560" w:lineRule="atLeast"/>
        <w:ind w:firstLine="640"/>
        <w:jc w:val="left"/>
        <w:rPr>
          <w:rFonts w:ascii="Times New Roman" w:hAnsi="Times New Roman" w:eastAsia="Times New Roman" w:cs="Times New Roman"/>
          <w:color w:val="auto"/>
          <w:kern w:val="0"/>
          <w:sz w:val="24"/>
          <w:u w:val="none" w:color="FFFFFF" w:themeColor="background1"/>
        </w:rPr>
      </w:pPr>
      <w:r>
        <w:rPr>
          <w:rFonts w:ascii="FangSong_GB2312" w:hAnsi="FangSong_GB2312" w:eastAsia="FangSong_GB2312" w:cs="FangSong_GB2312"/>
          <w:color w:val="auto"/>
          <w:kern w:val="0"/>
          <w:sz w:val="32"/>
          <w:szCs w:val="32"/>
          <w:u w:val="none" w:color="FFFFFF" w:themeColor="background1"/>
        </w:rPr>
        <w:t>内蒙古自治区特种设备检验研究院包头分院</w:t>
      </w:r>
      <w:r>
        <w:rPr>
          <w:rFonts w:ascii="Times New Roman" w:hAnsi="Times New Roman" w:eastAsia="Times New Roman" w:cs="Times New Roman"/>
          <w:color w:val="auto"/>
          <w:kern w:val="0"/>
          <w:sz w:val="24"/>
          <w:u w:val="none" w:color="FFFFFF" w:themeColor="background1"/>
        </w:rPr>
        <w:t xml:space="preserve"> </w:t>
      </w:r>
      <w:r>
        <w:rPr>
          <w:rFonts w:eastAsia="Times New Roman"/>
          <w:color w:val="auto"/>
          <w:kern w:val="0"/>
          <w:sz w:val="32"/>
          <w:szCs w:val="32"/>
          <w:u w:val="none" w:color="FFFFFF" w:themeColor="background1"/>
          <w:lang w:eastAsia="en-US"/>
        </w:rPr>
        <w:t>2025</w:t>
      </w:r>
      <w:r>
        <w:rPr>
          <w:rFonts w:ascii="FangSong_GB2312" w:hAnsi="FangSong_GB2312" w:eastAsia="FangSong_GB2312" w:cs="FangSong_GB2312"/>
          <w:color w:val="auto"/>
          <w:kern w:val="0"/>
          <w:sz w:val="32"/>
          <w:szCs w:val="32"/>
          <w:u w:val="none" w:color="FFFFFF" w:themeColor="background1"/>
        </w:rPr>
        <w:t>年度本年支出决算合</w:t>
      </w:r>
      <w:r>
        <w:rPr>
          <w:rFonts w:ascii="FangSong_GB2312" w:hAnsi="FangSong_GB2312" w:eastAsia="FangSong_GB2312" w:cs="FangSong_GB2312"/>
          <w:strike w:val="0"/>
          <w:dstrike w:val="0"/>
          <w:color w:val="auto"/>
          <w:kern w:val="0"/>
          <w:sz w:val="32"/>
          <w:szCs w:val="32"/>
          <w:u w:val="none" w:color="FFFFFF" w:themeColor="background1"/>
        </w:rPr>
        <w:t>计</w:t>
      </w:r>
      <w:r>
        <w:rPr>
          <w:rFonts w:eastAsia="Times New Roman"/>
          <w:strike w:val="0"/>
          <w:dstrike w:val="0"/>
          <w:color w:val="auto"/>
          <w:kern w:val="0"/>
          <w:sz w:val="32"/>
          <w:szCs w:val="32"/>
          <w:u w:val="none" w:color="FFFFFF" w:themeColor="background1"/>
          <w:lang w:eastAsia="en-US"/>
        </w:rPr>
        <w:t xml:space="preserve"> 7611.23</w:t>
      </w:r>
      <w:r>
        <w:rPr>
          <w:rFonts w:ascii="FangSong_GB2312" w:hAnsi="FangSong_GB2312" w:eastAsia="FangSong_GB2312" w:cs="FangSong_GB2312"/>
          <w:strike w:val="0"/>
          <w:dstrike w:val="0"/>
          <w:color w:val="auto"/>
          <w:kern w:val="0"/>
          <w:sz w:val="32"/>
          <w:szCs w:val="32"/>
          <w:u w:val="none" w:color="FFFFFF" w:themeColor="background1"/>
        </w:rPr>
        <w:t>万</w:t>
      </w:r>
      <w:r>
        <w:rPr>
          <w:rFonts w:ascii="FangSong_GB2312" w:hAnsi="FangSong_GB2312" w:eastAsia="FangSong_GB2312" w:cs="FangSong_GB2312"/>
          <w:color w:val="auto"/>
          <w:kern w:val="0"/>
          <w:sz w:val="32"/>
          <w:szCs w:val="32"/>
          <w:u w:val="none" w:color="FFFFFF" w:themeColor="background1"/>
        </w:rPr>
        <w:t>元，其中：</w:t>
      </w:r>
    </w:p>
    <w:p w14:paraId="7BF2D109">
      <w:pPr>
        <w:pStyle w:val="28"/>
        <w:widowControl/>
        <w:spacing w:before="240" w:after="240" w:line="560" w:lineRule="atLeast"/>
        <w:ind w:firstLine="640"/>
        <w:jc w:val="left"/>
        <w:rPr>
          <w:rFonts w:ascii="Times New Roman" w:hAnsi="Times New Roman" w:eastAsia="Times New Roman" w:cs="Times New Roman"/>
          <w:color w:val="auto"/>
          <w:kern w:val="0"/>
          <w:sz w:val="24"/>
          <w:u w:val="none" w:color="FFFFFF" w:themeColor="background1"/>
        </w:rPr>
      </w:pPr>
      <w:r>
        <w:rPr>
          <w:rFonts w:ascii="FangSong_GB2312" w:hAnsi="FangSong_GB2312" w:eastAsia="FangSong_GB2312" w:cs="FangSong_GB2312"/>
          <w:color w:val="auto"/>
          <w:kern w:val="0"/>
          <w:sz w:val="32"/>
          <w:szCs w:val="32"/>
          <w:u w:val="none" w:color="FFFFFF" w:themeColor="background1"/>
        </w:rPr>
        <w:t>基本支出</w:t>
      </w:r>
      <w:r>
        <w:rPr>
          <w:rFonts w:eastAsia="Times New Roman"/>
          <w:color w:val="auto"/>
          <w:kern w:val="0"/>
          <w:sz w:val="32"/>
          <w:szCs w:val="32"/>
          <w:u w:val="none" w:color="FFFFFF" w:themeColor="background1"/>
          <w:lang w:eastAsia="en-US"/>
        </w:rPr>
        <w:t xml:space="preserve"> 2348.32</w:t>
      </w:r>
      <w:r>
        <w:rPr>
          <w:rFonts w:ascii="FangSong_GB2312" w:hAnsi="FangSong_GB2312" w:eastAsia="FangSong_GB2312" w:cs="FangSong_GB2312"/>
          <w:color w:val="auto"/>
          <w:kern w:val="0"/>
          <w:sz w:val="32"/>
          <w:szCs w:val="32"/>
          <w:u w:val="none" w:color="FFFFFF" w:themeColor="background1"/>
        </w:rPr>
        <w:t>万元，占</w:t>
      </w:r>
      <w:r>
        <w:rPr>
          <w:rFonts w:eastAsia="Times New Roman"/>
          <w:color w:val="auto"/>
          <w:kern w:val="0"/>
          <w:sz w:val="32"/>
          <w:szCs w:val="32"/>
          <w:u w:val="none" w:color="FFFFFF" w:themeColor="background1"/>
          <w:lang w:eastAsia="en-US"/>
        </w:rPr>
        <w:t xml:space="preserve"> 30.85</w:t>
      </w:r>
      <w:r>
        <w:rPr>
          <w:rFonts w:ascii="FangSong_GB2312" w:hAnsi="FangSong_GB2312" w:eastAsia="FangSong_GB2312" w:cs="FangSong_GB2312"/>
          <w:color w:val="auto"/>
          <w:kern w:val="0"/>
          <w:sz w:val="32"/>
          <w:szCs w:val="32"/>
          <w:u w:val="none" w:color="FFFFFF" w:themeColor="background1"/>
          <w:lang w:eastAsia="en-US"/>
        </w:rPr>
        <w:t>%</w:t>
      </w:r>
      <w:r>
        <w:rPr>
          <w:rFonts w:ascii="FangSong_GB2312" w:hAnsi="FangSong_GB2312" w:eastAsia="FangSong_GB2312" w:cs="FangSong_GB2312"/>
          <w:color w:val="auto"/>
          <w:kern w:val="0"/>
          <w:sz w:val="32"/>
          <w:szCs w:val="32"/>
          <w:u w:val="none" w:color="FFFFFF" w:themeColor="background1"/>
        </w:rPr>
        <w:t>；</w:t>
      </w:r>
    </w:p>
    <w:p w14:paraId="0660BE6F">
      <w:pPr>
        <w:pStyle w:val="28"/>
        <w:widowControl/>
        <w:spacing w:before="240" w:after="240" w:line="560" w:lineRule="atLeast"/>
        <w:ind w:firstLine="640"/>
        <w:jc w:val="left"/>
        <w:rPr>
          <w:rFonts w:ascii="Times New Roman" w:hAnsi="Times New Roman" w:eastAsia="Times New Roman" w:cs="Times New Roman"/>
          <w:color w:val="auto"/>
          <w:kern w:val="0"/>
          <w:sz w:val="24"/>
          <w:u w:val="none" w:color="FFFFFF" w:themeColor="background1"/>
        </w:rPr>
      </w:pPr>
      <w:r>
        <w:rPr>
          <w:rFonts w:ascii="FangSong_GB2312" w:hAnsi="FangSong_GB2312" w:eastAsia="FangSong_GB2312" w:cs="FangSong_GB2312"/>
          <w:color w:val="auto"/>
          <w:kern w:val="0"/>
          <w:sz w:val="32"/>
          <w:szCs w:val="32"/>
          <w:u w:val="none" w:color="FFFFFF" w:themeColor="background1"/>
        </w:rPr>
        <w:t>项目支出</w:t>
      </w:r>
      <w:r>
        <w:rPr>
          <w:rFonts w:eastAsia="Times New Roman"/>
          <w:color w:val="auto"/>
          <w:kern w:val="0"/>
          <w:sz w:val="32"/>
          <w:szCs w:val="32"/>
          <w:u w:val="none" w:color="FFFFFF" w:themeColor="background1"/>
          <w:lang w:eastAsia="en-US"/>
        </w:rPr>
        <w:t xml:space="preserve"> 2307.71</w:t>
      </w:r>
      <w:r>
        <w:rPr>
          <w:rFonts w:ascii="FangSong_GB2312" w:hAnsi="FangSong_GB2312" w:eastAsia="FangSong_GB2312" w:cs="FangSong_GB2312"/>
          <w:color w:val="auto"/>
          <w:kern w:val="0"/>
          <w:sz w:val="32"/>
          <w:szCs w:val="32"/>
          <w:u w:val="none" w:color="FFFFFF" w:themeColor="background1"/>
        </w:rPr>
        <w:t>万元，占</w:t>
      </w:r>
      <w:r>
        <w:rPr>
          <w:rFonts w:eastAsia="Times New Roman"/>
          <w:color w:val="auto"/>
          <w:kern w:val="0"/>
          <w:sz w:val="32"/>
          <w:szCs w:val="32"/>
          <w:u w:val="none" w:color="FFFFFF" w:themeColor="background1"/>
          <w:lang w:eastAsia="en-US"/>
        </w:rPr>
        <w:t xml:space="preserve"> 30.32</w:t>
      </w:r>
      <w:r>
        <w:rPr>
          <w:rFonts w:ascii="FangSong_GB2312" w:hAnsi="FangSong_GB2312" w:eastAsia="FangSong_GB2312" w:cs="FangSong_GB2312"/>
          <w:color w:val="auto"/>
          <w:kern w:val="0"/>
          <w:sz w:val="32"/>
          <w:szCs w:val="32"/>
          <w:u w:val="none" w:color="FFFFFF" w:themeColor="background1"/>
          <w:lang w:eastAsia="en-US"/>
        </w:rPr>
        <w:t>%</w:t>
      </w:r>
      <w:r>
        <w:rPr>
          <w:rFonts w:ascii="FangSong_GB2312" w:hAnsi="FangSong_GB2312" w:eastAsia="FangSong_GB2312" w:cs="FangSong_GB2312"/>
          <w:color w:val="auto"/>
          <w:kern w:val="0"/>
          <w:sz w:val="32"/>
          <w:szCs w:val="32"/>
          <w:u w:val="none" w:color="FFFFFF" w:themeColor="background1"/>
        </w:rPr>
        <w:t>；</w:t>
      </w:r>
    </w:p>
    <w:p w14:paraId="3345FFF2">
      <w:pPr>
        <w:pStyle w:val="28"/>
        <w:widowControl/>
        <w:spacing w:before="240" w:after="240" w:line="560" w:lineRule="atLeast"/>
        <w:ind w:firstLine="640"/>
        <w:jc w:val="left"/>
        <w:rPr>
          <w:rFonts w:ascii="Times New Roman" w:hAnsi="Times New Roman" w:eastAsia="Times New Roman" w:cs="Times New Roman"/>
          <w:color w:val="auto"/>
          <w:kern w:val="0"/>
          <w:sz w:val="24"/>
          <w:u w:val="none" w:color="FFFFFF" w:themeColor="background1"/>
        </w:rPr>
      </w:pPr>
      <w:r>
        <w:rPr>
          <w:rFonts w:ascii="FangSong_GB2312" w:hAnsi="FangSong_GB2312" w:eastAsia="FangSong_GB2312" w:cs="FangSong_GB2312"/>
          <w:color w:val="auto"/>
          <w:kern w:val="0"/>
          <w:sz w:val="32"/>
          <w:szCs w:val="32"/>
          <w:u w:val="none" w:color="FFFFFF" w:themeColor="background1"/>
        </w:rPr>
        <w:t>上缴上级支出</w:t>
      </w:r>
      <w:r>
        <w:rPr>
          <w:rFonts w:eastAsia="Times New Roman"/>
          <w:color w:val="auto"/>
          <w:kern w:val="0"/>
          <w:sz w:val="32"/>
          <w:szCs w:val="32"/>
          <w:u w:val="none" w:color="FFFFFF" w:themeColor="background1"/>
          <w:lang w:eastAsia="en-US"/>
        </w:rPr>
        <w:t xml:space="preserve"> 0</w:t>
      </w:r>
      <w:r>
        <w:rPr>
          <w:rFonts w:ascii="FangSong_GB2312" w:hAnsi="FangSong_GB2312" w:eastAsia="FangSong_GB2312" w:cs="FangSong_GB2312"/>
          <w:color w:val="auto"/>
          <w:kern w:val="0"/>
          <w:sz w:val="32"/>
          <w:szCs w:val="32"/>
          <w:u w:val="none" w:color="FFFFFF" w:themeColor="background1"/>
        </w:rPr>
        <w:t>万元，占</w:t>
      </w:r>
      <w:r>
        <w:rPr>
          <w:rFonts w:eastAsia="Times New Roman"/>
          <w:color w:val="auto"/>
          <w:kern w:val="0"/>
          <w:sz w:val="32"/>
          <w:szCs w:val="32"/>
          <w:u w:val="none" w:color="FFFFFF" w:themeColor="background1"/>
          <w:lang w:eastAsia="en-US"/>
        </w:rPr>
        <w:t xml:space="preserve"> 0</w:t>
      </w:r>
      <w:r>
        <w:rPr>
          <w:rFonts w:ascii="FangSong_GB2312" w:hAnsi="FangSong_GB2312" w:eastAsia="FangSong_GB2312" w:cs="FangSong_GB2312"/>
          <w:color w:val="auto"/>
          <w:kern w:val="0"/>
          <w:sz w:val="32"/>
          <w:szCs w:val="32"/>
          <w:u w:val="none" w:color="FFFFFF" w:themeColor="background1"/>
          <w:lang w:eastAsia="en-US"/>
        </w:rPr>
        <w:t>%</w:t>
      </w:r>
      <w:r>
        <w:rPr>
          <w:rFonts w:ascii="FangSong_GB2312" w:hAnsi="FangSong_GB2312" w:eastAsia="FangSong_GB2312" w:cs="FangSong_GB2312"/>
          <w:color w:val="auto"/>
          <w:kern w:val="0"/>
          <w:sz w:val="32"/>
          <w:szCs w:val="32"/>
          <w:u w:val="none" w:color="FFFFFF" w:themeColor="background1"/>
        </w:rPr>
        <w:t>；</w:t>
      </w:r>
    </w:p>
    <w:p w14:paraId="3E831D2F">
      <w:pPr>
        <w:pStyle w:val="28"/>
        <w:widowControl/>
        <w:spacing w:before="240" w:after="240" w:line="560" w:lineRule="atLeast"/>
        <w:ind w:firstLine="640"/>
        <w:jc w:val="left"/>
        <w:rPr>
          <w:rFonts w:ascii="Times New Roman" w:hAnsi="Times New Roman" w:eastAsia="Times New Roman" w:cs="Times New Roman"/>
          <w:color w:val="auto"/>
          <w:kern w:val="0"/>
          <w:sz w:val="24"/>
          <w:u w:val="none" w:color="FFFFFF" w:themeColor="background1"/>
        </w:rPr>
      </w:pPr>
      <w:r>
        <w:rPr>
          <w:rFonts w:ascii="FangSong_GB2312" w:hAnsi="FangSong_GB2312" w:eastAsia="FangSong_GB2312" w:cs="FangSong_GB2312"/>
          <w:color w:val="auto"/>
          <w:kern w:val="0"/>
          <w:sz w:val="32"/>
          <w:szCs w:val="32"/>
          <w:u w:val="none" w:color="FFFFFF" w:themeColor="background1"/>
        </w:rPr>
        <w:t>经营支出</w:t>
      </w:r>
      <w:r>
        <w:rPr>
          <w:rFonts w:eastAsia="Times New Roman"/>
          <w:color w:val="auto"/>
          <w:kern w:val="0"/>
          <w:sz w:val="32"/>
          <w:szCs w:val="32"/>
          <w:u w:val="none" w:color="FFFFFF" w:themeColor="background1"/>
          <w:lang w:eastAsia="en-US"/>
        </w:rPr>
        <w:t xml:space="preserve"> 2955.19</w:t>
      </w:r>
      <w:r>
        <w:rPr>
          <w:rFonts w:ascii="FangSong_GB2312" w:hAnsi="FangSong_GB2312" w:eastAsia="FangSong_GB2312" w:cs="FangSong_GB2312"/>
          <w:color w:val="auto"/>
          <w:kern w:val="0"/>
          <w:sz w:val="32"/>
          <w:szCs w:val="32"/>
          <w:u w:val="none" w:color="FFFFFF" w:themeColor="background1"/>
        </w:rPr>
        <w:t>万元，占</w:t>
      </w:r>
      <w:r>
        <w:rPr>
          <w:rFonts w:eastAsia="Times New Roman"/>
          <w:color w:val="auto"/>
          <w:kern w:val="0"/>
          <w:sz w:val="32"/>
          <w:szCs w:val="32"/>
          <w:u w:val="none" w:color="FFFFFF" w:themeColor="background1"/>
          <w:lang w:eastAsia="en-US"/>
        </w:rPr>
        <w:t xml:space="preserve"> 38.83</w:t>
      </w:r>
      <w:r>
        <w:rPr>
          <w:rFonts w:ascii="FangSong_GB2312" w:hAnsi="FangSong_GB2312" w:eastAsia="FangSong_GB2312" w:cs="FangSong_GB2312"/>
          <w:color w:val="auto"/>
          <w:kern w:val="0"/>
          <w:sz w:val="32"/>
          <w:szCs w:val="32"/>
          <w:u w:val="none" w:color="FFFFFF" w:themeColor="background1"/>
          <w:lang w:eastAsia="en-US"/>
        </w:rPr>
        <w:t>%</w:t>
      </w:r>
      <w:r>
        <w:rPr>
          <w:rFonts w:ascii="FangSong_GB2312" w:hAnsi="FangSong_GB2312" w:eastAsia="FangSong_GB2312" w:cs="FangSong_GB2312"/>
          <w:color w:val="auto"/>
          <w:kern w:val="0"/>
          <w:sz w:val="32"/>
          <w:szCs w:val="32"/>
          <w:u w:val="none" w:color="FFFFFF" w:themeColor="background1"/>
        </w:rPr>
        <w:t>；</w:t>
      </w:r>
    </w:p>
    <w:p w14:paraId="4242E1D4">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对附属单位补助支出</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rPr>
        <w:t>万元，占</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w:t>
      </w:r>
    </w:p>
    <w:p w14:paraId="60FD7A69">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hint="eastAsia"/>
          <w:color w:val="auto"/>
          <w:u w:val="none"/>
        </w:rPr>
        <w:drawing>
          <wp:inline distT="0" distB="0" distL="0" distR="0">
            <wp:extent cx="4293870" cy="3128645"/>
            <wp:effectExtent l="4445" t="4445" r="6985" b="1016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AEFF355">
      <w:pPr>
        <w:widowControl/>
        <w:spacing w:before="240" w:after="240"/>
        <w:jc w:val="center"/>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27"/>
          <w:szCs w:val="27"/>
          <w:u w:val="none"/>
        </w:rPr>
        <w:t>图2.支出决算图</w:t>
      </w:r>
    </w:p>
    <w:p w14:paraId="2ECDE9D0">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四、财政拨款收入支出决算总体情况说明</w:t>
      </w:r>
    </w:p>
    <w:p w14:paraId="4F8B7B90">
      <w:pPr>
        <w:pStyle w:val="28"/>
        <w:widowControl/>
        <w:spacing w:before="240" w:after="240" w:line="560" w:lineRule="atLeast"/>
        <w:ind w:firstLine="640"/>
        <w:jc w:val="left"/>
        <w:rPr>
          <w:rFonts w:ascii="Times New Roman" w:hAnsi="Times New Roman" w:eastAsia="Times New Roman" w:cs="Times New Roman"/>
          <w:color w:val="auto"/>
          <w:kern w:val="0"/>
          <w:sz w:val="24"/>
          <w:u w:val="none" w:color="FFFFFF" w:themeColor="background1"/>
        </w:rPr>
      </w:pPr>
      <w:r>
        <w:rPr>
          <w:rFonts w:ascii="FangSong_GB2312" w:hAnsi="FangSong_GB2312" w:eastAsia="FangSong_GB2312" w:cs="FangSong_GB2312"/>
          <w:color w:val="auto"/>
          <w:kern w:val="0"/>
          <w:sz w:val="32"/>
          <w:szCs w:val="32"/>
          <w:u w:val="none" w:color="FFFFFF" w:themeColor="background1"/>
        </w:rPr>
        <w:t>内蒙古自治区特种设备检验研究院包头分院</w:t>
      </w:r>
      <w:r>
        <w:rPr>
          <w:rFonts w:ascii="Times New Roman" w:hAnsi="Times New Roman" w:eastAsia="Times New Roman" w:cs="Times New Roman"/>
          <w:color w:val="auto"/>
          <w:kern w:val="0"/>
          <w:sz w:val="24"/>
          <w:u w:val="none" w:color="FFFFFF" w:themeColor="background1"/>
        </w:rPr>
        <w:t xml:space="preserve"> </w:t>
      </w:r>
      <w:r>
        <w:rPr>
          <w:rFonts w:eastAsia="Times New Roman"/>
          <w:color w:val="auto"/>
          <w:kern w:val="0"/>
          <w:sz w:val="32"/>
          <w:szCs w:val="32"/>
          <w:u w:val="none" w:color="FFFFFF" w:themeColor="background1"/>
          <w:lang w:eastAsia="en-US"/>
        </w:rPr>
        <w:t>2025</w:t>
      </w:r>
      <w:r>
        <w:rPr>
          <w:rFonts w:ascii="FangSong_GB2312" w:hAnsi="FangSong_GB2312" w:eastAsia="FangSong_GB2312" w:cs="FangSong_GB2312"/>
          <w:color w:val="auto"/>
          <w:kern w:val="0"/>
          <w:sz w:val="32"/>
          <w:szCs w:val="32"/>
          <w:u w:val="none" w:color="FFFFFF" w:themeColor="background1"/>
        </w:rPr>
        <w:t>年度财政拨款收入、支出决算总计均为</w:t>
      </w:r>
      <w:r>
        <w:rPr>
          <w:rFonts w:eastAsia="Times New Roman"/>
          <w:color w:val="auto"/>
          <w:kern w:val="0"/>
          <w:sz w:val="32"/>
          <w:szCs w:val="32"/>
          <w:u w:val="none" w:color="FFFFFF" w:themeColor="background1"/>
          <w:lang w:eastAsia="en-US"/>
        </w:rPr>
        <w:t xml:space="preserve"> 4075.99</w:t>
      </w:r>
      <w:r>
        <w:rPr>
          <w:rFonts w:ascii="FangSong_GB2312" w:hAnsi="FangSong_GB2312" w:eastAsia="FangSong_GB2312" w:cs="FangSong_GB2312"/>
          <w:color w:val="auto"/>
          <w:kern w:val="0"/>
          <w:sz w:val="32"/>
          <w:szCs w:val="32"/>
          <w:u w:val="none" w:color="FFFFFF" w:themeColor="background1"/>
        </w:rPr>
        <w:t>万元，与年初预算相比，收、支总计各增加</w:t>
      </w:r>
      <w:r>
        <w:rPr>
          <w:rFonts w:eastAsia="Times New Roman"/>
          <w:color w:val="auto"/>
          <w:kern w:val="0"/>
          <w:sz w:val="32"/>
          <w:szCs w:val="32"/>
          <w:u w:val="none" w:color="FFFFFF" w:themeColor="background1"/>
          <w:lang w:eastAsia="en-US"/>
        </w:rPr>
        <w:t xml:space="preserve"> 64.18</w:t>
      </w:r>
      <w:r>
        <w:rPr>
          <w:rFonts w:ascii="FangSong_GB2312" w:hAnsi="FangSong_GB2312" w:eastAsia="FangSong_GB2312" w:cs="FangSong_GB2312"/>
          <w:color w:val="auto"/>
          <w:kern w:val="0"/>
          <w:sz w:val="32"/>
          <w:szCs w:val="32"/>
          <w:u w:val="none" w:color="FFFFFF" w:themeColor="background1"/>
        </w:rPr>
        <w:t>万元，增长</w:t>
      </w:r>
      <w:r>
        <w:rPr>
          <w:rFonts w:eastAsia="Times New Roman"/>
          <w:color w:val="auto"/>
          <w:kern w:val="0"/>
          <w:sz w:val="32"/>
          <w:szCs w:val="32"/>
          <w:u w:val="none" w:color="FFFFFF" w:themeColor="background1"/>
          <w:lang w:eastAsia="en-US"/>
        </w:rPr>
        <w:t>1.60</w:t>
      </w:r>
      <w:r>
        <w:rPr>
          <w:rFonts w:ascii="FangSong_GB2312" w:hAnsi="FangSong_GB2312" w:eastAsia="FangSong_GB2312" w:cs="FangSong_GB2312"/>
          <w:color w:val="auto"/>
          <w:kern w:val="0"/>
          <w:sz w:val="32"/>
          <w:szCs w:val="32"/>
          <w:u w:val="none" w:color="FFFFFF" w:themeColor="background1"/>
          <w:lang w:eastAsia="en-US"/>
        </w:rPr>
        <w:t>%</w:t>
      </w:r>
      <w:r>
        <w:rPr>
          <w:rFonts w:ascii="FangSong_GB2312" w:hAnsi="FangSong_GB2312" w:eastAsia="FangSong_GB2312" w:cs="FangSong_GB2312"/>
          <w:color w:val="auto"/>
          <w:kern w:val="0"/>
          <w:sz w:val="32"/>
          <w:szCs w:val="32"/>
          <w:u w:val="none" w:color="FFFFFF" w:themeColor="background1"/>
        </w:rPr>
        <w:t>，变动原因：</w:t>
      </w:r>
      <w:r>
        <w:rPr>
          <w:rFonts w:hint="eastAsia" w:ascii="FangSong_GB2312" w:hAnsi="FangSong_GB2312" w:eastAsia="FangSong_GB2312" w:cs="FangSong_GB2312"/>
          <w:color w:val="auto"/>
          <w:kern w:val="0"/>
          <w:sz w:val="32"/>
          <w:szCs w:val="32"/>
          <w:u w:val="none" w:color="FFFFFF" w:themeColor="background1"/>
        </w:rPr>
        <w:t>追加人员经费，财政资金较年初增加</w:t>
      </w:r>
      <w:r>
        <w:rPr>
          <w:rFonts w:hint="eastAsia" w:ascii="FangSong_GB2312" w:hAnsi="FangSong_GB2312" w:eastAsia="FangSong_GB2312" w:cs="FangSong_GB2312"/>
          <w:color w:val="auto"/>
          <w:kern w:val="0"/>
          <w:sz w:val="32"/>
          <w:szCs w:val="32"/>
          <w:u w:val="none" w:color="FFFFFF" w:themeColor="background1"/>
          <w:lang w:val="en-US" w:eastAsia="zh-CN"/>
        </w:rPr>
        <w:t>68.41</w:t>
      </w:r>
      <w:r>
        <w:rPr>
          <w:rFonts w:hint="eastAsia" w:ascii="FangSong_GB2312" w:hAnsi="FangSong_GB2312" w:eastAsia="FangSong_GB2312" w:cs="FangSong_GB2312"/>
          <w:color w:val="auto"/>
          <w:kern w:val="0"/>
          <w:sz w:val="32"/>
          <w:szCs w:val="32"/>
          <w:u w:val="none" w:color="FFFFFF" w:themeColor="background1"/>
        </w:rPr>
        <w:t>万元，</w:t>
      </w:r>
      <w:r>
        <w:rPr>
          <w:rFonts w:hint="eastAsia" w:ascii="FangSong_GB2312" w:hAnsi="FangSong_GB2312" w:eastAsia="FangSong_GB2312" w:cs="FangSong_GB2312"/>
          <w:color w:val="auto"/>
          <w:kern w:val="0"/>
          <w:sz w:val="32"/>
          <w:szCs w:val="32"/>
          <w:u w:val="none" w:color="FFFFFF" w:themeColor="background1"/>
          <w:lang w:val="en-US" w:eastAsia="zh-CN"/>
        </w:rPr>
        <w:t>年末收回盘活资金三公经费及遗属生活补助4.23万元</w:t>
      </w:r>
      <w:r>
        <w:rPr>
          <w:rFonts w:ascii="FangSong_GB2312" w:hAnsi="FangSong_GB2312" w:eastAsia="FangSong_GB2312" w:cs="FangSong_GB2312"/>
          <w:color w:val="auto"/>
          <w:kern w:val="0"/>
          <w:sz w:val="32"/>
          <w:szCs w:val="32"/>
          <w:u w:val="none" w:color="FFFFFF" w:themeColor="background1"/>
        </w:rPr>
        <w:t>；与上年决算相比，收、支总计各增加</w:t>
      </w:r>
      <w:r>
        <w:rPr>
          <w:rFonts w:eastAsia="Times New Roman"/>
          <w:color w:val="auto"/>
          <w:kern w:val="0"/>
          <w:sz w:val="32"/>
          <w:szCs w:val="32"/>
          <w:u w:val="none" w:color="FFFFFF" w:themeColor="background1"/>
          <w:lang w:eastAsia="en-US"/>
        </w:rPr>
        <w:t xml:space="preserve"> 388.55</w:t>
      </w:r>
      <w:r>
        <w:rPr>
          <w:rFonts w:ascii="FangSong_GB2312" w:hAnsi="FangSong_GB2312" w:eastAsia="FangSong_GB2312" w:cs="FangSong_GB2312"/>
          <w:color w:val="auto"/>
          <w:kern w:val="0"/>
          <w:sz w:val="32"/>
          <w:szCs w:val="32"/>
          <w:u w:val="none" w:color="FFFFFF" w:themeColor="background1"/>
        </w:rPr>
        <w:t>万元，增长</w:t>
      </w:r>
      <w:r>
        <w:rPr>
          <w:rFonts w:eastAsia="Times New Roman"/>
          <w:color w:val="auto"/>
          <w:kern w:val="0"/>
          <w:sz w:val="32"/>
          <w:szCs w:val="32"/>
          <w:u w:val="none" w:color="FFFFFF" w:themeColor="background1"/>
          <w:lang w:eastAsia="en-US"/>
        </w:rPr>
        <w:t xml:space="preserve"> 10.54</w:t>
      </w:r>
      <w:r>
        <w:rPr>
          <w:rFonts w:ascii="FangSong_GB2312" w:hAnsi="FangSong_GB2312" w:eastAsia="FangSong_GB2312" w:cs="FangSong_GB2312"/>
          <w:color w:val="auto"/>
          <w:kern w:val="0"/>
          <w:sz w:val="32"/>
          <w:szCs w:val="32"/>
          <w:u w:val="none" w:color="FFFFFF" w:themeColor="background1"/>
          <w:lang w:eastAsia="en-US"/>
        </w:rPr>
        <w:t>%</w:t>
      </w:r>
      <w:r>
        <w:rPr>
          <w:rFonts w:ascii="FangSong_GB2312" w:hAnsi="FangSong_GB2312" w:eastAsia="FangSong_GB2312" w:cs="FangSong_GB2312"/>
          <w:color w:val="auto"/>
          <w:kern w:val="0"/>
          <w:sz w:val="32"/>
          <w:szCs w:val="32"/>
          <w:u w:val="none" w:color="FFFFFF" w:themeColor="background1"/>
        </w:rPr>
        <w:t>，变动原因：</w:t>
      </w:r>
      <w:r>
        <w:rPr>
          <w:rFonts w:hint="eastAsia" w:ascii="FangSong_GB2312" w:hAnsi="FangSong_GB2312" w:eastAsia="FangSong_GB2312" w:cs="FangSong_GB2312"/>
          <w:color w:val="auto"/>
          <w:kern w:val="0"/>
          <w:sz w:val="32"/>
          <w:szCs w:val="32"/>
          <w:u w:val="none" w:color="FFFFFF" w:themeColor="background1"/>
        </w:rPr>
        <w:t>我单位202</w:t>
      </w:r>
      <w:r>
        <w:rPr>
          <w:rFonts w:hint="eastAsia" w:ascii="FangSong_GB2312" w:hAnsi="FangSong_GB2312" w:eastAsia="FangSong_GB2312" w:cs="FangSong_GB2312"/>
          <w:color w:val="auto"/>
          <w:kern w:val="0"/>
          <w:sz w:val="32"/>
          <w:szCs w:val="32"/>
          <w:u w:val="none" w:color="FFFFFF" w:themeColor="background1"/>
          <w:lang w:val="en-US" w:eastAsia="zh-CN"/>
        </w:rPr>
        <w:t>5</w:t>
      </w:r>
      <w:r>
        <w:rPr>
          <w:rFonts w:hint="eastAsia" w:ascii="FangSong_GB2312" w:hAnsi="FangSong_GB2312" w:eastAsia="FangSong_GB2312" w:cs="FangSong_GB2312"/>
          <w:color w:val="auto"/>
          <w:kern w:val="0"/>
          <w:sz w:val="32"/>
          <w:szCs w:val="32"/>
          <w:u w:val="none" w:color="FFFFFF" w:themeColor="background1"/>
        </w:rPr>
        <w:t>年度检验收入增长，</w:t>
      </w:r>
      <w:r>
        <w:rPr>
          <w:rFonts w:hint="eastAsia" w:ascii="FangSong_GB2312" w:hAnsi="FangSong_GB2312" w:eastAsia="FangSong_GB2312" w:cs="FangSong_GB2312"/>
          <w:color w:val="auto"/>
          <w:kern w:val="0"/>
          <w:sz w:val="32"/>
          <w:szCs w:val="32"/>
          <w:u w:val="none" w:color="FFFFFF" w:themeColor="background1"/>
          <w:lang w:val="en-US" w:eastAsia="zh-CN"/>
        </w:rPr>
        <w:t>财政拨款收入增加，</w:t>
      </w:r>
      <w:r>
        <w:rPr>
          <w:rFonts w:hint="eastAsia" w:ascii="FangSong_GB2312" w:hAnsi="FangSong_GB2312" w:eastAsia="FangSong_GB2312" w:cs="FangSong_GB2312"/>
          <w:color w:val="auto"/>
          <w:kern w:val="0"/>
          <w:sz w:val="32"/>
          <w:szCs w:val="32"/>
          <w:u w:val="none" w:color="FFFFFF" w:themeColor="background1"/>
        </w:rPr>
        <w:t>保障各项检验开展的费用支出相应有所增加</w:t>
      </w:r>
      <w:r>
        <w:rPr>
          <w:rFonts w:ascii="FangSong_GB2312" w:hAnsi="FangSong_GB2312" w:eastAsia="FangSong_GB2312" w:cs="FangSong_GB2312"/>
          <w:color w:val="auto"/>
          <w:kern w:val="0"/>
          <w:sz w:val="32"/>
          <w:szCs w:val="32"/>
          <w:u w:val="none" w:color="FFFFFF" w:themeColor="background1"/>
        </w:rPr>
        <w:t>。</w:t>
      </w:r>
    </w:p>
    <w:p w14:paraId="101C52AF">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五、一般公共预算财政拨款支出决算情况说明</w:t>
      </w:r>
    </w:p>
    <w:p w14:paraId="11967787">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hint="eastAsia" w:ascii="FangSong_GB2312" w:hAnsi="FangSong_GB2312" w:eastAsia="FangSong_GB2312" w:cs="FangSong_GB2312"/>
          <w:color w:val="auto"/>
          <w:kern w:val="0"/>
          <w:sz w:val="32"/>
          <w:szCs w:val="32"/>
          <w:u w:val="none"/>
        </w:rPr>
        <w:t>内蒙古自治区特种设备检验研究院包头分院2025年度一般公共预算财政拨款支出决算4075.99万元，与年初预算4011.82万元相比，完成年初预算的101.60%，其中：</w:t>
      </w:r>
    </w:p>
    <w:p w14:paraId="32FDD6C5">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楷体" w:hAnsi="楷体" w:eastAsia="楷体" w:cs="楷体"/>
          <w:b/>
          <w:bCs/>
          <w:color w:val="auto"/>
          <w:kern w:val="0"/>
          <w:sz w:val="32"/>
          <w:szCs w:val="32"/>
          <w:u w:val="none"/>
        </w:rPr>
        <w:t>（一）一般公共服务（类）</w:t>
      </w:r>
    </w:p>
    <w:p w14:paraId="3E66F3B6">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一般公共服务（类）决算数为</w:t>
      </w:r>
      <w:r>
        <w:rPr>
          <w:rFonts w:eastAsia="Times New Roman"/>
          <w:color w:val="auto"/>
          <w:kern w:val="0"/>
          <w:sz w:val="32"/>
          <w:szCs w:val="32"/>
          <w:u w:val="none"/>
          <w:lang w:eastAsia="en-US"/>
        </w:rPr>
        <w:t xml:space="preserve"> 3646.06</w:t>
      </w:r>
      <w:r>
        <w:rPr>
          <w:rFonts w:ascii="FangSong_GB2312" w:hAnsi="FangSong_GB2312" w:eastAsia="FangSong_GB2312" w:cs="FangSong_GB2312"/>
          <w:color w:val="auto"/>
          <w:kern w:val="0"/>
          <w:sz w:val="32"/>
          <w:szCs w:val="32"/>
          <w:u w:val="none"/>
        </w:rPr>
        <w:t>万元，与年初预算相比减少</w:t>
      </w:r>
      <w:r>
        <w:rPr>
          <w:rFonts w:eastAsia="Times New Roman"/>
          <w:color w:val="auto"/>
          <w:kern w:val="0"/>
          <w:sz w:val="32"/>
          <w:szCs w:val="32"/>
          <w:u w:val="none"/>
          <w:lang w:eastAsia="en-US"/>
        </w:rPr>
        <w:t>54.</w:t>
      </w:r>
      <w:r>
        <w:rPr>
          <w:rFonts w:hint="eastAsia" w:eastAsia="宋体"/>
          <w:color w:val="auto"/>
          <w:kern w:val="0"/>
          <w:sz w:val="32"/>
          <w:szCs w:val="32"/>
          <w:u w:val="none"/>
          <w:lang w:val="en-US" w:eastAsia="zh-CN"/>
        </w:rPr>
        <w:t>90</w:t>
      </w:r>
      <w:r>
        <w:rPr>
          <w:rFonts w:ascii="FangSong_GB2312" w:hAnsi="FangSong_GB2312" w:eastAsia="FangSong_GB2312" w:cs="FangSong_GB2312"/>
          <w:color w:val="auto"/>
          <w:kern w:val="0"/>
          <w:sz w:val="32"/>
          <w:szCs w:val="32"/>
          <w:u w:val="none"/>
        </w:rPr>
        <w:t>万元。其中：</w:t>
      </w:r>
    </w:p>
    <w:p w14:paraId="02287782">
      <w:pPr>
        <w:widowControl/>
        <w:spacing w:before="240" w:after="240"/>
        <w:ind w:firstLine="640" w:firstLineChars="200"/>
        <w:rPr>
          <w:rFonts w:hint="default" w:ascii="FangSong_GB2312" w:hAnsi="FangSong_GB2312" w:eastAsia="FangSong_GB2312" w:cs="FangSong_GB2312"/>
          <w:color w:val="auto"/>
          <w:kern w:val="0"/>
          <w:sz w:val="32"/>
          <w:szCs w:val="32"/>
          <w:u w:val="none"/>
          <w:lang w:val="en-US" w:eastAsia="zh-CN" w:bidi="ar-SA"/>
        </w:rPr>
      </w:pPr>
      <w:r>
        <w:rPr>
          <w:rFonts w:hint="eastAsia" w:ascii="FangSong_GB2312" w:hAnsi="FangSong_GB2312" w:eastAsia="FangSong_GB2312" w:cs="FangSong_GB2312"/>
          <w:color w:val="auto"/>
          <w:kern w:val="0"/>
          <w:sz w:val="32"/>
          <w:szCs w:val="32"/>
          <w:u w:val="none"/>
          <w:lang w:val="en-US" w:eastAsia="zh-CN" w:bidi="ar-SA"/>
        </w:rPr>
        <w:t>1．市场监督管理事务（款）质量安全监管（项）。年初预算1409.00万元，支出决算1407.26万元，完成年初预算的99.88%。决算数与年初预算数的差异原因：公务接待费未执行完毕，财政盘活1.36万元。公务用车运行维护费未执行完毕，财政盘活0.38万元。</w:t>
      </w:r>
    </w:p>
    <w:p w14:paraId="0BE3045A">
      <w:pPr>
        <w:widowControl/>
        <w:spacing w:before="240" w:after="240"/>
        <w:ind w:firstLine="640" w:firstLineChars="200"/>
        <w:rPr>
          <w:rFonts w:hint="eastAsia" w:ascii="FangSong_GB2312" w:hAnsi="FangSong_GB2312" w:eastAsia="FangSong_GB2312" w:cs="FangSong_GB2312"/>
          <w:color w:val="auto"/>
          <w:kern w:val="0"/>
          <w:sz w:val="32"/>
          <w:szCs w:val="32"/>
          <w:u w:val="none"/>
          <w:lang w:val="en-US" w:eastAsia="zh-CN" w:bidi="ar-SA"/>
        </w:rPr>
      </w:pPr>
      <w:r>
        <w:rPr>
          <w:rFonts w:hint="eastAsia" w:ascii="FangSong_GB2312" w:hAnsi="FangSong_GB2312" w:eastAsia="FangSong_GB2312" w:cs="FangSong_GB2312"/>
          <w:color w:val="auto"/>
          <w:kern w:val="0"/>
          <w:sz w:val="32"/>
          <w:szCs w:val="32"/>
          <w:u w:val="none"/>
          <w:lang w:val="en-US" w:eastAsia="zh-CN" w:bidi="ar-SA"/>
        </w:rPr>
        <w:t>2．市场监督管理事务（款）事业运行（项）。年初预算2291.96万元，支出决算1918.39万元，完成年初预算的83.7%</w:t>
      </w:r>
      <w:r>
        <w:rPr>
          <w:rFonts w:hint="eastAsia" w:ascii="FangSong_GB2312" w:hAnsi="FangSong_GB2312" w:eastAsia="FangSong_GB2312" w:cs="FangSong_GB2312"/>
          <w:color w:val="auto"/>
          <w:kern w:val="0"/>
          <w:sz w:val="32"/>
          <w:szCs w:val="32"/>
          <w:highlight w:val="none"/>
          <w:u w:val="none"/>
          <w:lang w:val="en-US" w:eastAsia="zh-CN" w:bidi="ar-SA"/>
        </w:rPr>
        <w:t>。决算数与年初预算数的差异原因：一是</w:t>
      </w:r>
      <w:r>
        <w:rPr>
          <w:rFonts w:hint="eastAsia" w:ascii="FangSong_GB2312" w:hAnsi="FangSong_GB2312" w:eastAsia="FangSong_GB2312" w:cs="FangSong_GB2312"/>
          <w:color w:val="auto"/>
          <w:kern w:val="0"/>
          <w:sz w:val="32"/>
          <w:szCs w:val="32"/>
          <w:u w:val="none"/>
          <w:lang w:val="en-US" w:eastAsia="zh-CN" w:bidi="ar-SA"/>
        </w:rPr>
        <w:t>2025年</w:t>
      </w:r>
      <w:r>
        <w:rPr>
          <w:rFonts w:hint="eastAsia" w:ascii="FangSong_GB2312" w:hAnsi="FangSong_GB2312" w:eastAsia="FangSong_GB2312" w:cs="FangSong_GB2312"/>
          <w:color w:val="auto"/>
          <w:kern w:val="0"/>
          <w:sz w:val="32"/>
          <w:szCs w:val="32"/>
          <w:highlight w:val="none"/>
          <w:u w:val="none"/>
          <w:lang w:val="en-US" w:eastAsia="zh-CN" w:bidi="ar-SA"/>
        </w:rPr>
        <w:t>事业发展经费支出项目321万元，年初预算下达至2013850-市场监督管理事务（款）事业运行（项），年末根据决算填报要求，调账至2013899监督管理事务（款）其他市场监督管理事务（项），因此较年初预算减少321万；二是2025年根据津补贴发放政策调整要求，对预算指标进行调剂，由事业运行支出调剂52.58万元至社会保障和就业支出，因此较年初预算数减少。</w:t>
      </w:r>
    </w:p>
    <w:p w14:paraId="3567442B">
      <w:pPr>
        <w:widowControl/>
        <w:spacing w:before="240" w:after="240"/>
        <w:ind w:firstLine="640" w:firstLineChars="200"/>
        <w:rPr>
          <w:rFonts w:hint="default" w:ascii="FangSong_GB2312" w:hAnsi="FangSong_GB2312" w:eastAsia="FangSong_GB2312" w:cs="FangSong_GB2312"/>
          <w:color w:val="auto"/>
          <w:kern w:val="0"/>
          <w:sz w:val="32"/>
          <w:szCs w:val="32"/>
          <w:u w:val="none"/>
          <w:lang w:val="en-US" w:eastAsia="zh-CN" w:bidi="ar-SA"/>
        </w:rPr>
      </w:pPr>
      <w:r>
        <w:rPr>
          <w:rFonts w:hint="eastAsia" w:ascii="FangSong_GB2312" w:hAnsi="FangSong_GB2312" w:eastAsia="FangSong_GB2312" w:cs="FangSong_GB2312"/>
          <w:color w:val="auto"/>
          <w:kern w:val="0"/>
          <w:sz w:val="32"/>
          <w:szCs w:val="32"/>
          <w:u w:val="none"/>
          <w:lang w:val="en-US" w:eastAsia="zh-CN" w:bidi="ar-SA"/>
        </w:rPr>
        <w:t>3.市场监督管理事务（款）其他市场监督管理事务（项）。年初预算数0.00万元，支出决算320.41万元，此科目无年初预算安排，决算数与年初预算数的差异原因：2025年事业发展经费支出项目321万元，年初预算下达至2013850-市场监督管理事务（款）事业运行（项），年末根据决算填报要求，调账至2013899监督管理事务（款）其他市场监督管理事务（项），同时，年末办公费及邮电费未执行完，财政盘活资金0.59万元，因此决算数较年初预算增加320.41万元。</w:t>
      </w:r>
    </w:p>
    <w:p w14:paraId="01C4E3A4">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楷体" w:hAnsi="楷体" w:eastAsia="楷体" w:cs="楷体"/>
          <w:b/>
          <w:bCs/>
          <w:color w:val="auto"/>
          <w:kern w:val="0"/>
          <w:sz w:val="32"/>
          <w:szCs w:val="32"/>
          <w:u w:val="none"/>
        </w:rPr>
        <w:t>（</w:t>
      </w:r>
      <w:r>
        <w:rPr>
          <w:rFonts w:hint="eastAsia" w:ascii="楷体" w:hAnsi="楷体" w:eastAsia="楷体" w:cs="楷体"/>
          <w:b/>
          <w:bCs/>
          <w:color w:val="auto"/>
          <w:kern w:val="0"/>
          <w:sz w:val="32"/>
          <w:szCs w:val="32"/>
          <w:u w:val="none"/>
          <w:lang w:val="en-US" w:eastAsia="zh-CN"/>
        </w:rPr>
        <w:t>二</w:t>
      </w:r>
      <w:r>
        <w:rPr>
          <w:rFonts w:ascii="楷体" w:hAnsi="楷体" w:eastAsia="楷体" w:cs="楷体"/>
          <w:b/>
          <w:bCs/>
          <w:color w:val="auto"/>
          <w:kern w:val="0"/>
          <w:sz w:val="32"/>
          <w:szCs w:val="32"/>
          <w:u w:val="none"/>
        </w:rPr>
        <w:t>）社会保障和就业支出（类）</w:t>
      </w:r>
    </w:p>
    <w:p w14:paraId="1813EAD9">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社会保障和就业支出（类）决算数为</w:t>
      </w:r>
      <w:r>
        <w:rPr>
          <w:rFonts w:eastAsia="Times New Roman"/>
          <w:color w:val="auto"/>
          <w:kern w:val="0"/>
          <w:sz w:val="32"/>
          <w:szCs w:val="32"/>
          <w:u w:val="none"/>
          <w:lang w:eastAsia="en-US"/>
        </w:rPr>
        <w:t xml:space="preserve"> 238.59</w:t>
      </w:r>
      <w:r>
        <w:rPr>
          <w:rFonts w:ascii="FangSong_GB2312" w:hAnsi="FangSong_GB2312" w:eastAsia="FangSong_GB2312" w:cs="FangSong_GB2312"/>
          <w:color w:val="auto"/>
          <w:kern w:val="0"/>
          <w:sz w:val="32"/>
          <w:szCs w:val="32"/>
          <w:u w:val="none"/>
        </w:rPr>
        <w:t>万元，与年初预算相比增加</w:t>
      </w:r>
      <w:r>
        <w:rPr>
          <w:rFonts w:eastAsia="Times New Roman"/>
          <w:color w:val="auto"/>
          <w:kern w:val="0"/>
          <w:sz w:val="32"/>
          <w:szCs w:val="32"/>
          <w:u w:val="none"/>
          <w:lang w:eastAsia="en-US"/>
        </w:rPr>
        <w:t> 49.73</w:t>
      </w:r>
      <w:r>
        <w:rPr>
          <w:rFonts w:ascii="FangSong_GB2312" w:hAnsi="FangSong_GB2312" w:eastAsia="FangSong_GB2312" w:cs="FangSong_GB2312"/>
          <w:color w:val="auto"/>
          <w:kern w:val="0"/>
          <w:sz w:val="32"/>
          <w:szCs w:val="32"/>
          <w:u w:val="none"/>
        </w:rPr>
        <w:t>万元。其中：</w:t>
      </w:r>
    </w:p>
    <w:p w14:paraId="32DD3AD5">
      <w:pPr>
        <w:pStyle w:val="28"/>
        <w:widowControl/>
        <w:spacing w:before="240" w:after="240" w:line="560" w:lineRule="atLeast"/>
        <w:ind w:firstLine="640"/>
        <w:jc w:val="left"/>
        <w:rPr>
          <w:rFonts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lang w:val="en-US" w:eastAsia="zh-CN"/>
        </w:rPr>
        <w:t>1</w:t>
      </w:r>
      <w:r>
        <w:rPr>
          <w:rFonts w:ascii="FangSong_GB2312" w:hAnsi="FangSong_GB2312" w:eastAsia="FangSong_GB2312" w:cs="FangSong_GB2312"/>
          <w:color w:val="auto"/>
          <w:kern w:val="0"/>
          <w:sz w:val="32"/>
          <w:szCs w:val="32"/>
          <w:u w:val="none"/>
        </w:rPr>
        <w:t>．行政事业单位养老支出（款）事业单位离退休（项）。年初预算</w:t>
      </w:r>
      <w:r>
        <w:rPr>
          <w:rFonts w:hint="eastAsia"/>
          <w:color w:val="auto"/>
          <w:kern w:val="0"/>
          <w:sz w:val="32"/>
          <w:szCs w:val="32"/>
          <w:u w:val="none"/>
          <w:lang w:val="en-US" w:eastAsia="zh-CN"/>
        </w:rPr>
        <w:t>38.86</w:t>
      </w:r>
      <w:r>
        <w:rPr>
          <w:rFonts w:ascii="FangSong_GB2312" w:hAnsi="FangSong_GB2312" w:eastAsia="FangSong_GB2312" w:cs="FangSong_GB2312"/>
          <w:color w:val="auto"/>
          <w:kern w:val="0"/>
          <w:sz w:val="32"/>
          <w:szCs w:val="32"/>
          <w:u w:val="none"/>
        </w:rPr>
        <w:t>万元，支出决算</w:t>
      </w:r>
      <w:r>
        <w:rPr>
          <w:rFonts w:hint="eastAsia"/>
          <w:color w:val="auto"/>
          <w:kern w:val="0"/>
          <w:sz w:val="32"/>
          <w:szCs w:val="32"/>
          <w:u w:val="none"/>
          <w:lang w:val="en-US" w:eastAsia="zh-CN"/>
        </w:rPr>
        <w:t>38.86</w:t>
      </w:r>
      <w:r>
        <w:rPr>
          <w:rFonts w:ascii="FangSong_GB2312" w:hAnsi="FangSong_GB2312" w:eastAsia="FangSong_GB2312" w:cs="FangSong_GB2312"/>
          <w:color w:val="auto"/>
          <w:kern w:val="0"/>
          <w:sz w:val="32"/>
          <w:szCs w:val="32"/>
          <w:u w:val="none"/>
        </w:rPr>
        <w:t>万元，完成年初预算的</w:t>
      </w:r>
      <w:r>
        <w:rPr>
          <w:rFonts w:hint="eastAsia"/>
          <w:color w:val="auto"/>
          <w:kern w:val="0"/>
          <w:sz w:val="32"/>
          <w:szCs w:val="32"/>
          <w:u w:val="none"/>
          <w:lang w:val="en-US" w:eastAsia="zh-CN"/>
        </w:rPr>
        <w:t>100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。决算数与年初预算数的差异原因：</w:t>
      </w:r>
      <w:r>
        <w:rPr>
          <w:rFonts w:hint="eastAsia" w:ascii="FangSong_GB2312" w:hAnsi="FangSong_GB2312" w:eastAsia="FangSong_GB2312" w:cs="FangSong_GB2312"/>
          <w:color w:val="auto"/>
          <w:kern w:val="0"/>
          <w:sz w:val="32"/>
          <w:szCs w:val="32"/>
          <w:u w:val="none"/>
        </w:rPr>
        <w:t>决算数与年初预算数无差异</w:t>
      </w:r>
      <w:r>
        <w:rPr>
          <w:rFonts w:ascii="FangSong_GB2312" w:hAnsi="FangSong_GB2312" w:eastAsia="FangSong_GB2312" w:cs="FangSong_GB2312"/>
          <w:color w:val="auto"/>
          <w:kern w:val="0"/>
          <w:sz w:val="32"/>
          <w:szCs w:val="32"/>
          <w:u w:val="none"/>
        </w:rPr>
        <w:t>。</w:t>
      </w:r>
    </w:p>
    <w:p w14:paraId="3C189372">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hint="eastAsia" w:ascii="FangSong_GB2312" w:hAnsi="FangSong_GB2312" w:eastAsia="FangSong_GB2312" w:cs="FangSong_GB2312"/>
          <w:color w:val="auto"/>
          <w:kern w:val="0"/>
          <w:sz w:val="32"/>
          <w:szCs w:val="32"/>
          <w:u w:val="none"/>
          <w:lang w:val="en-US" w:eastAsia="zh-CN"/>
        </w:rPr>
        <w:t>2</w:t>
      </w:r>
      <w:r>
        <w:rPr>
          <w:rFonts w:ascii="FangSong_GB2312" w:hAnsi="FangSong_GB2312" w:eastAsia="FangSong_GB2312" w:cs="FangSong_GB2312"/>
          <w:color w:val="auto"/>
          <w:kern w:val="0"/>
          <w:sz w:val="32"/>
          <w:szCs w:val="32"/>
          <w:u w:val="none"/>
        </w:rPr>
        <w:t>．行政事业单位养老支出（款）机关事业单位基本养老保险缴费支出（项）。年初预算</w:t>
      </w:r>
      <w:r>
        <w:rPr>
          <w:rFonts w:hint="eastAsia"/>
          <w:color w:val="auto"/>
          <w:kern w:val="0"/>
          <w:sz w:val="32"/>
          <w:szCs w:val="32"/>
          <w:u w:val="none"/>
          <w:lang w:val="en-US" w:eastAsia="zh-CN"/>
        </w:rPr>
        <w:t>100</w:t>
      </w:r>
      <w:r>
        <w:rPr>
          <w:rFonts w:ascii="FangSong_GB2312" w:hAnsi="FangSong_GB2312" w:eastAsia="FangSong_GB2312" w:cs="FangSong_GB2312"/>
          <w:color w:val="auto"/>
          <w:kern w:val="0"/>
          <w:sz w:val="32"/>
          <w:szCs w:val="32"/>
          <w:u w:val="none"/>
        </w:rPr>
        <w:t>万元，支出决算</w:t>
      </w:r>
      <w:r>
        <w:rPr>
          <w:rFonts w:hint="eastAsia"/>
          <w:color w:val="auto"/>
          <w:kern w:val="0"/>
          <w:sz w:val="32"/>
          <w:szCs w:val="32"/>
          <w:u w:val="none"/>
          <w:lang w:val="en-US" w:eastAsia="zh-CN"/>
        </w:rPr>
        <w:t>133.15</w:t>
      </w:r>
      <w:r>
        <w:rPr>
          <w:rFonts w:ascii="FangSong_GB2312" w:hAnsi="FangSong_GB2312" w:eastAsia="FangSong_GB2312" w:cs="FangSong_GB2312"/>
          <w:color w:val="auto"/>
          <w:kern w:val="0"/>
          <w:sz w:val="32"/>
          <w:szCs w:val="32"/>
          <w:u w:val="none"/>
        </w:rPr>
        <w:t>万元，完成年初预算的</w:t>
      </w:r>
      <w:r>
        <w:rPr>
          <w:rFonts w:hint="eastAsia"/>
          <w:color w:val="auto"/>
          <w:kern w:val="0"/>
          <w:sz w:val="32"/>
          <w:szCs w:val="32"/>
          <w:u w:val="none"/>
          <w:lang w:val="en-US" w:eastAsia="zh-CN"/>
        </w:rPr>
        <w:t>133.15</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。决算数与年初预算数的差异原因：</w:t>
      </w:r>
      <w:r>
        <w:rPr>
          <w:rFonts w:hint="eastAsia" w:ascii="FangSong_GB2312" w:hAnsi="FangSong_GB2312" w:eastAsia="FangSong_GB2312" w:cs="FangSong_GB2312"/>
          <w:color w:val="auto"/>
          <w:kern w:val="0"/>
          <w:sz w:val="32"/>
          <w:szCs w:val="32"/>
          <w:u w:val="none"/>
        </w:rPr>
        <w:t>人员工资</w:t>
      </w:r>
      <w:r>
        <w:rPr>
          <w:rFonts w:hint="eastAsia" w:ascii="FangSong_GB2312" w:hAnsi="FangSong_GB2312" w:eastAsia="FangSong_GB2312" w:cs="FangSong_GB2312"/>
          <w:color w:val="auto"/>
          <w:kern w:val="0"/>
          <w:sz w:val="32"/>
          <w:szCs w:val="32"/>
          <w:u w:val="none"/>
          <w:lang w:val="en-US" w:eastAsia="zh-CN"/>
        </w:rPr>
        <w:t>随年度</w:t>
      </w:r>
      <w:r>
        <w:rPr>
          <w:rFonts w:hint="eastAsia" w:ascii="FangSong_GB2312" w:hAnsi="FangSong_GB2312" w:eastAsia="FangSong_GB2312" w:cs="FangSong_GB2312"/>
          <w:color w:val="auto"/>
          <w:kern w:val="0"/>
          <w:sz w:val="32"/>
          <w:szCs w:val="32"/>
          <w:u w:val="none"/>
        </w:rPr>
        <w:t>增长，社保等各类支出亦较上年增加</w:t>
      </w:r>
      <w:r>
        <w:rPr>
          <w:rFonts w:hint="eastAsia" w:ascii="FangSong_GB2312" w:hAnsi="FangSong_GB2312" w:eastAsia="FangSong_GB2312" w:cs="FangSong_GB2312"/>
          <w:color w:val="auto"/>
          <w:kern w:val="0"/>
          <w:sz w:val="32"/>
          <w:szCs w:val="32"/>
          <w:u w:val="none"/>
          <w:lang w:eastAsia="zh-CN"/>
        </w:rPr>
        <w:t>，</w:t>
      </w:r>
      <w:r>
        <w:rPr>
          <w:rFonts w:hint="eastAsia" w:ascii="FangSong_GB2312" w:hAnsi="FangSong_GB2312" w:eastAsia="FangSong_GB2312" w:cs="FangSong_GB2312"/>
          <w:color w:val="auto"/>
          <w:kern w:val="0"/>
          <w:sz w:val="32"/>
          <w:szCs w:val="32"/>
          <w:u w:val="none"/>
          <w:lang w:val="en-US" w:eastAsia="zh-CN"/>
        </w:rPr>
        <w:t>2025预算指标调剂，由市场监督管理事务（款）事业运行（项）中的津补贴调剂至</w:t>
      </w:r>
      <w:r>
        <w:rPr>
          <w:rFonts w:ascii="FangSong_GB2312" w:hAnsi="FangSong_GB2312" w:eastAsia="FangSong_GB2312" w:cs="FangSong_GB2312"/>
          <w:color w:val="auto"/>
          <w:kern w:val="0"/>
          <w:sz w:val="32"/>
          <w:szCs w:val="32"/>
          <w:u w:val="none"/>
        </w:rPr>
        <w:t>行政事业单位养老支出（款）机关事业单位基本养老保险缴费支出（项）</w:t>
      </w:r>
      <w:r>
        <w:rPr>
          <w:rFonts w:hint="eastAsia" w:ascii="FangSong_GB2312" w:hAnsi="FangSong_GB2312" w:eastAsia="FangSong_GB2312" w:cs="FangSong_GB2312"/>
          <w:color w:val="auto"/>
          <w:kern w:val="0"/>
          <w:sz w:val="32"/>
          <w:szCs w:val="32"/>
          <w:u w:val="none"/>
          <w:lang w:val="en-US" w:eastAsia="zh-CN"/>
        </w:rPr>
        <w:t>中的</w:t>
      </w:r>
      <w:r>
        <w:rPr>
          <w:rFonts w:hint="eastAsia" w:ascii="FangSong_GB2312" w:hAnsi="FangSong_GB2312" w:eastAsia="FangSong_GB2312" w:cs="FangSong_GB2312"/>
          <w:color w:val="auto"/>
          <w:kern w:val="0"/>
          <w:sz w:val="32"/>
          <w:szCs w:val="32"/>
          <w:u w:val="none"/>
        </w:rPr>
        <w:t>机关事业单位基本养老保险缴费支出</w:t>
      </w:r>
      <w:r>
        <w:rPr>
          <w:rFonts w:hint="eastAsia" w:ascii="FangSong_GB2312" w:hAnsi="FangSong_GB2312" w:eastAsia="FangSong_GB2312" w:cs="FangSong_GB2312"/>
          <w:color w:val="auto"/>
          <w:kern w:val="0"/>
          <w:sz w:val="32"/>
          <w:szCs w:val="32"/>
          <w:u w:val="none"/>
          <w:lang w:eastAsia="zh-CN"/>
        </w:rPr>
        <w:t>，</w:t>
      </w:r>
      <w:r>
        <w:rPr>
          <w:rFonts w:hint="eastAsia" w:ascii="FangSong_GB2312" w:hAnsi="FangSong_GB2312" w:eastAsia="FangSong_GB2312" w:cs="FangSong_GB2312"/>
          <w:color w:val="auto"/>
          <w:kern w:val="0"/>
          <w:sz w:val="32"/>
          <w:szCs w:val="32"/>
          <w:u w:val="none"/>
          <w:lang w:val="en-US" w:eastAsia="zh-CN"/>
        </w:rPr>
        <w:t>因此支出较年初增加</w:t>
      </w:r>
      <w:r>
        <w:rPr>
          <w:rFonts w:ascii="FangSong_GB2312" w:hAnsi="FangSong_GB2312" w:eastAsia="FangSong_GB2312" w:cs="FangSong_GB2312"/>
          <w:color w:val="auto"/>
          <w:kern w:val="0"/>
          <w:sz w:val="32"/>
          <w:szCs w:val="32"/>
          <w:u w:val="none"/>
        </w:rPr>
        <w:t>。</w:t>
      </w:r>
    </w:p>
    <w:p w14:paraId="145BCEE6">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hint="eastAsia" w:ascii="FangSong_GB2312" w:hAnsi="FangSong_GB2312" w:eastAsia="FangSong_GB2312" w:cs="FangSong_GB2312"/>
          <w:color w:val="auto"/>
          <w:kern w:val="0"/>
          <w:sz w:val="32"/>
          <w:szCs w:val="32"/>
          <w:u w:val="none"/>
          <w:lang w:val="en-US" w:eastAsia="zh-CN"/>
        </w:rPr>
        <w:t>3</w:t>
      </w:r>
      <w:r>
        <w:rPr>
          <w:rFonts w:ascii="FangSong_GB2312" w:hAnsi="FangSong_GB2312" w:eastAsia="FangSong_GB2312" w:cs="FangSong_GB2312"/>
          <w:color w:val="auto"/>
          <w:kern w:val="0"/>
          <w:sz w:val="32"/>
          <w:szCs w:val="32"/>
          <w:u w:val="none"/>
        </w:rPr>
        <w:t>．行政事业单位养老支出（款）机关事业单位职业年金缴费支出（项）。年初预算</w:t>
      </w:r>
      <w:r>
        <w:rPr>
          <w:rFonts w:hint="eastAsia"/>
          <w:color w:val="auto"/>
          <w:kern w:val="0"/>
          <w:sz w:val="32"/>
          <w:szCs w:val="32"/>
          <w:u w:val="none"/>
          <w:lang w:val="en-US" w:eastAsia="zh-CN"/>
        </w:rPr>
        <w:t>50</w:t>
      </w:r>
      <w:r>
        <w:rPr>
          <w:rFonts w:ascii="FangSong_GB2312" w:hAnsi="FangSong_GB2312" w:eastAsia="FangSong_GB2312" w:cs="FangSong_GB2312"/>
          <w:color w:val="auto"/>
          <w:kern w:val="0"/>
          <w:sz w:val="32"/>
          <w:szCs w:val="32"/>
          <w:u w:val="none"/>
        </w:rPr>
        <w:t>万元，支出决算</w:t>
      </w:r>
      <w:r>
        <w:rPr>
          <w:rFonts w:hint="eastAsia"/>
          <w:color w:val="auto"/>
          <w:kern w:val="0"/>
          <w:sz w:val="32"/>
          <w:szCs w:val="32"/>
          <w:u w:val="none"/>
          <w:lang w:val="en-US" w:eastAsia="zh-CN"/>
        </w:rPr>
        <w:t>66.58</w:t>
      </w:r>
      <w:r>
        <w:rPr>
          <w:rFonts w:ascii="FangSong_GB2312" w:hAnsi="FangSong_GB2312" w:eastAsia="FangSong_GB2312" w:cs="FangSong_GB2312"/>
          <w:color w:val="auto"/>
          <w:kern w:val="0"/>
          <w:sz w:val="32"/>
          <w:szCs w:val="32"/>
          <w:u w:val="none"/>
        </w:rPr>
        <w:t>万元，完成年初预算的</w:t>
      </w:r>
      <w:r>
        <w:rPr>
          <w:rFonts w:hint="eastAsia"/>
          <w:color w:val="auto"/>
          <w:kern w:val="0"/>
          <w:sz w:val="32"/>
          <w:szCs w:val="32"/>
          <w:u w:val="none"/>
          <w:lang w:val="en-US" w:eastAsia="zh-CN"/>
        </w:rPr>
        <w:t>133.16</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。决算数与年初预算数的差异原因：</w:t>
      </w:r>
      <w:r>
        <w:rPr>
          <w:rFonts w:hint="eastAsia" w:ascii="FangSong_GB2312" w:hAnsi="FangSong_GB2312" w:eastAsia="FangSong_GB2312" w:cs="FangSong_GB2312"/>
          <w:color w:val="auto"/>
          <w:kern w:val="0"/>
          <w:sz w:val="32"/>
          <w:szCs w:val="32"/>
          <w:u w:val="none"/>
        </w:rPr>
        <w:t>人员工资随年度增长，社保等各类支出亦较上年增加，2025预算指标调剂，由市场监督管理事务（款）事业运行（项）中津补贴调剂至行政事业单位养老支出（款）机关事业单位基本养老保险缴费支出（项）</w:t>
      </w:r>
      <w:r>
        <w:rPr>
          <w:rFonts w:hint="eastAsia" w:ascii="FangSong_GB2312" w:hAnsi="FangSong_GB2312" w:eastAsia="FangSong_GB2312" w:cs="FangSong_GB2312"/>
          <w:color w:val="auto"/>
          <w:kern w:val="0"/>
          <w:sz w:val="32"/>
          <w:szCs w:val="32"/>
          <w:u w:val="none"/>
          <w:lang w:val="en-US" w:eastAsia="zh-CN"/>
        </w:rPr>
        <w:t>中的机关事业单位职业年金缴费支出</w:t>
      </w:r>
      <w:r>
        <w:rPr>
          <w:rFonts w:hint="eastAsia" w:ascii="FangSong_GB2312" w:hAnsi="FangSong_GB2312" w:eastAsia="FangSong_GB2312" w:cs="FangSong_GB2312"/>
          <w:color w:val="auto"/>
          <w:kern w:val="0"/>
          <w:sz w:val="32"/>
          <w:szCs w:val="32"/>
          <w:u w:val="none"/>
        </w:rPr>
        <w:t>，因此支出较年初增加</w:t>
      </w:r>
      <w:r>
        <w:rPr>
          <w:rFonts w:ascii="FangSong_GB2312" w:hAnsi="FangSong_GB2312" w:eastAsia="FangSong_GB2312" w:cs="FangSong_GB2312"/>
          <w:color w:val="auto"/>
          <w:kern w:val="0"/>
          <w:sz w:val="32"/>
          <w:szCs w:val="32"/>
          <w:u w:val="none"/>
        </w:rPr>
        <w:t>。</w:t>
      </w:r>
    </w:p>
    <w:p w14:paraId="3035AEAB">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楷体" w:hAnsi="楷体" w:eastAsia="楷体" w:cs="楷体"/>
          <w:b/>
          <w:bCs/>
          <w:color w:val="auto"/>
          <w:kern w:val="0"/>
          <w:sz w:val="32"/>
          <w:szCs w:val="32"/>
          <w:u w:val="none"/>
        </w:rPr>
        <w:t>（</w:t>
      </w:r>
      <w:r>
        <w:rPr>
          <w:rFonts w:hint="eastAsia" w:ascii="楷体" w:hAnsi="楷体" w:eastAsia="楷体" w:cs="楷体"/>
          <w:b/>
          <w:bCs/>
          <w:color w:val="auto"/>
          <w:kern w:val="0"/>
          <w:sz w:val="32"/>
          <w:szCs w:val="32"/>
          <w:u w:val="none"/>
          <w:lang w:val="en-US" w:eastAsia="zh-CN"/>
        </w:rPr>
        <w:t>三</w:t>
      </w:r>
      <w:r>
        <w:rPr>
          <w:rFonts w:ascii="楷体" w:hAnsi="楷体" w:eastAsia="楷体" w:cs="楷体"/>
          <w:b/>
          <w:bCs/>
          <w:color w:val="auto"/>
          <w:kern w:val="0"/>
          <w:sz w:val="32"/>
          <w:szCs w:val="32"/>
          <w:u w:val="none"/>
        </w:rPr>
        <w:t>）卫生健康支出（类）</w:t>
      </w:r>
    </w:p>
    <w:p w14:paraId="79BDB892">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卫生健康支出（类）决算数为</w:t>
      </w:r>
      <w:r>
        <w:rPr>
          <w:rFonts w:eastAsia="Times New Roman"/>
          <w:color w:val="auto"/>
          <w:kern w:val="0"/>
          <w:sz w:val="32"/>
          <w:szCs w:val="32"/>
          <w:u w:val="none"/>
          <w:lang w:eastAsia="en-US"/>
        </w:rPr>
        <w:t xml:space="preserve"> 60.97</w:t>
      </w:r>
      <w:r>
        <w:rPr>
          <w:rFonts w:ascii="FangSong_GB2312" w:hAnsi="FangSong_GB2312" w:eastAsia="FangSong_GB2312" w:cs="FangSong_GB2312"/>
          <w:color w:val="auto"/>
          <w:kern w:val="0"/>
          <w:sz w:val="32"/>
          <w:szCs w:val="32"/>
          <w:u w:val="none"/>
        </w:rPr>
        <w:t>万元，与年初预算相比增加</w:t>
      </w:r>
      <w:r>
        <w:rPr>
          <w:rFonts w:eastAsia="Times New Roman"/>
          <w:color w:val="auto"/>
          <w:kern w:val="0"/>
          <w:sz w:val="32"/>
          <w:szCs w:val="32"/>
          <w:u w:val="none"/>
          <w:lang w:eastAsia="en-US"/>
        </w:rPr>
        <w:t> 16.97</w:t>
      </w:r>
      <w:r>
        <w:rPr>
          <w:rFonts w:ascii="FangSong_GB2312" w:hAnsi="FangSong_GB2312" w:eastAsia="FangSong_GB2312" w:cs="FangSong_GB2312"/>
          <w:color w:val="auto"/>
          <w:kern w:val="0"/>
          <w:sz w:val="32"/>
          <w:szCs w:val="32"/>
          <w:u w:val="none"/>
        </w:rPr>
        <w:t>万元。其中：</w:t>
      </w:r>
    </w:p>
    <w:p w14:paraId="6CB59FBE">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hint="eastAsia"/>
          <w:color w:val="auto"/>
          <w:kern w:val="0"/>
          <w:sz w:val="32"/>
          <w:szCs w:val="32"/>
          <w:u w:val="none"/>
          <w:lang w:val="en-US" w:eastAsia="zh-CN"/>
        </w:rPr>
        <w:t>1</w:t>
      </w:r>
      <w:r>
        <w:rPr>
          <w:rFonts w:ascii="FangSong_GB2312" w:hAnsi="FangSong_GB2312" w:eastAsia="FangSong_GB2312" w:cs="FangSong_GB2312"/>
          <w:color w:val="auto"/>
          <w:kern w:val="0"/>
          <w:sz w:val="32"/>
          <w:szCs w:val="32"/>
          <w:u w:val="none"/>
        </w:rPr>
        <w:t>．行政事业单位医疗（款）事业单位医疗（项）。年初预算</w:t>
      </w:r>
      <w:r>
        <w:rPr>
          <w:rFonts w:hint="eastAsia"/>
          <w:color w:val="auto"/>
          <w:kern w:val="0"/>
          <w:sz w:val="32"/>
          <w:szCs w:val="32"/>
          <w:u w:val="none"/>
          <w:lang w:val="en-US" w:eastAsia="zh-CN"/>
        </w:rPr>
        <w:t>44</w:t>
      </w:r>
      <w:r>
        <w:rPr>
          <w:rFonts w:ascii="FangSong_GB2312" w:hAnsi="FangSong_GB2312" w:eastAsia="FangSong_GB2312" w:cs="FangSong_GB2312"/>
          <w:color w:val="auto"/>
          <w:kern w:val="0"/>
          <w:sz w:val="32"/>
          <w:szCs w:val="32"/>
          <w:u w:val="none"/>
        </w:rPr>
        <w:t>万元，支出决算</w:t>
      </w:r>
      <w:r>
        <w:rPr>
          <w:rFonts w:hint="eastAsia"/>
          <w:color w:val="auto"/>
          <w:kern w:val="0"/>
          <w:sz w:val="32"/>
          <w:szCs w:val="32"/>
          <w:u w:val="none"/>
          <w:lang w:val="en-US" w:eastAsia="zh-CN"/>
        </w:rPr>
        <w:t>60.97</w:t>
      </w:r>
      <w:r>
        <w:rPr>
          <w:rFonts w:ascii="FangSong_GB2312" w:hAnsi="FangSong_GB2312" w:eastAsia="FangSong_GB2312" w:cs="FangSong_GB2312"/>
          <w:color w:val="auto"/>
          <w:kern w:val="0"/>
          <w:sz w:val="32"/>
          <w:szCs w:val="32"/>
          <w:u w:val="none"/>
        </w:rPr>
        <w:t>万元，完成年初预算的</w:t>
      </w:r>
      <w:r>
        <w:rPr>
          <w:rFonts w:hint="eastAsia"/>
          <w:color w:val="auto"/>
          <w:kern w:val="0"/>
          <w:sz w:val="32"/>
          <w:szCs w:val="32"/>
          <w:u w:val="none"/>
          <w:lang w:val="en-US" w:eastAsia="zh-CN"/>
        </w:rPr>
        <w:t>138.57</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。决算数与年初预算数的差异原因：</w:t>
      </w:r>
      <w:r>
        <w:rPr>
          <w:rFonts w:hint="eastAsia" w:ascii="FangSong_GB2312" w:hAnsi="FangSong_GB2312" w:eastAsia="FangSong_GB2312" w:cs="FangSong_GB2312"/>
          <w:color w:val="auto"/>
          <w:kern w:val="0"/>
          <w:sz w:val="32"/>
          <w:szCs w:val="32"/>
          <w:u w:val="none"/>
        </w:rPr>
        <w:t>人员工资随年度增长，</w:t>
      </w:r>
      <w:r>
        <w:rPr>
          <w:rFonts w:hint="eastAsia" w:ascii="FangSong_GB2312" w:hAnsi="FangSong_GB2312" w:eastAsia="FangSong_GB2312" w:cs="FangSong_GB2312"/>
          <w:color w:val="auto"/>
          <w:kern w:val="0"/>
          <w:sz w:val="32"/>
          <w:szCs w:val="32"/>
          <w:u w:val="none"/>
          <w:lang w:val="en-US" w:eastAsia="zh-CN"/>
        </w:rPr>
        <w:t>医</w:t>
      </w:r>
      <w:r>
        <w:rPr>
          <w:rFonts w:hint="eastAsia" w:ascii="FangSong_GB2312" w:hAnsi="FangSong_GB2312" w:eastAsia="FangSong_GB2312" w:cs="FangSong_GB2312"/>
          <w:color w:val="auto"/>
          <w:kern w:val="0"/>
          <w:sz w:val="32"/>
          <w:szCs w:val="32"/>
          <w:u w:val="none"/>
        </w:rPr>
        <w:t>保等各类支出亦较上年增加，2025预算指标调剂，由市场监督管理事务（款）事业运行（项）中津补贴调剂至行政事业单位医疗（款）事业单位医疗（项）中的事业单位医疗，因此支出较年初增加。</w:t>
      </w:r>
    </w:p>
    <w:p w14:paraId="7CA063EE">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楷体" w:hAnsi="楷体" w:eastAsia="楷体" w:cs="楷体"/>
          <w:b/>
          <w:bCs/>
          <w:color w:val="auto"/>
          <w:kern w:val="0"/>
          <w:sz w:val="32"/>
          <w:szCs w:val="32"/>
          <w:u w:val="none"/>
        </w:rPr>
        <w:t>（</w:t>
      </w:r>
      <w:r>
        <w:rPr>
          <w:rFonts w:hint="eastAsia" w:ascii="楷体" w:hAnsi="楷体" w:eastAsia="楷体" w:cs="楷体"/>
          <w:b/>
          <w:bCs/>
          <w:color w:val="auto"/>
          <w:kern w:val="0"/>
          <w:sz w:val="32"/>
          <w:szCs w:val="32"/>
          <w:u w:val="none"/>
          <w:lang w:val="en-US" w:eastAsia="zh-CN"/>
        </w:rPr>
        <w:t>四</w:t>
      </w:r>
      <w:r>
        <w:rPr>
          <w:rFonts w:ascii="楷体" w:hAnsi="楷体" w:eastAsia="楷体" w:cs="楷体"/>
          <w:b/>
          <w:bCs/>
          <w:color w:val="auto"/>
          <w:kern w:val="0"/>
          <w:sz w:val="32"/>
          <w:szCs w:val="32"/>
          <w:u w:val="none"/>
        </w:rPr>
        <w:t>）住房保障支出（类）</w:t>
      </w:r>
    </w:p>
    <w:p w14:paraId="179CEF6A">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住房保障支出（类）决算数为</w:t>
      </w:r>
      <w:r>
        <w:rPr>
          <w:rFonts w:eastAsia="Times New Roman"/>
          <w:color w:val="auto"/>
          <w:kern w:val="0"/>
          <w:sz w:val="32"/>
          <w:szCs w:val="32"/>
          <w:u w:val="none"/>
          <w:lang w:eastAsia="en-US"/>
        </w:rPr>
        <w:t xml:space="preserve"> 130.37</w:t>
      </w:r>
      <w:r>
        <w:rPr>
          <w:rFonts w:ascii="FangSong_GB2312" w:hAnsi="FangSong_GB2312" w:eastAsia="FangSong_GB2312" w:cs="FangSong_GB2312"/>
          <w:color w:val="auto"/>
          <w:kern w:val="0"/>
          <w:sz w:val="32"/>
          <w:szCs w:val="32"/>
          <w:u w:val="none"/>
        </w:rPr>
        <w:t>万元，与年初预算相比增加</w:t>
      </w:r>
      <w:r>
        <w:rPr>
          <w:rFonts w:eastAsia="Times New Roman"/>
          <w:color w:val="auto"/>
          <w:kern w:val="0"/>
          <w:sz w:val="32"/>
          <w:szCs w:val="32"/>
          <w:u w:val="none"/>
          <w:lang w:eastAsia="en-US"/>
        </w:rPr>
        <w:t> 52.37</w:t>
      </w:r>
      <w:r>
        <w:rPr>
          <w:rFonts w:ascii="FangSong_GB2312" w:hAnsi="FangSong_GB2312" w:eastAsia="FangSong_GB2312" w:cs="FangSong_GB2312"/>
          <w:color w:val="auto"/>
          <w:kern w:val="0"/>
          <w:sz w:val="32"/>
          <w:szCs w:val="32"/>
          <w:u w:val="none"/>
        </w:rPr>
        <w:t>万元。其中：</w:t>
      </w:r>
    </w:p>
    <w:p w14:paraId="59A68770">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eastAsia="Times New Roman"/>
          <w:color w:val="auto"/>
          <w:kern w:val="0"/>
          <w:sz w:val="32"/>
          <w:szCs w:val="32"/>
          <w:u w:val="none"/>
          <w:lang w:eastAsia="en-US"/>
        </w:rPr>
        <w:t>1</w:t>
      </w:r>
      <w:r>
        <w:rPr>
          <w:rFonts w:ascii="FangSong_GB2312" w:hAnsi="FangSong_GB2312" w:eastAsia="FangSong_GB2312" w:cs="FangSong_GB2312"/>
          <w:color w:val="auto"/>
          <w:kern w:val="0"/>
          <w:sz w:val="32"/>
          <w:szCs w:val="32"/>
          <w:u w:val="none"/>
        </w:rPr>
        <w:t>．住房改革支出（款）住房公积金（项）。年初预算</w:t>
      </w:r>
      <w:r>
        <w:rPr>
          <w:rFonts w:hint="eastAsia"/>
          <w:color w:val="auto"/>
          <w:kern w:val="0"/>
          <w:sz w:val="32"/>
          <w:szCs w:val="32"/>
          <w:u w:val="none"/>
          <w:lang w:val="en-US" w:eastAsia="zh-CN"/>
        </w:rPr>
        <w:t>78</w:t>
      </w:r>
      <w:r>
        <w:rPr>
          <w:rFonts w:ascii="FangSong_GB2312" w:hAnsi="FangSong_GB2312" w:eastAsia="FangSong_GB2312" w:cs="FangSong_GB2312"/>
          <w:color w:val="auto"/>
          <w:kern w:val="0"/>
          <w:sz w:val="32"/>
          <w:szCs w:val="32"/>
          <w:u w:val="none"/>
        </w:rPr>
        <w:t>万元，支出决算</w:t>
      </w:r>
      <w:r>
        <w:rPr>
          <w:rFonts w:hint="eastAsia"/>
          <w:color w:val="auto"/>
          <w:kern w:val="0"/>
          <w:sz w:val="32"/>
          <w:szCs w:val="32"/>
          <w:u w:val="none"/>
          <w:lang w:val="en-US" w:eastAsia="zh-CN"/>
        </w:rPr>
        <w:t>130.37</w:t>
      </w:r>
      <w:r>
        <w:rPr>
          <w:rFonts w:ascii="FangSong_GB2312" w:hAnsi="FangSong_GB2312" w:eastAsia="FangSong_GB2312" w:cs="FangSong_GB2312"/>
          <w:color w:val="auto"/>
          <w:kern w:val="0"/>
          <w:sz w:val="32"/>
          <w:szCs w:val="32"/>
          <w:u w:val="none"/>
        </w:rPr>
        <w:t>万元，完成年初预算的</w:t>
      </w:r>
      <w:r>
        <w:rPr>
          <w:rFonts w:hint="eastAsia"/>
          <w:color w:val="auto"/>
          <w:kern w:val="0"/>
          <w:sz w:val="32"/>
          <w:szCs w:val="32"/>
          <w:u w:val="none"/>
          <w:lang w:val="en-US" w:eastAsia="zh-CN"/>
        </w:rPr>
        <w:t>167.14</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。决算数与年初预算数的差异原因：</w:t>
      </w:r>
      <w:r>
        <w:rPr>
          <w:rFonts w:hint="eastAsia" w:ascii="FangSong_GB2312" w:hAnsi="FangSong_GB2312" w:eastAsia="FangSong_GB2312" w:cs="FangSong_GB2312"/>
          <w:color w:val="auto"/>
          <w:kern w:val="0"/>
          <w:sz w:val="32"/>
          <w:szCs w:val="32"/>
          <w:u w:val="none"/>
        </w:rPr>
        <w:t>人员工资随年度增长，</w:t>
      </w:r>
      <w:r>
        <w:rPr>
          <w:rFonts w:hint="eastAsia" w:ascii="FangSong_GB2312" w:hAnsi="FangSong_GB2312" w:eastAsia="FangSong_GB2312" w:cs="FangSong_GB2312"/>
          <w:color w:val="auto"/>
          <w:kern w:val="0"/>
          <w:sz w:val="32"/>
          <w:szCs w:val="32"/>
          <w:u w:val="none"/>
          <w:lang w:val="en-US" w:eastAsia="zh-CN"/>
        </w:rPr>
        <w:t>住房公积金</w:t>
      </w:r>
      <w:r>
        <w:rPr>
          <w:rFonts w:hint="eastAsia" w:ascii="FangSong_GB2312" w:hAnsi="FangSong_GB2312" w:eastAsia="FangSong_GB2312" w:cs="FangSong_GB2312"/>
          <w:color w:val="auto"/>
          <w:kern w:val="0"/>
          <w:sz w:val="32"/>
          <w:szCs w:val="32"/>
          <w:u w:val="none"/>
        </w:rPr>
        <w:t>支出亦较上年增加，2025预算指标调剂，由市场监督管理事务（款）事业运行（项）中津补贴调剂至住房改革支出（款）住房公积金（项）中住房公积金，因此支出较年初增加。</w:t>
      </w:r>
    </w:p>
    <w:p w14:paraId="1093DC5F">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六、一般公共预算财政拨款基本支出决算情况说明</w:t>
      </w:r>
    </w:p>
    <w:p w14:paraId="6E910333">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（反映</w:t>
      </w:r>
      <w:r>
        <w:rPr>
          <w:rFonts w:hint="eastAsia" w:ascii="FangSong_GB2312" w:hAnsi="FangSong_GB2312" w:eastAsia="FangSong_GB2312" w:cs="FangSong_GB2312"/>
          <w:color w:val="auto"/>
          <w:kern w:val="0"/>
          <w:sz w:val="32"/>
          <w:szCs w:val="32"/>
          <w:u w:val="none"/>
          <w:lang w:eastAsia="zh-CN"/>
        </w:rPr>
        <w:t>单位</w:t>
      </w:r>
      <w:r>
        <w:rPr>
          <w:rFonts w:ascii="FangSong_GB2312" w:hAnsi="FangSong_GB2312" w:eastAsia="FangSong_GB2312" w:cs="FangSong_GB2312"/>
          <w:color w:val="auto"/>
          <w:kern w:val="0"/>
          <w:sz w:val="32"/>
          <w:szCs w:val="32"/>
          <w:u w:val="none"/>
        </w:rPr>
        <w:t>年度一般公共预算财政拨款基本支出决算情况）</w:t>
      </w:r>
    </w:p>
    <w:p w14:paraId="0FCE19A5">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内蒙古自治区特种设备检验研究院包头分院</w:t>
      </w:r>
      <w:r>
        <w:rPr>
          <w:rFonts w:ascii="Times New Roman" w:hAnsi="Times New Roman" w:eastAsia="Times New Roman" w:cs="Times New Roman"/>
          <w:color w:val="auto"/>
          <w:kern w:val="0"/>
          <w:sz w:val="24"/>
          <w:u w:val="none"/>
        </w:rPr>
        <w:t xml:space="preserve"> </w:t>
      </w:r>
      <w:r>
        <w:rPr>
          <w:rFonts w:eastAsia="Times New Roman"/>
          <w:color w:val="auto"/>
          <w:kern w:val="0"/>
          <w:sz w:val="32"/>
          <w:szCs w:val="32"/>
          <w:u w:val="none"/>
          <w:lang w:eastAsia="en-US"/>
        </w:rPr>
        <w:t>2025</w:t>
      </w:r>
      <w:r>
        <w:rPr>
          <w:rFonts w:ascii="FangSong_GB2312" w:hAnsi="FangSong_GB2312" w:eastAsia="FangSong_GB2312" w:cs="FangSong_GB2312"/>
          <w:color w:val="auto"/>
          <w:kern w:val="0"/>
          <w:sz w:val="32"/>
          <w:szCs w:val="32"/>
          <w:u w:val="none"/>
        </w:rPr>
        <w:t>年度一般公共预算财政拨款基本支出决算</w:t>
      </w:r>
      <w:r>
        <w:rPr>
          <w:rFonts w:eastAsia="Times New Roman"/>
          <w:color w:val="auto"/>
          <w:kern w:val="0"/>
          <w:sz w:val="32"/>
          <w:szCs w:val="32"/>
          <w:u w:val="none"/>
          <w:lang w:eastAsia="en-US"/>
        </w:rPr>
        <w:t xml:space="preserve"> 2348.32</w:t>
      </w:r>
      <w:r>
        <w:rPr>
          <w:rFonts w:ascii="FangSong_GB2312" w:hAnsi="FangSong_GB2312" w:eastAsia="FangSong_GB2312" w:cs="FangSong_GB2312"/>
          <w:color w:val="auto"/>
          <w:kern w:val="0"/>
          <w:sz w:val="32"/>
          <w:szCs w:val="32"/>
          <w:u w:val="none"/>
        </w:rPr>
        <w:t>万元，其中：</w:t>
      </w:r>
    </w:p>
    <w:p w14:paraId="7DC7FAE0">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ascii="楷体" w:hAnsi="楷体" w:eastAsia="楷体" w:cs="楷体"/>
          <w:b/>
          <w:bCs/>
          <w:color w:val="auto"/>
          <w:kern w:val="0"/>
          <w:sz w:val="32"/>
          <w:szCs w:val="32"/>
          <w:u w:val="none"/>
        </w:rPr>
        <w:t>（一）人员经费</w:t>
      </w:r>
      <w:r>
        <w:rPr>
          <w:rFonts w:eastAsia="Times New Roman"/>
          <w:color w:val="auto"/>
          <w:kern w:val="0"/>
          <w:sz w:val="32"/>
          <w:szCs w:val="32"/>
          <w:u w:val="none"/>
          <w:lang w:eastAsia="en-US"/>
        </w:rPr>
        <w:t xml:space="preserve"> 2347.03</w:t>
      </w:r>
      <w:r>
        <w:rPr>
          <w:rFonts w:ascii="楷体" w:hAnsi="楷体" w:eastAsia="楷体" w:cs="楷体"/>
          <w:b/>
          <w:bCs/>
          <w:color w:val="auto"/>
          <w:kern w:val="0"/>
          <w:sz w:val="32"/>
          <w:szCs w:val="32"/>
          <w:u w:val="none"/>
        </w:rPr>
        <w:t>万元。</w:t>
      </w:r>
      <w:r>
        <w:rPr>
          <w:rFonts w:hint="eastAsia" w:ascii="FangSong_GB2312" w:hAnsi="FangSong_GB2312" w:eastAsia="FangSong_GB2312" w:cs="FangSong_GB2312"/>
          <w:color w:val="auto"/>
          <w:kern w:val="0"/>
          <w:sz w:val="32"/>
          <w:szCs w:val="32"/>
          <w:u w:val="none"/>
        </w:rPr>
        <w:t>主要包括：津贴补贴136.21万元、职业年金缴费66.58万元、退休费38.86万元、其他工资福利支出910.00万元、住房公积金130.37万元、基本工资497.37万元、机关事业单位基本养老保险缴费133.15万元、生活补助1.76万元、职工基本医疗保险缴费60.97万元、绩效工资255.85万元、奖金112.71万元、其他社会保障缴费3.20万元 。</w:t>
      </w:r>
    </w:p>
    <w:p w14:paraId="2ED90044">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（二）公用经费</w:t>
      </w:r>
      <w:r>
        <w:rPr>
          <w:rFonts w:eastAsia="Times New Roman"/>
          <w:color w:val="auto"/>
          <w:kern w:val="0"/>
          <w:sz w:val="32"/>
          <w:szCs w:val="32"/>
          <w:u w:val="none"/>
          <w:lang w:eastAsia="en-US"/>
        </w:rPr>
        <w:t xml:space="preserve"> 1.30</w:t>
      </w:r>
      <w:r>
        <w:rPr>
          <w:rFonts w:ascii="FangSong_GB2312" w:hAnsi="FangSong_GB2312" w:eastAsia="FangSong_GB2312" w:cs="FangSong_GB2312"/>
          <w:b/>
          <w:bCs/>
          <w:color w:val="auto"/>
          <w:kern w:val="0"/>
          <w:sz w:val="32"/>
          <w:szCs w:val="32"/>
          <w:u w:val="none"/>
        </w:rPr>
        <w:t>万元。</w:t>
      </w:r>
      <w:r>
        <w:rPr>
          <w:rFonts w:ascii="FangSong_GB2312" w:hAnsi="FangSong_GB2312" w:eastAsia="FangSong_GB2312" w:cs="FangSong_GB2312"/>
          <w:color w:val="auto"/>
          <w:kern w:val="0"/>
          <w:sz w:val="32"/>
          <w:szCs w:val="32"/>
          <w:u w:val="none"/>
        </w:rPr>
        <w:t>主要包括：办公费</w:t>
      </w:r>
      <w:r>
        <w:rPr>
          <w:rFonts w:hint="eastAsia" w:ascii="FangSong_GB2312" w:hAnsi="FangSong_GB2312" w:eastAsia="FangSong_GB2312" w:cs="FangSong_GB2312"/>
          <w:color w:val="auto"/>
          <w:kern w:val="0"/>
          <w:sz w:val="32"/>
          <w:szCs w:val="32"/>
          <w:u w:val="none"/>
          <w:lang w:val="en-US" w:eastAsia="zh-CN"/>
        </w:rPr>
        <w:t>1.3万元</w:t>
      </w:r>
      <w:r>
        <w:rPr>
          <w:rFonts w:ascii="FangSong_GB2312" w:hAnsi="FangSong_GB2312" w:eastAsia="FangSong_GB2312" w:cs="FangSong_GB2312"/>
          <w:color w:val="auto"/>
          <w:kern w:val="0"/>
          <w:sz w:val="32"/>
          <w:szCs w:val="32"/>
          <w:u w:val="none"/>
        </w:rPr>
        <w:t>。</w:t>
      </w:r>
    </w:p>
    <w:p w14:paraId="2B47882D">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七、一般公共预算财政拨款项目支出决算情况说明</w:t>
      </w:r>
    </w:p>
    <w:p w14:paraId="35302126">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内蒙古自治区特种设备检验研究院包头分院</w:t>
      </w:r>
      <w:r>
        <w:rPr>
          <w:rFonts w:ascii="Times New Roman" w:hAnsi="Times New Roman" w:eastAsia="Times New Roman" w:cs="Times New Roman"/>
          <w:color w:val="auto"/>
          <w:kern w:val="0"/>
          <w:sz w:val="24"/>
          <w:u w:val="none"/>
        </w:rPr>
        <w:t xml:space="preserve"> </w:t>
      </w:r>
      <w:r>
        <w:rPr>
          <w:rFonts w:eastAsia="Times New Roman"/>
          <w:color w:val="auto"/>
          <w:kern w:val="0"/>
          <w:sz w:val="32"/>
          <w:szCs w:val="32"/>
          <w:u w:val="none"/>
          <w:lang w:eastAsia="en-US"/>
        </w:rPr>
        <w:t>2025</w:t>
      </w:r>
      <w:r>
        <w:rPr>
          <w:rFonts w:ascii="FangSong_GB2312" w:hAnsi="FangSong_GB2312" w:eastAsia="FangSong_GB2312" w:cs="FangSong_GB2312"/>
          <w:color w:val="auto"/>
          <w:kern w:val="0"/>
          <w:sz w:val="32"/>
          <w:szCs w:val="32"/>
          <w:u w:val="none"/>
        </w:rPr>
        <w:t>年度一般公共预算财政拨款项目支出决算</w:t>
      </w:r>
      <w:r>
        <w:rPr>
          <w:rFonts w:eastAsia="Times New Roman"/>
          <w:color w:val="auto"/>
          <w:kern w:val="0"/>
          <w:sz w:val="32"/>
          <w:szCs w:val="32"/>
          <w:u w:val="none"/>
          <w:lang w:eastAsia="en-US"/>
        </w:rPr>
        <w:t xml:space="preserve"> 1727.67</w:t>
      </w:r>
      <w:r>
        <w:rPr>
          <w:rFonts w:ascii="FangSong_GB2312" w:hAnsi="FangSong_GB2312" w:eastAsia="FangSong_GB2312" w:cs="FangSong_GB2312"/>
          <w:color w:val="auto"/>
          <w:kern w:val="0"/>
          <w:sz w:val="32"/>
          <w:szCs w:val="32"/>
          <w:u w:val="none"/>
        </w:rPr>
        <w:t>万元，其中：</w:t>
      </w:r>
    </w:p>
    <w:p w14:paraId="6D0C36CE">
      <w:pPr>
        <w:pStyle w:val="28"/>
        <w:widowControl/>
        <w:numPr>
          <w:ilvl w:val="0"/>
          <w:numId w:val="0"/>
        </w:numPr>
        <w:spacing w:before="240" w:after="240" w:line="560" w:lineRule="atLeast"/>
        <w:ind w:firstLine="643" w:firstLineChars="200"/>
        <w:jc w:val="left"/>
        <w:rPr>
          <w:rFonts w:ascii="FangSong_GB2312" w:hAnsi="FangSong_GB2312" w:eastAsia="FangSong_GB2312" w:cs="FangSong_GB2312"/>
          <w:color w:val="auto"/>
          <w:kern w:val="0"/>
          <w:sz w:val="32"/>
          <w:szCs w:val="32"/>
          <w:u w:val="none"/>
        </w:rPr>
      </w:pPr>
      <w:r>
        <w:rPr>
          <w:rFonts w:ascii="FangSong_GB2312" w:hAnsi="FangSong_GB2312" w:eastAsia="FangSong_GB2312" w:cs="FangSong_GB2312"/>
          <w:b/>
          <w:bCs/>
          <w:color w:val="auto"/>
          <w:kern w:val="0"/>
          <w:sz w:val="32"/>
          <w:szCs w:val="32"/>
          <w:u w:val="none"/>
        </w:rPr>
        <w:t>（</w:t>
      </w:r>
      <w:r>
        <w:rPr>
          <w:rFonts w:hint="eastAsia" w:ascii="FangSong_GB2312" w:hAnsi="FangSong_GB2312" w:eastAsia="FangSong_GB2312" w:cs="FangSong_GB2312"/>
          <w:b/>
          <w:bCs/>
          <w:color w:val="auto"/>
          <w:kern w:val="0"/>
          <w:sz w:val="32"/>
          <w:szCs w:val="32"/>
          <w:u w:val="none"/>
          <w:lang w:val="en-US" w:eastAsia="zh-CN"/>
        </w:rPr>
        <w:t>一</w:t>
      </w:r>
      <w:r>
        <w:rPr>
          <w:rFonts w:ascii="FangSong_GB2312" w:hAnsi="FangSong_GB2312" w:eastAsia="FangSong_GB2312" w:cs="FangSong_GB2312"/>
          <w:b/>
          <w:bCs/>
          <w:color w:val="auto"/>
          <w:kern w:val="0"/>
          <w:sz w:val="32"/>
          <w:szCs w:val="32"/>
          <w:u w:val="none"/>
        </w:rPr>
        <w:t>）商品和服务支出</w:t>
      </w:r>
      <w:r>
        <w:rPr>
          <w:rFonts w:eastAsia="Times New Roman"/>
          <w:color w:val="auto"/>
          <w:kern w:val="0"/>
          <w:sz w:val="32"/>
          <w:szCs w:val="32"/>
          <w:u w:val="none"/>
          <w:lang w:eastAsia="en-US"/>
        </w:rPr>
        <w:t xml:space="preserve"> 1097.67</w:t>
      </w:r>
      <w:r>
        <w:rPr>
          <w:rFonts w:ascii="FangSong_GB2312" w:hAnsi="FangSong_GB2312" w:eastAsia="FangSong_GB2312" w:cs="FangSong_GB2312"/>
          <w:b/>
          <w:bCs/>
          <w:color w:val="auto"/>
          <w:kern w:val="0"/>
          <w:sz w:val="32"/>
          <w:szCs w:val="32"/>
          <w:u w:val="none"/>
        </w:rPr>
        <w:t>万元。</w:t>
      </w:r>
      <w:r>
        <w:rPr>
          <w:rFonts w:ascii="FangSong_GB2312" w:hAnsi="FangSong_GB2312" w:eastAsia="FangSong_GB2312" w:cs="FangSong_GB2312"/>
          <w:color w:val="auto"/>
          <w:kern w:val="0"/>
          <w:sz w:val="32"/>
          <w:szCs w:val="32"/>
          <w:u w:val="none"/>
        </w:rPr>
        <w:t>主要包括：</w:t>
      </w:r>
      <w:r>
        <w:rPr>
          <w:rFonts w:hint="eastAsia" w:ascii="FangSong_GB2312" w:hAnsi="FangSong_GB2312" w:eastAsia="FangSong_GB2312" w:cs="FangSong_GB2312"/>
          <w:color w:val="auto"/>
          <w:kern w:val="0"/>
          <w:sz w:val="32"/>
          <w:szCs w:val="32"/>
          <w:u w:val="none"/>
        </w:rPr>
        <w:t xml:space="preserve">专用材料费80.00万元、公务接待费0.34万元、差旅费70.00万元、水费7.00万元、印刷费5.00万元、电费15.00万元、办公费29.41万元、会议费2.30万元、邮电费16.00万元、取暖费113.00万元、培训费10.00万元、委托业务费470.00万元、物业管理费140.00万元、维修（护）费100.00万元、公务用车运行维护费39.62万元。 </w:t>
      </w:r>
    </w:p>
    <w:p w14:paraId="489E015B">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w:t>
      </w:r>
      <w:r>
        <w:rPr>
          <w:rFonts w:hint="eastAsia" w:ascii="FangSong_GB2312" w:hAnsi="FangSong_GB2312" w:eastAsia="FangSong_GB2312" w:cs="FangSong_GB2312"/>
          <w:b/>
          <w:bCs/>
          <w:color w:val="auto"/>
          <w:kern w:val="0"/>
          <w:sz w:val="32"/>
          <w:szCs w:val="32"/>
          <w:u w:val="none"/>
          <w:lang w:val="en-US" w:eastAsia="zh-CN"/>
        </w:rPr>
        <w:t>二</w:t>
      </w:r>
      <w:r>
        <w:rPr>
          <w:rFonts w:ascii="FangSong_GB2312" w:hAnsi="FangSong_GB2312" w:eastAsia="FangSong_GB2312" w:cs="FangSong_GB2312"/>
          <w:b/>
          <w:bCs/>
          <w:color w:val="auto"/>
          <w:kern w:val="0"/>
          <w:sz w:val="32"/>
          <w:szCs w:val="32"/>
          <w:u w:val="none"/>
        </w:rPr>
        <w:t>）资本性支出</w:t>
      </w:r>
      <w:r>
        <w:rPr>
          <w:rFonts w:eastAsia="Times New Roman"/>
          <w:color w:val="auto"/>
          <w:kern w:val="0"/>
          <w:sz w:val="32"/>
          <w:szCs w:val="32"/>
          <w:u w:val="none"/>
          <w:lang w:eastAsia="en-US"/>
        </w:rPr>
        <w:t xml:space="preserve"> 630.00</w:t>
      </w:r>
      <w:r>
        <w:rPr>
          <w:rFonts w:ascii="FangSong_GB2312" w:hAnsi="FangSong_GB2312" w:eastAsia="FangSong_GB2312" w:cs="FangSong_GB2312"/>
          <w:b/>
          <w:bCs/>
          <w:color w:val="auto"/>
          <w:kern w:val="0"/>
          <w:sz w:val="32"/>
          <w:szCs w:val="32"/>
          <w:u w:val="none"/>
        </w:rPr>
        <w:t>万元。</w:t>
      </w:r>
      <w:r>
        <w:rPr>
          <w:rFonts w:ascii="FangSong_GB2312" w:hAnsi="FangSong_GB2312" w:eastAsia="FangSong_GB2312" w:cs="FangSong_GB2312"/>
          <w:color w:val="auto"/>
          <w:kern w:val="0"/>
          <w:sz w:val="32"/>
          <w:szCs w:val="32"/>
          <w:u w:val="none"/>
        </w:rPr>
        <w:t>主要包括：</w:t>
      </w:r>
      <w:r>
        <w:rPr>
          <w:rFonts w:hint="eastAsia" w:ascii="FangSong_GB2312" w:hAnsi="FangSong_GB2312" w:eastAsia="FangSong_GB2312" w:cs="FangSong_GB2312"/>
          <w:color w:val="auto"/>
          <w:kern w:val="0"/>
          <w:sz w:val="32"/>
          <w:szCs w:val="32"/>
          <w:u w:val="none"/>
        </w:rPr>
        <w:t>办公设备购置30.00万元、专用设备购置600.00万元。</w:t>
      </w:r>
    </w:p>
    <w:p w14:paraId="2C11F5B9">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八、财政拨款</w:t>
      </w:r>
      <w:r>
        <w:rPr>
          <w:rFonts w:ascii="Times New Roman" w:hAnsi="Times New Roman" w:eastAsia="Times New Roman" w:cs="Times New Roman"/>
          <w:b/>
          <w:bCs/>
          <w:color w:val="auto"/>
          <w:kern w:val="0"/>
          <w:sz w:val="32"/>
          <w:szCs w:val="32"/>
          <w:u w:val="none"/>
          <w:lang w:eastAsia="en-US"/>
        </w:rPr>
        <w:t>“</w:t>
      </w:r>
      <w:r>
        <w:rPr>
          <w:rFonts w:ascii="黑体" w:hAnsi="黑体" w:eastAsia="黑体" w:cs="黑体"/>
          <w:b/>
          <w:bCs/>
          <w:color w:val="auto"/>
          <w:kern w:val="0"/>
          <w:sz w:val="32"/>
          <w:szCs w:val="32"/>
          <w:u w:val="none"/>
        </w:rPr>
        <w:t>三公</w:t>
      </w:r>
      <w:r>
        <w:rPr>
          <w:rFonts w:ascii="Times New Roman" w:hAnsi="Times New Roman" w:eastAsia="Times New Roman" w:cs="Times New Roman"/>
          <w:b/>
          <w:bCs/>
          <w:color w:val="auto"/>
          <w:kern w:val="0"/>
          <w:sz w:val="32"/>
          <w:szCs w:val="32"/>
          <w:u w:val="none"/>
          <w:lang w:eastAsia="en-US"/>
        </w:rPr>
        <w:t>”</w:t>
      </w:r>
      <w:r>
        <w:rPr>
          <w:rFonts w:ascii="黑体" w:hAnsi="黑体" w:eastAsia="黑体" w:cs="黑体"/>
          <w:b/>
          <w:bCs/>
          <w:color w:val="auto"/>
          <w:kern w:val="0"/>
          <w:sz w:val="32"/>
          <w:szCs w:val="32"/>
          <w:u w:val="none"/>
        </w:rPr>
        <w:t>经费支出决算情况说明</w:t>
      </w:r>
    </w:p>
    <w:p w14:paraId="5D5A53BC">
      <w:pPr>
        <w:pStyle w:val="28"/>
        <w:widowControl/>
        <w:spacing w:before="240" w:after="240"/>
        <w:ind w:firstLine="643"/>
        <w:jc w:val="left"/>
        <w:rPr>
          <w:rFonts w:ascii="Times New Roman" w:hAnsi="Times New Roman" w:eastAsia="Times New Roman" w:cs="Times New Roman"/>
          <w:color w:val="auto"/>
          <w:kern w:val="0"/>
          <w:sz w:val="24"/>
          <w:u w:val="none"/>
        </w:rPr>
      </w:pPr>
      <w:r>
        <w:rPr>
          <w:rFonts w:ascii="楷体" w:hAnsi="楷体" w:eastAsia="楷体" w:cs="楷体"/>
          <w:b/>
          <w:bCs/>
          <w:color w:val="auto"/>
          <w:kern w:val="0"/>
          <w:sz w:val="32"/>
          <w:szCs w:val="32"/>
          <w:u w:val="none"/>
        </w:rPr>
        <w:t>（一）财政拨款</w:t>
      </w:r>
      <w:r>
        <w:rPr>
          <w:rFonts w:ascii="Times New Roman" w:hAnsi="Times New Roman" w:eastAsia="Times New Roman" w:cs="Times New Roman"/>
          <w:b/>
          <w:bCs/>
          <w:color w:val="auto"/>
          <w:kern w:val="0"/>
          <w:sz w:val="32"/>
          <w:szCs w:val="32"/>
          <w:u w:val="none"/>
          <w:lang w:eastAsia="en-US"/>
        </w:rPr>
        <w:t>“</w:t>
      </w:r>
      <w:r>
        <w:rPr>
          <w:rFonts w:ascii="楷体" w:hAnsi="楷体" w:eastAsia="楷体" w:cs="楷体"/>
          <w:b/>
          <w:bCs/>
          <w:color w:val="auto"/>
          <w:kern w:val="0"/>
          <w:sz w:val="32"/>
          <w:szCs w:val="32"/>
          <w:u w:val="none"/>
        </w:rPr>
        <w:t>三公</w:t>
      </w:r>
      <w:r>
        <w:rPr>
          <w:rFonts w:ascii="Times New Roman" w:hAnsi="Times New Roman" w:eastAsia="Times New Roman" w:cs="Times New Roman"/>
          <w:b/>
          <w:bCs/>
          <w:color w:val="auto"/>
          <w:kern w:val="0"/>
          <w:sz w:val="32"/>
          <w:szCs w:val="32"/>
          <w:u w:val="none"/>
          <w:lang w:eastAsia="en-US"/>
        </w:rPr>
        <w:t>”</w:t>
      </w:r>
      <w:r>
        <w:rPr>
          <w:rFonts w:ascii="楷体" w:hAnsi="楷体" w:eastAsia="楷体" w:cs="楷体"/>
          <w:b/>
          <w:bCs/>
          <w:color w:val="auto"/>
          <w:kern w:val="0"/>
          <w:sz w:val="32"/>
          <w:szCs w:val="32"/>
          <w:u w:val="none"/>
        </w:rPr>
        <w:t>经费支出总体情况说明。</w:t>
      </w:r>
    </w:p>
    <w:p w14:paraId="4AD7168B">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hint="eastAsia" w:ascii="FangSong_GB2312" w:hAnsi="FangSong_GB2312" w:eastAsia="FangSong_GB2312" w:cs="FangSong_GB2312"/>
          <w:color w:val="auto"/>
          <w:kern w:val="0"/>
          <w:sz w:val="32"/>
          <w:szCs w:val="32"/>
          <w:u w:val="none"/>
        </w:rPr>
        <w:t>内蒙古自治区特种设备检验研究院包头分院 2025年度财政拨款“三公”经费全年预算39.96 万元，支出决算39.96 万元，完成预算的100.00 %。其中：因公出国（境）费全年预算0.00 万元，支出决算0.00 万元，完成预算的0.00 %；公务用车购置及运行维护费全年预算39.62 万元，支出决算39.62 万元，完成预算的100.00 %；公务接待费全年预算0.34 万元，支出决算0.34 万元，完成预算的100.00 %。2025年度一般公共预算财政拨款“三公”经费全年预算39.96 万元，支出决算39.96 万元，与预算差异原因：严格执行“三公”经费预算安排，无差异。</w:t>
      </w:r>
    </w:p>
    <w:p w14:paraId="5A22B81B">
      <w:pPr>
        <w:pStyle w:val="28"/>
        <w:widowControl/>
        <w:spacing w:before="240" w:after="240"/>
        <w:ind w:firstLine="643"/>
        <w:jc w:val="left"/>
        <w:rPr>
          <w:rFonts w:ascii="Times New Roman" w:hAnsi="Times New Roman" w:eastAsia="Times New Roman" w:cs="Times New Roman"/>
          <w:color w:val="auto"/>
          <w:kern w:val="0"/>
          <w:sz w:val="24"/>
          <w:u w:val="none"/>
        </w:rPr>
      </w:pPr>
      <w:r>
        <w:rPr>
          <w:rFonts w:ascii="楷体" w:hAnsi="楷体" w:eastAsia="楷体" w:cs="楷体"/>
          <w:b/>
          <w:bCs/>
          <w:color w:val="auto"/>
          <w:kern w:val="0"/>
          <w:sz w:val="32"/>
          <w:szCs w:val="32"/>
          <w:u w:val="none"/>
        </w:rPr>
        <w:t>（二）财政拨款</w:t>
      </w:r>
      <w:r>
        <w:rPr>
          <w:rFonts w:ascii="Times New Roman" w:hAnsi="Times New Roman" w:eastAsia="Times New Roman" w:cs="Times New Roman"/>
          <w:b/>
          <w:bCs/>
          <w:color w:val="auto"/>
          <w:kern w:val="0"/>
          <w:sz w:val="32"/>
          <w:szCs w:val="32"/>
          <w:u w:val="none"/>
          <w:lang w:eastAsia="en-US"/>
        </w:rPr>
        <w:t>“</w:t>
      </w:r>
      <w:r>
        <w:rPr>
          <w:rFonts w:ascii="楷体" w:hAnsi="楷体" w:eastAsia="楷体" w:cs="楷体"/>
          <w:b/>
          <w:bCs/>
          <w:color w:val="auto"/>
          <w:kern w:val="0"/>
          <w:sz w:val="32"/>
          <w:szCs w:val="32"/>
          <w:u w:val="none"/>
        </w:rPr>
        <w:t>三公</w:t>
      </w:r>
      <w:r>
        <w:rPr>
          <w:rFonts w:ascii="Times New Roman" w:hAnsi="Times New Roman" w:eastAsia="Times New Roman" w:cs="Times New Roman"/>
          <w:b/>
          <w:bCs/>
          <w:color w:val="auto"/>
          <w:kern w:val="0"/>
          <w:sz w:val="32"/>
          <w:szCs w:val="32"/>
          <w:u w:val="none"/>
          <w:lang w:eastAsia="en-US"/>
        </w:rPr>
        <w:t>”</w:t>
      </w:r>
      <w:r>
        <w:rPr>
          <w:rFonts w:ascii="楷体" w:hAnsi="楷体" w:eastAsia="楷体" w:cs="楷体"/>
          <w:b/>
          <w:bCs/>
          <w:color w:val="auto"/>
          <w:kern w:val="0"/>
          <w:sz w:val="32"/>
          <w:szCs w:val="32"/>
          <w:u w:val="none"/>
        </w:rPr>
        <w:t>经费支出具体情况说明。</w:t>
      </w:r>
    </w:p>
    <w:p w14:paraId="0C980317">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hint="eastAsia" w:ascii="FangSong_GB2312" w:hAnsi="FangSong_GB2312" w:eastAsia="FangSong_GB2312" w:cs="FangSong_GB2312"/>
          <w:color w:val="auto"/>
          <w:kern w:val="0"/>
          <w:sz w:val="32"/>
          <w:szCs w:val="32"/>
          <w:u w:val="none"/>
        </w:rPr>
        <w:t>内蒙古自治区特种设备检验研究院包头分院 2025年度财政拨款“三公”经费支出39.96 万元。因公出国（境）费支出0.00万元，占0.00 %；公务用车购置及运行维护费支出39.62万元，占99.15 %；公务接待费支出0.34万元，占0.85 %。其中</w:t>
      </w:r>
      <w:r>
        <w:rPr>
          <w:rFonts w:ascii="FangSong_GB2312" w:hAnsi="FangSong_GB2312" w:eastAsia="FangSong_GB2312" w:cs="FangSong_GB2312"/>
          <w:color w:val="auto"/>
          <w:kern w:val="0"/>
          <w:sz w:val="32"/>
          <w:szCs w:val="32"/>
          <w:u w:val="none"/>
        </w:rPr>
        <w:t>：</w:t>
      </w:r>
    </w:p>
    <w:p w14:paraId="09494863">
      <w:pPr>
        <w:widowControl/>
        <w:numPr>
          <w:ilvl w:val="0"/>
          <w:numId w:val="1"/>
        </w:numPr>
        <w:spacing w:before="240" w:after="240"/>
        <w:ind w:firstLine="643" w:firstLineChars="200"/>
        <w:rPr>
          <w:rFonts w:ascii="FangSong_GB2312" w:hAnsi="FangSong_GB2312" w:eastAsia="FangSong_GB2312" w:cs="FangSong_GB2312"/>
          <w:color w:val="auto"/>
          <w:kern w:val="0"/>
          <w:sz w:val="32"/>
          <w:szCs w:val="32"/>
          <w:u w:val="none"/>
          <w:lang w:val="en-US" w:eastAsia="zh-CN" w:bidi="ar-SA"/>
        </w:rPr>
      </w:pPr>
      <w:r>
        <w:rPr>
          <w:rFonts w:ascii="FangSong_GB2312" w:hAnsi="FangSong_GB2312" w:eastAsia="FangSong_GB2312" w:cs="FangSong_GB2312"/>
          <w:b/>
          <w:bCs/>
          <w:color w:val="auto"/>
          <w:kern w:val="0"/>
          <w:sz w:val="32"/>
          <w:szCs w:val="32"/>
          <w:u w:val="none"/>
        </w:rPr>
        <w:t>因公出国（境）费支出</w:t>
      </w:r>
      <w:r>
        <w:rPr>
          <w:rFonts w:hint="eastAsia" w:eastAsia="Times New Roman"/>
          <w:color w:val="auto"/>
          <w:kern w:val="0"/>
          <w:sz w:val="32"/>
          <w:szCs w:val="32"/>
          <w:u w:val="none"/>
          <w:lang w:eastAsia="en-US"/>
        </w:rPr>
        <w:t xml:space="preserve">0.00 万元，全年出国（境）团组0 个、累计0 人次，与上年决算相比，同为0.00万元，无增减变动 ，变动原因：本年度不存在因公出国（境）费支出 </w:t>
      </w:r>
      <w:r>
        <w:rPr>
          <w:rFonts w:ascii="FangSong_GB2312" w:hAnsi="FangSong_GB2312" w:eastAsia="FangSong_GB2312" w:cs="FangSong_GB2312"/>
          <w:color w:val="auto"/>
          <w:kern w:val="0"/>
          <w:sz w:val="32"/>
          <w:szCs w:val="32"/>
          <w:u w:val="none"/>
          <w:lang w:val="en-US" w:eastAsia="zh-CN" w:bidi="ar-SA"/>
        </w:rPr>
        <w:t>。</w:t>
      </w:r>
    </w:p>
    <w:p w14:paraId="74D02BED">
      <w:pPr>
        <w:widowControl/>
        <w:numPr>
          <w:ilvl w:val="0"/>
          <w:numId w:val="0"/>
        </w:numPr>
        <w:spacing w:before="240" w:after="240"/>
        <w:ind w:firstLine="640" w:firstLineChars="200"/>
        <w:rPr>
          <w:rFonts w:ascii="Times New Roman" w:hAnsi="Times New Roman" w:eastAsia="Times New Roman" w:cs="Times New Roman"/>
          <w:color w:val="auto"/>
          <w:kern w:val="0"/>
          <w:sz w:val="24"/>
          <w:u w:val="none"/>
        </w:rPr>
      </w:pPr>
      <w:r>
        <w:rPr>
          <w:rFonts w:eastAsia="Times New Roman"/>
          <w:b/>
          <w:bCs/>
          <w:color w:val="auto"/>
          <w:kern w:val="0"/>
          <w:sz w:val="32"/>
          <w:szCs w:val="32"/>
          <w:u w:val="none"/>
          <w:lang w:eastAsia="en-US"/>
        </w:rPr>
        <w:t>2</w:t>
      </w:r>
      <w:r>
        <w:rPr>
          <w:rFonts w:ascii="FangSong_GB2312" w:hAnsi="FangSong_GB2312" w:eastAsia="FangSong_GB2312" w:cs="FangSong_GB2312"/>
          <w:b/>
          <w:bCs/>
          <w:color w:val="auto"/>
          <w:kern w:val="0"/>
          <w:sz w:val="32"/>
          <w:szCs w:val="32"/>
          <w:u w:val="none"/>
          <w:lang w:eastAsia="en-US"/>
        </w:rPr>
        <w:t>.</w:t>
      </w:r>
      <w:r>
        <w:rPr>
          <w:rFonts w:ascii="FangSong_GB2312" w:hAnsi="FangSong_GB2312" w:eastAsia="FangSong_GB2312" w:cs="FangSong_GB2312"/>
          <w:b/>
          <w:bCs/>
          <w:color w:val="auto"/>
          <w:kern w:val="0"/>
          <w:sz w:val="32"/>
          <w:szCs w:val="32"/>
          <w:u w:val="none"/>
        </w:rPr>
        <w:t>公务用车购置及运行维护费支出</w:t>
      </w:r>
      <w:r>
        <w:rPr>
          <w:rFonts w:eastAsia="Times New Roman"/>
          <w:color w:val="auto"/>
          <w:kern w:val="0"/>
          <w:sz w:val="32"/>
          <w:szCs w:val="32"/>
          <w:u w:val="none"/>
          <w:lang w:eastAsia="en-US"/>
        </w:rPr>
        <w:t xml:space="preserve"> 39.62</w:t>
      </w:r>
      <w:r>
        <w:rPr>
          <w:rFonts w:ascii="FangSong_GB2312" w:hAnsi="FangSong_GB2312" w:eastAsia="FangSong_GB2312" w:cs="FangSong_GB2312"/>
          <w:color w:val="auto"/>
          <w:kern w:val="0"/>
          <w:sz w:val="32"/>
          <w:szCs w:val="32"/>
          <w:u w:val="none"/>
        </w:rPr>
        <w:t>万元。其中：</w:t>
      </w:r>
    </w:p>
    <w:p w14:paraId="4BBDA952">
      <w:pPr>
        <w:pStyle w:val="28"/>
        <w:widowControl/>
        <w:spacing w:before="240" w:after="240" w:line="560" w:lineRule="atLeast"/>
        <w:ind w:firstLine="640"/>
        <w:jc w:val="left"/>
        <w:rPr>
          <w:rFonts w:ascii="FangSong_GB2312" w:hAnsi="FangSong_GB2312" w:eastAsia="FangSong_GB2312" w:cs="FangSong_GB2312"/>
          <w:color w:val="auto"/>
          <w:kern w:val="0"/>
          <w:sz w:val="32"/>
          <w:szCs w:val="32"/>
          <w:u w:val="none"/>
          <w:lang w:val="en-US" w:eastAsia="zh-CN" w:bidi="ar-SA"/>
        </w:rPr>
      </w:pPr>
      <w:r>
        <w:rPr>
          <w:rFonts w:ascii="FangSong_GB2312" w:hAnsi="FangSong_GB2312" w:eastAsia="FangSong_GB2312" w:cs="FangSong_GB2312"/>
          <w:b/>
          <w:bCs/>
          <w:color w:val="auto"/>
          <w:kern w:val="0"/>
          <w:sz w:val="32"/>
          <w:szCs w:val="32"/>
          <w:u w:val="none"/>
        </w:rPr>
        <w:t>（</w:t>
      </w:r>
      <w:r>
        <w:rPr>
          <w:rFonts w:eastAsia="Times New Roman"/>
          <w:b/>
          <w:bCs/>
          <w:color w:val="auto"/>
          <w:kern w:val="0"/>
          <w:sz w:val="32"/>
          <w:szCs w:val="32"/>
          <w:u w:val="none"/>
          <w:lang w:eastAsia="en-US"/>
        </w:rPr>
        <w:t>1</w:t>
      </w:r>
      <w:r>
        <w:rPr>
          <w:rFonts w:ascii="FangSong_GB2312" w:hAnsi="FangSong_GB2312" w:eastAsia="FangSong_GB2312" w:cs="FangSong_GB2312"/>
          <w:b/>
          <w:bCs/>
          <w:color w:val="auto"/>
          <w:kern w:val="0"/>
          <w:sz w:val="32"/>
          <w:szCs w:val="32"/>
          <w:u w:val="none"/>
        </w:rPr>
        <w:t>）公务用车购置支出</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rPr>
        <w:t>万元。</w:t>
      </w:r>
      <w:r>
        <w:rPr>
          <w:rFonts w:hint="eastAsia" w:ascii="FangSong_GB2312" w:hAnsi="FangSong_GB2312" w:eastAsia="FangSong_GB2312" w:cs="FangSong_GB2312"/>
          <w:color w:val="auto"/>
          <w:kern w:val="0"/>
          <w:sz w:val="32"/>
          <w:szCs w:val="32"/>
          <w:u w:val="none"/>
          <w:lang w:val="en-US" w:eastAsia="zh-CN" w:bidi="ar-SA"/>
        </w:rPr>
        <w:t>本年度使用财政拨款购置公务用车0 辆。与上年决算相比，减少43.44万元，下降100.00%，变动原因：本年度无车辆购置计划。</w:t>
      </w:r>
    </w:p>
    <w:p w14:paraId="3F8D1CE0">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w:t>
      </w:r>
      <w:r>
        <w:rPr>
          <w:rFonts w:eastAsia="Times New Roman"/>
          <w:b/>
          <w:bCs/>
          <w:color w:val="auto"/>
          <w:kern w:val="0"/>
          <w:sz w:val="32"/>
          <w:szCs w:val="32"/>
          <w:u w:val="none"/>
          <w:lang w:eastAsia="en-US"/>
        </w:rPr>
        <w:t>2</w:t>
      </w:r>
      <w:r>
        <w:rPr>
          <w:rFonts w:ascii="FangSong_GB2312" w:hAnsi="FangSong_GB2312" w:eastAsia="FangSong_GB2312" w:cs="FangSong_GB2312"/>
          <w:b/>
          <w:bCs/>
          <w:color w:val="auto"/>
          <w:kern w:val="0"/>
          <w:sz w:val="32"/>
          <w:szCs w:val="32"/>
          <w:u w:val="none"/>
        </w:rPr>
        <w:t>）公务用车运行维护费支出</w:t>
      </w:r>
      <w:r>
        <w:rPr>
          <w:rFonts w:eastAsia="Times New Roman"/>
          <w:color w:val="auto"/>
          <w:kern w:val="0"/>
          <w:sz w:val="32"/>
          <w:szCs w:val="32"/>
          <w:u w:val="none"/>
          <w:lang w:eastAsia="en-US"/>
        </w:rPr>
        <w:t xml:space="preserve"> 39.62</w:t>
      </w:r>
      <w:r>
        <w:rPr>
          <w:rFonts w:ascii="FangSong_GB2312" w:hAnsi="FangSong_GB2312" w:eastAsia="FangSong_GB2312" w:cs="FangSong_GB2312"/>
          <w:color w:val="auto"/>
          <w:kern w:val="0"/>
          <w:sz w:val="32"/>
          <w:szCs w:val="32"/>
          <w:u w:val="none"/>
        </w:rPr>
        <w:t>万元。公务用车运行维护费主要用于按规定保留的公务用车的燃料费、新能源汽车充电费、维修费、过桥过路费、保险费、安全奖励费用等支出。截至</w:t>
      </w:r>
      <w:r>
        <w:rPr>
          <w:rFonts w:eastAsia="Times New Roman"/>
          <w:color w:val="auto"/>
          <w:kern w:val="0"/>
          <w:sz w:val="32"/>
          <w:szCs w:val="32"/>
          <w:u w:val="none"/>
          <w:lang w:eastAsia="en-US"/>
        </w:rPr>
        <w:t>2025</w:t>
      </w:r>
      <w:r>
        <w:rPr>
          <w:rFonts w:ascii="FangSong_GB2312" w:hAnsi="FangSong_GB2312" w:eastAsia="FangSong_GB2312" w:cs="FangSong_GB2312"/>
          <w:color w:val="auto"/>
          <w:kern w:val="0"/>
          <w:sz w:val="32"/>
          <w:szCs w:val="32"/>
          <w:u w:val="none"/>
        </w:rPr>
        <w:t>年</w:t>
      </w:r>
      <w:r>
        <w:rPr>
          <w:rFonts w:eastAsia="Times New Roman"/>
          <w:color w:val="auto"/>
          <w:kern w:val="0"/>
          <w:sz w:val="32"/>
          <w:szCs w:val="32"/>
          <w:u w:val="none"/>
          <w:lang w:eastAsia="en-US"/>
        </w:rPr>
        <w:t>12</w:t>
      </w:r>
      <w:r>
        <w:rPr>
          <w:rFonts w:ascii="FangSong_GB2312" w:hAnsi="FangSong_GB2312" w:eastAsia="FangSong_GB2312" w:cs="FangSong_GB2312"/>
          <w:color w:val="auto"/>
          <w:kern w:val="0"/>
          <w:sz w:val="32"/>
          <w:szCs w:val="32"/>
          <w:u w:val="none"/>
        </w:rPr>
        <w:t>月</w:t>
      </w:r>
      <w:r>
        <w:rPr>
          <w:rFonts w:eastAsia="Times New Roman"/>
          <w:color w:val="auto"/>
          <w:kern w:val="0"/>
          <w:sz w:val="32"/>
          <w:szCs w:val="32"/>
          <w:u w:val="none"/>
          <w:lang w:eastAsia="en-US"/>
        </w:rPr>
        <w:t>31</w:t>
      </w:r>
      <w:r>
        <w:rPr>
          <w:rFonts w:ascii="FangSong_GB2312" w:hAnsi="FangSong_GB2312" w:eastAsia="FangSong_GB2312" w:cs="FangSong_GB2312"/>
          <w:color w:val="auto"/>
          <w:kern w:val="0"/>
          <w:sz w:val="32"/>
          <w:szCs w:val="32"/>
          <w:u w:val="none"/>
        </w:rPr>
        <w:t>日，使用财政拨款开支的公务用车保有量为</w:t>
      </w:r>
      <w:r>
        <w:rPr>
          <w:rFonts w:eastAsia="Times New Roman"/>
          <w:color w:val="auto"/>
          <w:kern w:val="0"/>
          <w:sz w:val="32"/>
          <w:szCs w:val="32"/>
          <w:u w:val="none"/>
          <w:lang w:eastAsia="en-US"/>
        </w:rPr>
        <w:t xml:space="preserve">33 </w:t>
      </w:r>
      <w:r>
        <w:rPr>
          <w:rFonts w:ascii="FangSong_GB2312" w:hAnsi="FangSong_GB2312" w:eastAsia="FangSong_GB2312" w:cs="FangSong_GB2312"/>
          <w:color w:val="auto"/>
          <w:kern w:val="0"/>
          <w:sz w:val="32"/>
          <w:szCs w:val="32"/>
          <w:u w:val="none"/>
        </w:rPr>
        <w:t>辆。与上年决算相比</w:t>
      </w:r>
      <w:r>
        <w:rPr>
          <w:rFonts w:hint="eastAsia" w:ascii="FangSong_GB2312" w:hAnsi="FangSong_GB2312" w:eastAsia="FangSong_GB2312" w:cs="FangSong_GB2312"/>
          <w:color w:val="auto"/>
          <w:kern w:val="0"/>
          <w:sz w:val="32"/>
          <w:szCs w:val="32"/>
          <w:u w:val="none"/>
          <w:lang w:eastAsia="zh-CN"/>
        </w:rPr>
        <w:t>，</w:t>
      </w:r>
      <w:r>
        <w:rPr>
          <w:rFonts w:ascii="FangSong_GB2312" w:hAnsi="FangSong_GB2312" w:eastAsia="FangSong_GB2312" w:cs="FangSong_GB2312"/>
          <w:color w:val="auto"/>
          <w:kern w:val="0"/>
          <w:sz w:val="32"/>
          <w:szCs w:val="32"/>
          <w:u w:val="none"/>
        </w:rPr>
        <w:t>减</w:t>
      </w:r>
      <w:r>
        <w:rPr>
          <w:rFonts w:hint="eastAsia" w:ascii="FangSong_GB2312" w:hAnsi="FangSong_GB2312" w:eastAsia="FangSong_GB2312" w:cs="FangSong_GB2312"/>
          <w:color w:val="auto"/>
          <w:kern w:val="0"/>
          <w:sz w:val="32"/>
          <w:szCs w:val="32"/>
          <w:u w:val="none"/>
          <w:lang w:val="en-US" w:eastAsia="zh-CN"/>
        </w:rPr>
        <w:t>少</w:t>
      </w:r>
      <w:r>
        <w:rPr>
          <w:rFonts w:eastAsia="Times New Roman"/>
          <w:color w:val="auto"/>
          <w:kern w:val="0"/>
          <w:sz w:val="32"/>
          <w:szCs w:val="32"/>
          <w:u w:val="none"/>
          <w:lang w:eastAsia="en-US"/>
        </w:rPr>
        <w:t>20.38</w:t>
      </w:r>
      <w:r>
        <w:rPr>
          <w:rFonts w:ascii="FangSong_GB2312" w:hAnsi="FangSong_GB2312" w:eastAsia="FangSong_GB2312" w:cs="FangSong_GB2312"/>
          <w:color w:val="auto"/>
          <w:kern w:val="0"/>
          <w:sz w:val="32"/>
          <w:szCs w:val="32"/>
          <w:u w:val="none"/>
        </w:rPr>
        <w:t>万元，下降</w:t>
      </w:r>
      <w:r>
        <w:rPr>
          <w:rFonts w:eastAsia="Times New Roman"/>
          <w:color w:val="auto"/>
          <w:kern w:val="0"/>
          <w:sz w:val="32"/>
          <w:szCs w:val="32"/>
          <w:u w:val="none"/>
          <w:lang w:eastAsia="en-US"/>
        </w:rPr>
        <w:t>33.96</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，变动原因：</w:t>
      </w:r>
      <w:r>
        <w:rPr>
          <w:rFonts w:hint="eastAsia" w:ascii="FangSong_GB2312" w:hAnsi="FangSong_GB2312" w:eastAsia="FangSong_GB2312" w:cs="FangSong_GB2312"/>
          <w:color w:val="auto"/>
          <w:kern w:val="0"/>
          <w:sz w:val="32"/>
          <w:szCs w:val="32"/>
          <w:u w:val="none"/>
          <w:lang w:val="en-US" w:eastAsia="zh-CN"/>
        </w:rPr>
        <w:t>我单位更新的公务用车为新能源汽车，维修费用及燃料费有所节约。</w:t>
      </w:r>
    </w:p>
    <w:p w14:paraId="613DE834">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eastAsia="Times New Roman"/>
          <w:b/>
          <w:bCs/>
          <w:color w:val="auto"/>
          <w:kern w:val="0"/>
          <w:sz w:val="32"/>
          <w:szCs w:val="32"/>
          <w:u w:val="none"/>
          <w:lang w:eastAsia="en-US"/>
        </w:rPr>
        <w:t>3</w:t>
      </w:r>
      <w:r>
        <w:rPr>
          <w:rFonts w:ascii="FangSong_GB2312" w:hAnsi="FangSong_GB2312" w:eastAsia="FangSong_GB2312" w:cs="FangSong_GB2312"/>
          <w:b/>
          <w:bCs/>
          <w:color w:val="auto"/>
          <w:kern w:val="0"/>
          <w:sz w:val="32"/>
          <w:szCs w:val="32"/>
          <w:u w:val="none"/>
          <w:lang w:eastAsia="en-US"/>
        </w:rPr>
        <w:t>.</w:t>
      </w:r>
      <w:r>
        <w:rPr>
          <w:rFonts w:ascii="FangSong_GB2312" w:hAnsi="FangSong_GB2312" w:eastAsia="FangSong_GB2312" w:cs="FangSong_GB2312"/>
          <w:b/>
          <w:bCs/>
          <w:color w:val="auto"/>
          <w:kern w:val="0"/>
          <w:sz w:val="32"/>
          <w:szCs w:val="32"/>
          <w:u w:val="none"/>
        </w:rPr>
        <w:t>公务接待费支出</w:t>
      </w:r>
      <w:r>
        <w:rPr>
          <w:rFonts w:eastAsia="Times New Roman"/>
          <w:color w:val="auto"/>
          <w:kern w:val="0"/>
          <w:sz w:val="32"/>
          <w:szCs w:val="32"/>
          <w:u w:val="none"/>
          <w:lang w:eastAsia="en-US"/>
        </w:rPr>
        <w:t xml:space="preserve"> 0.34</w:t>
      </w:r>
      <w:r>
        <w:rPr>
          <w:rFonts w:ascii="FangSong_GB2312" w:hAnsi="FangSong_GB2312" w:eastAsia="FangSong_GB2312" w:cs="FangSong_GB2312"/>
          <w:color w:val="auto"/>
          <w:kern w:val="0"/>
          <w:sz w:val="32"/>
          <w:szCs w:val="32"/>
          <w:u w:val="none"/>
        </w:rPr>
        <w:t>万元。其中：国内公务接待支出</w:t>
      </w:r>
      <w:r>
        <w:rPr>
          <w:rFonts w:eastAsia="Times New Roman"/>
          <w:color w:val="auto"/>
          <w:kern w:val="0"/>
          <w:sz w:val="32"/>
          <w:szCs w:val="32"/>
          <w:u w:val="none"/>
          <w:lang w:eastAsia="en-US"/>
        </w:rPr>
        <w:t xml:space="preserve"> 0.34</w:t>
      </w:r>
      <w:r>
        <w:rPr>
          <w:rFonts w:ascii="FangSong_GB2312" w:hAnsi="FangSong_GB2312" w:eastAsia="FangSong_GB2312" w:cs="FangSong_GB2312"/>
          <w:color w:val="auto"/>
          <w:kern w:val="0"/>
          <w:sz w:val="32"/>
          <w:szCs w:val="32"/>
          <w:u w:val="none"/>
        </w:rPr>
        <w:t>万元，接待</w:t>
      </w:r>
      <w:r>
        <w:rPr>
          <w:rFonts w:eastAsia="Times New Roman"/>
          <w:color w:val="auto"/>
          <w:kern w:val="0"/>
          <w:sz w:val="32"/>
          <w:szCs w:val="32"/>
          <w:u w:val="none"/>
          <w:lang w:eastAsia="en-US"/>
        </w:rPr>
        <w:t xml:space="preserve">4 </w:t>
      </w:r>
      <w:r>
        <w:rPr>
          <w:rFonts w:ascii="FangSong_GB2312" w:hAnsi="FangSong_GB2312" w:eastAsia="FangSong_GB2312" w:cs="FangSong_GB2312"/>
          <w:color w:val="auto"/>
          <w:kern w:val="0"/>
          <w:sz w:val="32"/>
          <w:szCs w:val="32"/>
          <w:u w:val="none"/>
        </w:rPr>
        <w:t>批次，</w:t>
      </w:r>
      <w:r>
        <w:rPr>
          <w:rFonts w:eastAsia="Times New Roman"/>
          <w:color w:val="auto"/>
          <w:kern w:val="0"/>
          <w:sz w:val="32"/>
          <w:szCs w:val="32"/>
          <w:u w:val="none"/>
          <w:lang w:eastAsia="en-US"/>
        </w:rPr>
        <w:t xml:space="preserve">28 </w:t>
      </w:r>
      <w:r>
        <w:rPr>
          <w:rFonts w:ascii="FangSong_GB2312" w:hAnsi="FangSong_GB2312" w:eastAsia="FangSong_GB2312" w:cs="FangSong_GB2312"/>
          <w:color w:val="auto"/>
          <w:kern w:val="0"/>
          <w:sz w:val="32"/>
          <w:szCs w:val="32"/>
          <w:u w:val="none"/>
        </w:rPr>
        <w:t>人次，开支内容：</w:t>
      </w:r>
      <w:r>
        <w:rPr>
          <w:rFonts w:hint="eastAsia" w:ascii="FangSong_GB2312" w:hAnsi="FangSong_GB2312" w:eastAsia="FangSong_GB2312" w:cs="FangSong_GB2312"/>
          <w:color w:val="auto"/>
          <w:kern w:val="0"/>
          <w:sz w:val="32"/>
          <w:szCs w:val="32"/>
          <w:u w:val="none"/>
        </w:rPr>
        <w:t>因公务活动来我单位产生的接待费用</w:t>
      </w:r>
      <w:r>
        <w:rPr>
          <w:rFonts w:ascii="FangSong_GB2312" w:hAnsi="FangSong_GB2312" w:eastAsia="FangSong_GB2312" w:cs="FangSong_GB2312"/>
          <w:color w:val="auto"/>
          <w:kern w:val="0"/>
          <w:sz w:val="32"/>
          <w:szCs w:val="32"/>
          <w:u w:val="none"/>
        </w:rPr>
        <w:t>；国（境）外公务接待支出</w:t>
      </w:r>
      <w:r>
        <w:rPr>
          <w:rFonts w:eastAsia="Times New Roman"/>
          <w:color w:val="auto"/>
          <w:kern w:val="0"/>
          <w:sz w:val="32"/>
          <w:szCs w:val="32"/>
          <w:u w:val="none"/>
          <w:lang w:eastAsia="en-US"/>
        </w:rPr>
        <w:t xml:space="preserve"> 0</w:t>
      </w:r>
      <w:r>
        <w:rPr>
          <w:rFonts w:ascii="FangSong_GB2312" w:hAnsi="FangSong_GB2312" w:eastAsia="FangSong_GB2312" w:cs="FangSong_GB2312"/>
          <w:color w:val="auto"/>
          <w:kern w:val="0"/>
          <w:sz w:val="32"/>
          <w:szCs w:val="32"/>
          <w:u w:val="none"/>
        </w:rPr>
        <w:t>万元，接待</w:t>
      </w:r>
      <w:r>
        <w:rPr>
          <w:rFonts w:eastAsia="Times New Roman"/>
          <w:color w:val="auto"/>
          <w:kern w:val="0"/>
          <w:sz w:val="32"/>
          <w:szCs w:val="32"/>
          <w:u w:val="none"/>
          <w:lang w:eastAsia="en-US"/>
        </w:rPr>
        <w:t xml:space="preserve">0 </w:t>
      </w:r>
      <w:r>
        <w:rPr>
          <w:rFonts w:ascii="FangSong_GB2312" w:hAnsi="FangSong_GB2312" w:eastAsia="FangSong_GB2312" w:cs="FangSong_GB2312"/>
          <w:color w:val="auto"/>
          <w:kern w:val="0"/>
          <w:sz w:val="32"/>
          <w:szCs w:val="32"/>
          <w:u w:val="none"/>
        </w:rPr>
        <w:t>批次，</w:t>
      </w:r>
      <w:r>
        <w:rPr>
          <w:rFonts w:eastAsia="Times New Roman"/>
          <w:color w:val="auto"/>
          <w:kern w:val="0"/>
          <w:sz w:val="32"/>
          <w:szCs w:val="32"/>
          <w:u w:val="none"/>
          <w:lang w:eastAsia="en-US"/>
        </w:rPr>
        <w:t xml:space="preserve">0 </w:t>
      </w:r>
      <w:r>
        <w:rPr>
          <w:rFonts w:ascii="FangSong_GB2312" w:hAnsi="FangSong_GB2312" w:eastAsia="FangSong_GB2312" w:cs="FangSong_GB2312"/>
          <w:color w:val="auto"/>
          <w:kern w:val="0"/>
          <w:sz w:val="32"/>
          <w:szCs w:val="32"/>
          <w:u w:val="none"/>
        </w:rPr>
        <w:t>人次。与上年决算相比，减少</w:t>
      </w:r>
      <w:r>
        <w:rPr>
          <w:rFonts w:eastAsia="Times New Roman"/>
          <w:color w:val="auto"/>
          <w:kern w:val="0"/>
          <w:sz w:val="32"/>
          <w:szCs w:val="32"/>
          <w:u w:val="none"/>
          <w:lang w:eastAsia="en-US"/>
        </w:rPr>
        <w:t>1.17</w:t>
      </w:r>
      <w:r>
        <w:rPr>
          <w:rFonts w:ascii="FangSong_GB2312" w:hAnsi="FangSong_GB2312" w:eastAsia="FangSong_GB2312" w:cs="FangSong_GB2312"/>
          <w:color w:val="auto"/>
          <w:kern w:val="0"/>
          <w:sz w:val="32"/>
          <w:szCs w:val="32"/>
          <w:u w:val="none"/>
        </w:rPr>
        <w:t>万元，下</w:t>
      </w:r>
      <w:r>
        <w:rPr>
          <w:rFonts w:hint="eastAsia" w:ascii="FangSong_GB2312" w:hAnsi="FangSong_GB2312" w:eastAsia="FangSong_GB2312" w:cs="FangSong_GB2312"/>
          <w:color w:val="auto"/>
          <w:kern w:val="0"/>
          <w:sz w:val="32"/>
          <w:szCs w:val="32"/>
          <w:u w:val="none"/>
          <w:lang w:val="en-US" w:eastAsia="zh-CN"/>
        </w:rPr>
        <w:t>降</w:t>
      </w:r>
      <w:r>
        <w:rPr>
          <w:rFonts w:eastAsia="Times New Roman"/>
          <w:color w:val="auto"/>
          <w:kern w:val="0"/>
          <w:sz w:val="32"/>
          <w:szCs w:val="32"/>
          <w:u w:val="none"/>
          <w:lang w:eastAsia="en-US"/>
        </w:rPr>
        <w:t xml:space="preserve"> 77.</w:t>
      </w:r>
      <w:r>
        <w:rPr>
          <w:rFonts w:hint="eastAsia" w:eastAsia="宋体"/>
          <w:color w:val="auto"/>
          <w:kern w:val="0"/>
          <w:sz w:val="32"/>
          <w:szCs w:val="32"/>
          <w:u w:val="none"/>
          <w:lang w:val="en-US" w:eastAsia="zh-CN"/>
        </w:rPr>
        <w:t>48</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，变动原因：</w:t>
      </w:r>
      <w:r>
        <w:rPr>
          <w:rFonts w:hint="eastAsia" w:ascii="FangSong_GB2312" w:hAnsi="FangSong_GB2312" w:eastAsia="FangSong_GB2312" w:cs="FangSong_GB2312"/>
          <w:color w:val="auto"/>
          <w:kern w:val="0"/>
          <w:sz w:val="32"/>
          <w:szCs w:val="32"/>
          <w:u w:val="none"/>
          <w:lang w:val="en-US" w:eastAsia="zh-CN"/>
        </w:rPr>
        <w:t>严格执行公务接待批次减少，费用减少</w:t>
      </w:r>
      <w:r>
        <w:rPr>
          <w:rFonts w:ascii="FangSong_GB2312" w:hAnsi="FangSong_GB2312" w:eastAsia="FangSong_GB2312" w:cs="FangSong_GB2312"/>
          <w:color w:val="auto"/>
          <w:kern w:val="0"/>
          <w:sz w:val="32"/>
          <w:szCs w:val="32"/>
          <w:u w:val="none"/>
        </w:rPr>
        <w:t>。</w:t>
      </w:r>
    </w:p>
    <w:p w14:paraId="57A2EFA5">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九、政府性基金预算财政拨款支出决算情况说明</w:t>
      </w:r>
    </w:p>
    <w:p w14:paraId="2A7957E3">
      <w:pPr>
        <w:widowControl/>
        <w:spacing w:before="240" w:after="240"/>
        <w:rPr>
          <w:rFonts w:ascii="FangSong_GB2312" w:hAnsi="FangSong_GB2312" w:eastAsia="FangSong_GB2312" w:cs="FangSong_GB2312"/>
          <w:color w:val="auto"/>
          <w:kern w:val="0"/>
          <w:sz w:val="32"/>
          <w:szCs w:val="32"/>
          <w:u w:val="none"/>
          <w:lang w:val="en-US" w:eastAsia="zh-CN" w:bidi="ar-SA"/>
        </w:rPr>
      </w:pPr>
      <w:r>
        <w:rPr>
          <w:rFonts w:hint="eastAsia" w:ascii="仿宋_GB2312" w:hAnsi="仿宋_GB2312" w:eastAsia="仿宋_GB2312" w:cs="仿宋_GB2312"/>
          <w:color w:val="auto"/>
          <w:kern w:val="0"/>
          <w:sz w:val="27"/>
          <w:szCs w:val="27"/>
          <w:u w:val="none"/>
        </w:rPr>
        <w:t> </w:t>
      </w:r>
      <w:r>
        <w:rPr>
          <w:rFonts w:hint="eastAsia" w:ascii="仿宋_GB2312" w:hAnsi="仿宋_GB2312" w:eastAsia="仿宋_GB2312" w:cs="仿宋_GB2312"/>
          <w:color w:val="auto"/>
          <w:kern w:val="0"/>
          <w:sz w:val="27"/>
          <w:szCs w:val="27"/>
          <w:u w:val="none"/>
          <w:lang w:val="en-US" w:eastAsia="zh-CN"/>
        </w:rPr>
        <w:t xml:space="preserve">    </w:t>
      </w:r>
      <w:r>
        <w:rPr>
          <w:rFonts w:hint="eastAsia" w:ascii="FangSong_GB2312" w:hAnsi="FangSong_GB2312" w:eastAsia="FangSong_GB2312" w:cs="FangSong_GB2312"/>
          <w:color w:val="auto"/>
          <w:kern w:val="0"/>
          <w:sz w:val="32"/>
          <w:szCs w:val="32"/>
          <w:u w:val="none"/>
          <w:lang w:val="en-US" w:eastAsia="zh-CN" w:bidi="ar-SA"/>
        </w:rPr>
        <w:t>内蒙古自治区特种设备检验研究院包头分院 2025年度政府性基金预算支出决算0.00 万元，与上年决算相比，</w:t>
      </w:r>
      <w:r>
        <w:rPr>
          <w:rFonts w:hint="default" w:ascii="Times New Roman" w:hAnsi="Times New Roman" w:eastAsia="仿宋_GB2312" w:cs="Times New Roman"/>
          <w:sz w:val="32"/>
          <w:szCs w:val="32"/>
          <w:u w:val="none"/>
          <w:lang w:val="en-US" w:eastAsia="zh-CN"/>
        </w:rPr>
        <w:t>同为0.00万元，</w:t>
      </w:r>
      <w:r>
        <w:rPr>
          <w:rFonts w:hint="eastAsia" w:ascii="FangSong_GB2312" w:hAnsi="FangSong_GB2312" w:eastAsia="FangSong_GB2312" w:cs="FangSong_GB2312"/>
          <w:color w:val="auto"/>
          <w:kern w:val="0"/>
          <w:sz w:val="32"/>
          <w:szCs w:val="32"/>
          <w:u w:val="none"/>
          <w:lang w:val="en-US" w:eastAsia="zh-CN" w:bidi="ar-SA"/>
        </w:rPr>
        <w:t>无增减变动，变动原因：本年无政府性基金预算财政拨款收、支、余 。</w:t>
      </w:r>
    </w:p>
    <w:p w14:paraId="0EED2857">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十、国有资本经营预算财政拨款支出决算情况说明</w:t>
      </w:r>
    </w:p>
    <w:p w14:paraId="5AC32EFC">
      <w:pPr>
        <w:widowControl/>
        <w:spacing w:before="240" w:after="240"/>
        <w:ind w:firstLine="640" w:firstLineChars="200"/>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lang w:val="en-US" w:eastAsia="zh-CN" w:bidi="ar-SA"/>
        </w:rPr>
        <w:t>内蒙古自治区特种设备检验研究院包头分院 202</w:t>
      </w:r>
      <w:r>
        <w:rPr>
          <w:rFonts w:hint="eastAsia" w:ascii="FangSong_GB2312" w:hAnsi="FangSong_GB2312" w:eastAsia="FangSong_GB2312" w:cs="FangSong_GB2312"/>
          <w:color w:val="auto"/>
          <w:kern w:val="0"/>
          <w:sz w:val="32"/>
          <w:szCs w:val="32"/>
          <w:u w:val="none"/>
          <w:lang w:val="en-US" w:eastAsia="zh-CN" w:bidi="ar-SA"/>
        </w:rPr>
        <w:t>5</w:t>
      </w:r>
      <w:r>
        <w:rPr>
          <w:rFonts w:ascii="FangSong_GB2312" w:hAnsi="FangSong_GB2312" w:eastAsia="FangSong_GB2312" w:cs="FangSong_GB2312"/>
          <w:color w:val="auto"/>
          <w:kern w:val="0"/>
          <w:sz w:val="32"/>
          <w:szCs w:val="32"/>
          <w:u w:val="none"/>
          <w:lang w:val="en-US" w:eastAsia="zh-CN" w:bidi="ar-SA"/>
        </w:rPr>
        <w:t>年度国有资本经营预算财政拨款支出决算 0万元。与上年决算相比，</w:t>
      </w:r>
      <w:r>
        <w:rPr>
          <w:rFonts w:hint="default" w:ascii="Times New Roman" w:hAnsi="Times New Roman" w:eastAsia="仿宋_GB2312" w:cs="Times New Roman"/>
          <w:sz w:val="32"/>
          <w:szCs w:val="32"/>
          <w:u w:val="none"/>
          <w:lang w:val="en-US" w:eastAsia="zh-CN"/>
        </w:rPr>
        <w:t>同为0.00万元，</w:t>
      </w:r>
      <w:r>
        <w:rPr>
          <w:rFonts w:hint="eastAsia" w:ascii="FangSong_GB2312" w:hAnsi="FangSong_GB2312" w:eastAsia="FangSong_GB2312" w:cs="FangSong_GB2312"/>
          <w:color w:val="auto"/>
          <w:kern w:val="0"/>
          <w:sz w:val="32"/>
          <w:szCs w:val="32"/>
          <w:u w:val="none"/>
          <w:lang w:val="en-US" w:eastAsia="zh-CN" w:bidi="ar-SA"/>
        </w:rPr>
        <w:t>无增减变动，变动原因：本年无国有资本经营预算财政拨款收、支、余。</w:t>
      </w:r>
    </w:p>
    <w:p w14:paraId="65DEE3CB">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十一、机关运行经费（公用经费）支出决算情况说明</w:t>
      </w:r>
    </w:p>
    <w:p w14:paraId="5C8873D3">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hint="eastAsia" w:ascii="FangSong_GB2312" w:hAnsi="FangSong_GB2312" w:eastAsia="FangSong_GB2312" w:cs="FangSong_GB2312"/>
          <w:color w:val="auto"/>
          <w:kern w:val="0"/>
          <w:sz w:val="32"/>
          <w:szCs w:val="32"/>
          <w:u w:val="none"/>
        </w:rPr>
        <w:t>内蒙古自治区特种设备检验研究院包头分院 2025年度公用经费支出决算 1.30万元，与上年决算相比，减少 124.40万元，下降98.97%，变动原因：</w:t>
      </w:r>
      <w:r>
        <w:rPr>
          <w:rFonts w:hint="eastAsia" w:ascii="FangSong_GB2312" w:hAnsi="FangSong_GB2312" w:eastAsia="FangSong_GB2312" w:cs="FangSong_GB2312"/>
          <w:color w:val="auto"/>
          <w:kern w:val="0"/>
          <w:sz w:val="32"/>
          <w:szCs w:val="32"/>
          <w:u w:val="none"/>
          <w:lang w:val="en-US" w:eastAsia="zh-CN"/>
        </w:rPr>
        <w:t>2025年公用经费支出决算中不包含福利费与工会经费，因此较上年决算相比减少</w:t>
      </w:r>
      <w:r>
        <w:rPr>
          <w:rFonts w:hint="eastAsia" w:ascii="FangSong_GB2312" w:hAnsi="FangSong_GB2312" w:eastAsia="FangSong_GB2312" w:cs="FangSong_GB2312"/>
          <w:color w:val="auto"/>
          <w:kern w:val="0"/>
          <w:sz w:val="32"/>
          <w:szCs w:val="32"/>
          <w:u w:val="none"/>
        </w:rPr>
        <w:t>。其中，机关运行经费支出决算 0万元。比上年决算相比，无增减变动</w:t>
      </w:r>
      <w:r>
        <w:rPr>
          <w:rFonts w:hint="eastAsia" w:ascii="FangSong_GB2312" w:hAnsi="FangSong_GB2312" w:eastAsia="FangSong_GB2312" w:cs="FangSong_GB2312"/>
          <w:color w:val="auto"/>
          <w:kern w:val="0"/>
          <w:sz w:val="32"/>
          <w:szCs w:val="32"/>
          <w:u w:val="none"/>
          <w:lang w:eastAsia="zh-CN"/>
        </w:rPr>
        <w:t>，</w:t>
      </w:r>
      <w:r>
        <w:rPr>
          <w:rFonts w:hint="eastAsia" w:ascii="FangSong_GB2312" w:hAnsi="FangSong_GB2312" w:eastAsia="FangSong_GB2312" w:cs="FangSong_GB2312"/>
          <w:color w:val="auto"/>
          <w:kern w:val="0"/>
          <w:sz w:val="32"/>
          <w:szCs w:val="32"/>
          <w:u w:val="none"/>
        </w:rPr>
        <w:t>变动原因：我单位类型为</w:t>
      </w:r>
      <w:r>
        <w:rPr>
          <w:rFonts w:hint="eastAsia" w:ascii="FangSong_GB2312" w:hAnsi="FangSong_GB2312" w:eastAsia="FangSong_GB2312" w:cs="FangSong_GB2312"/>
          <w:color w:val="auto"/>
          <w:kern w:val="0"/>
          <w:sz w:val="32"/>
          <w:szCs w:val="32"/>
          <w:u w:val="none"/>
          <w:lang w:val="en-US" w:eastAsia="zh-CN"/>
        </w:rPr>
        <w:t>公益二</w:t>
      </w:r>
      <w:r>
        <w:rPr>
          <w:rFonts w:hint="eastAsia" w:ascii="FangSong_GB2312" w:hAnsi="FangSong_GB2312" w:eastAsia="FangSong_GB2312" w:cs="FangSong_GB2312"/>
          <w:color w:val="auto"/>
          <w:kern w:val="0"/>
          <w:sz w:val="32"/>
          <w:szCs w:val="32"/>
          <w:u w:val="none"/>
        </w:rPr>
        <w:t>类</w:t>
      </w:r>
      <w:r>
        <w:rPr>
          <w:rFonts w:hint="eastAsia" w:ascii="FangSong_GB2312" w:hAnsi="FangSong_GB2312" w:eastAsia="FangSong_GB2312" w:cs="FangSong_GB2312"/>
          <w:color w:val="auto"/>
          <w:kern w:val="0"/>
          <w:sz w:val="32"/>
          <w:szCs w:val="32"/>
          <w:u w:val="none"/>
          <w:lang w:val="en-US" w:eastAsia="zh-CN"/>
        </w:rPr>
        <w:t>事业</w:t>
      </w:r>
      <w:r>
        <w:rPr>
          <w:rFonts w:hint="eastAsia" w:ascii="FangSong_GB2312" w:hAnsi="FangSong_GB2312" w:eastAsia="FangSong_GB2312" w:cs="FangSong_GB2312"/>
          <w:color w:val="auto"/>
          <w:kern w:val="0"/>
          <w:sz w:val="32"/>
          <w:szCs w:val="32"/>
          <w:u w:val="none"/>
        </w:rPr>
        <w:t>单位，无机关运行经费支出 。</w:t>
      </w:r>
    </w:p>
    <w:p w14:paraId="6920DB9C">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十二、政府采购支出决算情况说明</w:t>
      </w:r>
    </w:p>
    <w:p w14:paraId="4ED03580">
      <w:pPr>
        <w:pStyle w:val="28"/>
        <w:widowControl/>
        <w:spacing w:before="240" w:after="240" w:line="560" w:lineRule="atLeast"/>
        <w:ind w:firstLine="640"/>
        <w:jc w:val="left"/>
        <w:rPr>
          <w:rFonts w:ascii="FangSong_GB2312" w:hAnsi="FangSong_GB2312" w:eastAsia="FangSong_GB2312" w:cs="FangSong_GB2312"/>
          <w:color w:val="auto"/>
          <w:kern w:val="0"/>
          <w:sz w:val="32"/>
          <w:szCs w:val="32"/>
          <w:u w:val="none"/>
        </w:rPr>
      </w:pPr>
      <w:r>
        <w:rPr>
          <w:rFonts w:ascii="FangSong_GB2312" w:hAnsi="FangSong_GB2312" w:eastAsia="FangSong_GB2312" w:cs="FangSong_GB2312"/>
          <w:color w:val="auto"/>
          <w:kern w:val="0"/>
          <w:sz w:val="32"/>
          <w:szCs w:val="32"/>
          <w:u w:val="none"/>
        </w:rPr>
        <w:t>内蒙古自治区特种设备检验研究院包头分院</w:t>
      </w:r>
      <w:r>
        <w:rPr>
          <w:rFonts w:eastAsia="Times New Roman"/>
          <w:color w:val="auto"/>
          <w:kern w:val="0"/>
          <w:sz w:val="32"/>
          <w:szCs w:val="32"/>
          <w:u w:val="none"/>
          <w:lang w:eastAsia="en-US"/>
        </w:rPr>
        <w:t>2025</w:t>
      </w:r>
      <w:r>
        <w:rPr>
          <w:rFonts w:ascii="FangSong_GB2312" w:hAnsi="FangSong_GB2312" w:eastAsia="FangSong_GB2312" w:cs="FangSong_GB2312"/>
          <w:color w:val="auto"/>
          <w:kern w:val="0"/>
          <w:sz w:val="32"/>
          <w:szCs w:val="32"/>
          <w:u w:val="none"/>
        </w:rPr>
        <w:t>年度政府采购支出总额</w:t>
      </w:r>
      <w:r>
        <w:rPr>
          <w:rFonts w:eastAsia="Times New Roman"/>
          <w:color w:val="auto"/>
          <w:kern w:val="0"/>
          <w:sz w:val="32"/>
          <w:szCs w:val="32"/>
          <w:u w:val="none"/>
          <w:lang w:eastAsia="en-US"/>
        </w:rPr>
        <w:t xml:space="preserve"> 1953.45</w:t>
      </w:r>
      <w:r>
        <w:rPr>
          <w:rFonts w:ascii="FangSong_GB2312" w:hAnsi="FangSong_GB2312" w:eastAsia="FangSong_GB2312" w:cs="FangSong_GB2312"/>
          <w:color w:val="auto"/>
          <w:kern w:val="0"/>
          <w:sz w:val="32"/>
          <w:szCs w:val="32"/>
          <w:u w:val="none"/>
        </w:rPr>
        <w:t>万元，其中：政府采购货物支出</w:t>
      </w:r>
      <w:r>
        <w:rPr>
          <w:rFonts w:eastAsia="Times New Roman"/>
          <w:color w:val="auto"/>
          <w:kern w:val="0"/>
          <w:sz w:val="32"/>
          <w:szCs w:val="32"/>
          <w:u w:val="none"/>
          <w:lang w:eastAsia="en-US"/>
        </w:rPr>
        <w:t xml:space="preserve"> 1076.82</w:t>
      </w:r>
      <w:r>
        <w:rPr>
          <w:rFonts w:ascii="FangSong_GB2312" w:hAnsi="FangSong_GB2312" w:eastAsia="FangSong_GB2312" w:cs="FangSong_GB2312"/>
          <w:color w:val="auto"/>
          <w:kern w:val="0"/>
          <w:sz w:val="32"/>
          <w:szCs w:val="32"/>
          <w:u w:val="none"/>
        </w:rPr>
        <w:t>万元、政府采购工程支出</w:t>
      </w:r>
      <w:r>
        <w:rPr>
          <w:rFonts w:eastAsia="Times New Roman"/>
          <w:color w:val="auto"/>
          <w:kern w:val="0"/>
          <w:sz w:val="32"/>
          <w:szCs w:val="32"/>
          <w:u w:val="none"/>
          <w:lang w:eastAsia="en-US"/>
        </w:rPr>
        <w:t xml:space="preserve"> 24.77</w:t>
      </w:r>
      <w:r>
        <w:rPr>
          <w:rFonts w:ascii="FangSong_GB2312" w:hAnsi="FangSong_GB2312" w:eastAsia="FangSong_GB2312" w:cs="FangSong_GB2312"/>
          <w:color w:val="auto"/>
          <w:kern w:val="0"/>
          <w:sz w:val="32"/>
          <w:szCs w:val="32"/>
          <w:u w:val="none"/>
        </w:rPr>
        <w:t>万元、政府采购服务支出</w:t>
      </w:r>
      <w:r>
        <w:rPr>
          <w:rFonts w:eastAsia="Times New Roman"/>
          <w:color w:val="auto"/>
          <w:kern w:val="0"/>
          <w:sz w:val="32"/>
          <w:szCs w:val="32"/>
          <w:u w:val="none"/>
          <w:lang w:eastAsia="en-US"/>
        </w:rPr>
        <w:t xml:space="preserve"> 851.86</w:t>
      </w:r>
      <w:r>
        <w:rPr>
          <w:rFonts w:ascii="FangSong_GB2312" w:hAnsi="FangSong_GB2312" w:eastAsia="FangSong_GB2312" w:cs="FangSong_GB2312"/>
          <w:color w:val="auto"/>
          <w:kern w:val="0"/>
          <w:sz w:val="32"/>
          <w:szCs w:val="32"/>
          <w:u w:val="none"/>
        </w:rPr>
        <w:t>万元。政府采购授予中小企业合同金额</w:t>
      </w:r>
      <w:r>
        <w:rPr>
          <w:rFonts w:eastAsia="Times New Roman"/>
          <w:color w:val="auto"/>
          <w:kern w:val="0"/>
          <w:sz w:val="32"/>
          <w:szCs w:val="32"/>
          <w:u w:val="none"/>
          <w:lang w:eastAsia="en-US"/>
        </w:rPr>
        <w:t xml:space="preserve"> 1928.37</w:t>
      </w:r>
      <w:r>
        <w:rPr>
          <w:rFonts w:ascii="FangSong_GB2312" w:hAnsi="FangSong_GB2312" w:eastAsia="FangSong_GB2312" w:cs="FangSong_GB2312"/>
          <w:color w:val="auto"/>
          <w:kern w:val="0"/>
          <w:sz w:val="32"/>
          <w:szCs w:val="32"/>
          <w:u w:val="none"/>
        </w:rPr>
        <w:t>万元，占政府采购支出总额的</w:t>
      </w:r>
      <w:r>
        <w:rPr>
          <w:rFonts w:hint="eastAsia"/>
          <w:color w:val="auto"/>
          <w:kern w:val="0"/>
          <w:sz w:val="32"/>
          <w:szCs w:val="32"/>
          <w:u w:val="none"/>
          <w:lang w:val="en-US" w:eastAsia="zh-CN"/>
        </w:rPr>
        <w:t>98.72</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，其中：授予小微企业合同金额</w:t>
      </w:r>
      <w:r>
        <w:rPr>
          <w:rFonts w:eastAsia="Times New Roman"/>
          <w:color w:val="auto"/>
          <w:kern w:val="0"/>
          <w:sz w:val="32"/>
          <w:szCs w:val="32"/>
          <w:u w:val="none"/>
          <w:lang w:eastAsia="en-US"/>
        </w:rPr>
        <w:t xml:space="preserve"> 1879.04</w:t>
      </w:r>
      <w:r>
        <w:rPr>
          <w:rFonts w:ascii="FangSong_GB2312" w:hAnsi="FangSong_GB2312" w:eastAsia="FangSong_GB2312" w:cs="FangSong_GB2312"/>
          <w:color w:val="auto"/>
          <w:kern w:val="0"/>
          <w:sz w:val="32"/>
          <w:szCs w:val="32"/>
          <w:u w:val="none"/>
        </w:rPr>
        <w:t>万元，占政府采购支出总额的</w:t>
      </w:r>
      <w:r>
        <w:rPr>
          <w:rFonts w:hint="eastAsia"/>
          <w:color w:val="auto"/>
          <w:kern w:val="0"/>
          <w:sz w:val="32"/>
          <w:szCs w:val="32"/>
          <w:u w:val="none"/>
          <w:lang w:val="en-US" w:eastAsia="zh-CN"/>
        </w:rPr>
        <w:t>96.19</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；货物采购授予中小企业合同金额占货物支出金额的</w:t>
      </w:r>
      <w:r>
        <w:rPr>
          <w:rFonts w:hint="eastAsia" w:ascii="FangSong_GB2312" w:hAnsi="FangSong_GB2312" w:eastAsia="FangSong_GB2312" w:cs="FangSong_GB2312"/>
          <w:color w:val="auto"/>
          <w:kern w:val="0"/>
          <w:sz w:val="32"/>
          <w:szCs w:val="32"/>
          <w:u w:val="none"/>
          <w:lang w:val="en-US" w:eastAsia="zh-CN"/>
        </w:rPr>
        <w:t>100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，工程采购授予中小企业合同金额占工程支出金额的</w:t>
      </w:r>
      <w:r>
        <w:rPr>
          <w:rFonts w:hint="eastAsia" w:ascii="FangSong_GB2312" w:hAnsi="FangSong_GB2312" w:eastAsia="FangSong_GB2312" w:cs="FangSong_GB2312"/>
          <w:color w:val="auto"/>
          <w:kern w:val="0"/>
          <w:sz w:val="32"/>
          <w:szCs w:val="32"/>
          <w:u w:val="none"/>
          <w:lang w:val="en-US" w:eastAsia="zh-CN"/>
        </w:rPr>
        <w:t>100</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，服务采购授予中小企业合同金额占服务支出金额的</w:t>
      </w:r>
      <w:r>
        <w:rPr>
          <w:rFonts w:hint="eastAsia" w:ascii="FangSong_GB2312" w:hAnsi="FangSong_GB2312" w:eastAsia="FangSong_GB2312" w:cs="FangSong_GB2312"/>
          <w:color w:val="auto"/>
          <w:kern w:val="0"/>
          <w:sz w:val="32"/>
          <w:szCs w:val="32"/>
          <w:u w:val="none"/>
          <w:lang w:val="en-US" w:eastAsia="zh-CN"/>
        </w:rPr>
        <w:t>75.07</w:t>
      </w:r>
      <w:r>
        <w:rPr>
          <w:rFonts w:ascii="FangSong_GB2312" w:hAnsi="FangSong_GB2312" w:eastAsia="FangSong_GB2312" w:cs="FangSong_GB2312"/>
          <w:color w:val="auto"/>
          <w:kern w:val="0"/>
          <w:sz w:val="32"/>
          <w:szCs w:val="32"/>
          <w:u w:val="none"/>
          <w:lang w:eastAsia="en-US"/>
        </w:rPr>
        <w:t>%</w:t>
      </w:r>
      <w:r>
        <w:rPr>
          <w:rFonts w:ascii="FangSong_GB2312" w:hAnsi="FangSong_GB2312" w:eastAsia="FangSong_GB2312" w:cs="FangSong_GB2312"/>
          <w:color w:val="auto"/>
          <w:kern w:val="0"/>
          <w:sz w:val="32"/>
          <w:szCs w:val="32"/>
          <w:u w:val="none"/>
        </w:rPr>
        <w:t>。</w:t>
      </w:r>
    </w:p>
    <w:p w14:paraId="4C52D67D">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十三、国有资产占用情况说明</w:t>
      </w:r>
    </w:p>
    <w:p w14:paraId="6AC6165A">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内蒙古自治区特种设备检验研究院包头分院截至</w:t>
      </w:r>
      <w:r>
        <w:rPr>
          <w:rFonts w:eastAsia="Times New Roman"/>
          <w:color w:val="auto"/>
          <w:kern w:val="0"/>
          <w:sz w:val="32"/>
          <w:szCs w:val="32"/>
          <w:u w:val="none"/>
          <w:lang w:eastAsia="en-US"/>
        </w:rPr>
        <w:t>2025</w:t>
      </w:r>
      <w:r>
        <w:rPr>
          <w:rFonts w:ascii="FangSong_GB2312" w:hAnsi="FangSong_GB2312" w:eastAsia="FangSong_GB2312" w:cs="FangSong_GB2312"/>
          <w:color w:val="auto"/>
          <w:kern w:val="0"/>
          <w:sz w:val="32"/>
          <w:szCs w:val="32"/>
          <w:u w:val="none"/>
        </w:rPr>
        <w:t>年</w:t>
      </w:r>
      <w:r>
        <w:rPr>
          <w:rFonts w:eastAsia="Times New Roman"/>
          <w:color w:val="auto"/>
          <w:kern w:val="0"/>
          <w:sz w:val="32"/>
          <w:szCs w:val="32"/>
          <w:u w:val="none"/>
          <w:lang w:eastAsia="en-US"/>
        </w:rPr>
        <w:t>12</w:t>
      </w:r>
      <w:r>
        <w:rPr>
          <w:rFonts w:ascii="FangSong_GB2312" w:hAnsi="FangSong_GB2312" w:eastAsia="FangSong_GB2312" w:cs="FangSong_GB2312"/>
          <w:color w:val="auto"/>
          <w:kern w:val="0"/>
          <w:sz w:val="32"/>
          <w:szCs w:val="32"/>
          <w:u w:val="none"/>
        </w:rPr>
        <w:t>月</w:t>
      </w:r>
      <w:r>
        <w:rPr>
          <w:rFonts w:eastAsia="Times New Roman"/>
          <w:color w:val="auto"/>
          <w:kern w:val="0"/>
          <w:sz w:val="32"/>
          <w:szCs w:val="32"/>
          <w:u w:val="none"/>
          <w:lang w:eastAsia="en-US"/>
        </w:rPr>
        <w:t>31</w:t>
      </w:r>
      <w:r>
        <w:rPr>
          <w:rFonts w:ascii="FangSong_GB2312" w:hAnsi="FangSong_GB2312" w:eastAsia="FangSong_GB2312" w:cs="FangSong_GB2312"/>
          <w:color w:val="auto"/>
          <w:kern w:val="0"/>
          <w:sz w:val="32"/>
          <w:szCs w:val="32"/>
          <w:u w:val="none"/>
        </w:rPr>
        <w:t>日，本</w:t>
      </w:r>
      <w:r>
        <w:rPr>
          <w:rFonts w:hint="eastAsia" w:ascii="FangSong_GB2312" w:hAnsi="FangSong_GB2312" w:eastAsia="FangSong_GB2312" w:cs="FangSong_GB2312"/>
          <w:color w:val="auto"/>
          <w:kern w:val="0"/>
          <w:sz w:val="32"/>
          <w:szCs w:val="32"/>
          <w:u w:val="none"/>
          <w:lang w:eastAsia="zh-CN"/>
        </w:rPr>
        <w:t>单位</w:t>
      </w:r>
      <w:r>
        <w:rPr>
          <w:rFonts w:ascii="FangSong_GB2312" w:hAnsi="FangSong_GB2312" w:eastAsia="FangSong_GB2312" w:cs="FangSong_GB2312"/>
          <w:color w:val="auto"/>
          <w:kern w:val="0"/>
          <w:sz w:val="32"/>
          <w:szCs w:val="32"/>
          <w:u w:val="none"/>
        </w:rPr>
        <w:t>共有车辆</w:t>
      </w:r>
      <w:r>
        <w:rPr>
          <w:rFonts w:eastAsia="Times New Roman"/>
          <w:color w:val="auto"/>
          <w:kern w:val="0"/>
          <w:sz w:val="32"/>
          <w:szCs w:val="32"/>
          <w:u w:val="none"/>
          <w:lang w:eastAsia="en-US"/>
        </w:rPr>
        <w:t xml:space="preserve">33 </w:t>
      </w:r>
      <w:r>
        <w:rPr>
          <w:rFonts w:ascii="FangSong_GB2312" w:hAnsi="FangSong_GB2312" w:eastAsia="FangSong_GB2312" w:cs="FangSong_GB2312"/>
          <w:color w:val="auto"/>
          <w:kern w:val="0"/>
          <w:sz w:val="32"/>
          <w:szCs w:val="32"/>
          <w:u w:val="none"/>
        </w:rPr>
        <w:t>辆，其中：副部（省）级及以上领导用车</w:t>
      </w:r>
      <w:r>
        <w:rPr>
          <w:rFonts w:eastAsia="Times New Roman"/>
          <w:color w:val="auto"/>
          <w:kern w:val="0"/>
          <w:sz w:val="32"/>
          <w:szCs w:val="32"/>
          <w:u w:val="none"/>
          <w:lang w:eastAsia="en-US"/>
        </w:rPr>
        <w:t xml:space="preserve">0 </w:t>
      </w:r>
      <w:r>
        <w:rPr>
          <w:rFonts w:ascii="FangSong_GB2312" w:hAnsi="FangSong_GB2312" w:eastAsia="FangSong_GB2312" w:cs="FangSong_GB2312"/>
          <w:color w:val="auto"/>
          <w:kern w:val="0"/>
          <w:sz w:val="32"/>
          <w:szCs w:val="32"/>
          <w:u w:val="none"/>
        </w:rPr>
        <w:t>辆、主要负责人用车</w:t>
      </w:r>
      <w:r>
        <w:rPr>
          <w:rFonts w:eastAsia="Times New Roman"/>
          <w:color w:val="auto"/>
          <w:kern w:val="0"/>
          <w:sz w:val="32"/>
          <w:szCs w:val="32"/>
          <w:u w:val="none"/>
          <w:lang w:eastAsia="en-US"/>
        </w:rPr>
        <w:t xml:space="preserve">0 </w:t>
      </w:r>
      <w:r>
        <w:rPr>
          <w:rFonts w:ascii="FangSong_GB2312" w:hAnsi="FangSong_GB2312" w:eastAsia="FangSong_GB2312" w:cs="FangSong_GB2312"/>
          <w:color w:val="auto"/>
          <w:kern w:val="0"/>
          <w:sz w:val="32"/>
          <w:szCs w:val="32"/>
          <w:u w:val="none"/>
        </w:rPr>
        <w:t>辆、机要通信用车</w:t>
      </w:r>
      <w:r>
        <w:rPr>
          <w:rFonts w:eastAsia="Times New Roman"/>
          <w:color w:val="auto"/>
          <w:kern w:val="0"/>
          <w:sz w:val="32"/>
          <w:szCs w:val="32"/>
          <w:u w:val="none"/>
          <w:lang w:eastAsia="en-US"/>
        </w:rPr>
        <w:t xml:space="preserve">0 </w:t>
      </w:r>
      <w:r>
        <w:rPr>
          <w:rFonts w:ascii="FangSong_GB2312" w:hAnsi="FangSong_GB2312" w:eastAsia="FangSong_GB2312" w:cs="FangSong_GB2312"/>
          <w:color w:val="auto"/>
          <w:kern w:val="0"/>
          <w:sz w:val="32"/>
          <w:szCs w:val="32"/>
          <w:u w:val="none"/>
        </w:rPr>
        <w:t>辆、应急保障用车</w:t>
      </w:r>
      <w:r>
        <w:rPr>
          <w:rFonts w:eastAsia="Times New Roman"/>
          <w:color w:val="auto"/>
          <w:kern w:val="0"/>
          <w:sz w:val="32"/>
          <w:szCs w:val="32"/>
          <w:u w:val="none"/>
          <w:lang w:eastAsia="en-US"/>
        </w:rPr>
        <w:t xml:space="preserve">0 </w:t>
      </w:r>
      <w:r>
        <w:rPr>
          <w:rFonts w:ascii="FangSong_GB2312" w:hAnsi="FangSong_GB2312" w:eastAsia="FangSong_GB2312" w:cs="FangSong_GB2312"/>
          <w:color w:val="auto"/>
          <w:kern w:val="0"/>
          <w:sz w:val="32"/>
          <w:szCs w:val="32"/>
          <w:u w:val="none"/>
        </w:rPr>
        <w:t>辆、执法执勤用车</w:t>
      </w:r>
      <w:r>
        <w:rPr>
          <w:rFonts w:eastAsia="Times New Roman"/>
          <w:color w:val="auto"/>
          <w:kern w:val="0"/>
          <w:sz w:val="32"/>
          <w:szCs w:val="32"/>
          <w:u w:val="none"/>
          <w:lang w:eastAsia="en-US"/>
        </w:rPr>
        <w:t xml:space="preserve">0 </w:t>
      </w:r>
      <w:r>
        <w:rPr>
          <w:rFonts w:ascii="FangSong_GB2312" w:hAnsi="FangSong_GB2312" w:eastAsia="FangSong_GB2312" w:cs="FangSong_GB2312"/>
          <w:color w:val="auto"/>
          <w:kern w:val="0"/>
          <w:sz w:val="32"/>
          <w:szCs w:val="32"/>
          <w:u w:val="none"/>
        </w:rPr>
        <w:t>辆、特种专业技术用车</w:t>
      </w:r>
      <w:r>
        <w:rPr>
          <w:rFonts w:eastAsia="Times New Roman"/>
          <w:color w:val="auto"/>
          <w:kern w:val="0"/>
          <w:sz w:val="32"/>
          <w:szCs w:val="32"/>
          <w:u w:val="none"/>
          <w:lang w:eastAsia="en-US"/>
        </w:rPr>
        <w:t xml:space="preserve">27 </w:t>
      </w:r>
      <w:r>
        <w:rPr>
          <w:rFonts w:ascii="FangSong_GB2312" w:hAnsi="FangSong_GB2312" w:eastAsia="FangSong_GB2312" w:cs="FangSong_GB2312"/>
          <w:color w:val="auto"/>
          <w:kern w:val="0"/>
          <w:sz w:val="32"/>
          <w:szCs w:val="32"/>
          <w:u w:val="none"/>
        </w:rPr>
        <w:t>辆、离退休干部服务用车</w:t>
      </w:r>
      <w:r>
        <w:rPr>
          <w:rFonts w:eastAsia="Times New Roman"/>
          <w:color w:val="auto"/>
          <w:kern w:val="0"/>
          <w:sz w:val="32"/>
          <w:szCs w:val="32"/>
          <w:u w:val="none"/>
          <w:lang w:eastAsia="en-US"/>
        </w:rPr>
        <w:t xml:space="preserve">0 </w:t>
      </w:r>
      <w:r>
        <w:rPr>
          <w:rFonts w:ascii="FangSong_GB2312" w:hAnsi="FangSong_GB2312" w:eastAsia="FangSong_GB2312" w:cs="FangSong_GB2312"/>
          <w:color w:val="auto"/>
          <w:kern w:val="0"/>
          <w:sz w:val="32"/>
          <w:szCs w:val="32"/>
          <w:u w:val="none"/>
        </w:rPr>
        <w:t>辆、其他用车</w:t>
      </w:r>
      <w:r>
        <w:rPr>
          <w:rFonts w:eastAsia="Times New Roman"/>
          <w:color w:val="auto"/>
          <w:kern w:val="0"/>
          <w:sz w:val="32"/>
          <w:szCs w:val="32"/>
          <w:u w:val="none"/>
          <w:lang w:eastAsia="en-US"/>
        </w:rPr>
        <w:t xml:space="preserve">6 </w:t>
      </w:r>
      <w:r>
        <w:rPr>
          <w:rFonts w:ascii="FangSong_GB2312" w:hAnsi="FangSong_GB2312" w:eastAsia="FangSong_GB2312" w:cs="FangSong_GB2312"/>
          <w:color w:val="auto"/>
          <w:kern w:val="0"/>
          <w:sz w:val="32"/>
          <w:szCs w:val="32"/>
          <w:u w:val="none"/>
        </w:rPr>
        <w:t>辆；单价</w:t>
      </w:r>
      <w:r>
        <w:rPr>
          <w:rFonts w:eastAsia="Times New Roman"/>
          <w:color w:val="auto"/>
          <w:kern w:val="0"/>
          <w:sz w:val="32"/>
          <w:szCs w:val="32"/>
          <w:u w:val="none"/>
          <w:lang w:eastAsia="en-US"/>
        </w:rPr>
        <w:t>100</w:t>
      </w:r>
      <w:r>
        <w:rPr>
          <w:rFonts w:ascii="FangSong_GB2312" w:hAnsi="FangSong_GB2312" w:eastAsia="FangSong_GB2312" w:cs="FangSong_GB2312"/>
          <w:color w:val="auto"/>
          <w:kern w:val="0"/>
          <w:sz w:val="32"/>
          <w:szCs w:val="32"/>
          <w:u w:val="none"/>
        </w:rPr>
        <w:t>万元（含）以上设备（不含车辆）</w:t>
      </w:r>
      <w:r>
        <w:rPr>
          <w:rFonts w:eastAsia="Times New Roman"/>
          <w:color w:val="auto"/>
          <w:kern w:val="0"/>
          <w:sz w:val="32"/>
          <w:szCs w:val="32"/>
          <w:u w:val="none"/>
          <w:lang w:eastAsia="en-US"/>
        </w:rPr>
        <w:t xml:space="preserve">7 </w:t>
      </w:r>
      <w:r>
        <w:rPr>
          <w:rFonts w:ascii="FangSong_GB2312" w:hAnsi="FangSong_GB2312" w:eastAsia="FangSong_GB2312" w:cs="FangSong_GB2312"/>
          <w:color w:val="auto"/>
          <w:kern w:val="0"/>
          <w:sz w:val="32"/>
          <w:szCs w:val="32"/>
          <w:u w:val="none"/>
        </w:rPr>
        <w:t>台（套）。</w:t>
      </w:r>
    </w:p>
    <w:p w14:paraId="49144CD4">
      <w:pPr>
        <w:pStyle w:val="28"/>
        <w:widowControl/>
        <w:spacing w:before="240" w:after="240" w:line="600" w:lineRule="atLeast"/>
        <w:ind w:firstLine="643"/>
        <w:jc w:val="left"/>
        <w:rPr>
          <w:rFonts w:ascii="Times New Roman" w:hAnsi="Times New Roman" w:eastAsia="Times New Roman" w:cs="Times New Roman"/>
          <w:color w:val="auto"/>
          <w:kern w:val="0"/>
          <w:sz w:val="24"/>
          <w:u w:val="none"/>
        </w:rPr>
      </w:pPr>
      <w:r>
        <w:rPr>
          <w:rFonts w:ascii="黑体" w:hAnsi="黑体" w:eastAsia="黑体" w:cs="黑体"/>
          <w:b/>
          <w:bCs/>
          <w:color w:val="auto"/>
          <w:kern w:val="0"/>
          <w:sz w:val="32"/>
          <w:szCs w:val="32"/>
          <w:u w:val="none"/>
        </w:rPr>
        <w:t>十四、预算绩效情况说明</w:t>
      </w:r>
    </w:p>
    <w:p w14:paraId="28EA542A">
      <w:pPr>
        <w:pStyle w:val="28"/>
        <w:widowControl/>
        <w:spacing w:before="240" w:after="240"/>
        <w:ind w:firstLine="643"/>
        <w:jc w:val="left"/>
        <w:rPr>
          <w:rFonts w:ascii="Times New Roman" w:hAnsi="Times New Roman" w:eastAsia="Times New Roman" w:cs="Times New Roman"/>
          <w:color w:val="auto"/>
          <w:kern w:val="0"/>
          <w:sz w:val="24"/>
          <w:u w:val="none"/>
        </w:rPr>
      </w:pPr>
      <w:r>
        <w:rPr>
          <w:rFonts w:ascii="楷体" w:hAnsi="楷体" w:eastAsia="楷体" w:cs="楷体"/>
          <w:b/>
          <w:bCs/>
          <w:color w:val="auto"/>
          <w:kern w:val="0"/>
          <w:sz w:val="32"/>
          <w:szCs w:val="32"/>
          <w:u w:val="none"/>
        </w:rPr>
        <w:t>（一）预算绩效管理工作开展情况。</w:t>
      </w:r>
    </w:p>
    <w:p w14:paraId="0EC1EFFD">
      <w:pPr>
        <w:pStyle w:val="28"/>
        <w:widowControl/>
        <w:spacing w:before="240" w:after="240" w:line="560" w:lineRule="atLeast"/>
        <w:ind w:firstLine="640"/>
        <w:jc w:val="left"/>
        <w:rPr>
          <w:rFonts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内蒙古自治区特种设备检验研究院包头分院根据预算绩效管理要求组织对2025年一般公共预算项目支出全面开展绩效自评，其中一级项目0 个，二级项目3个，共涉及项目3个，资金 1727.67万元，占一般公共预算项目支出总额的100%；政府性基金预算项目0 个，其中，一级项目0 个，二级项目0 个，共涉及资金0.00 万元，占应纳入绩效自评的政府性基金预算项目支出总额的100%。</w:t>
      </w:r>
    </w:p>
    <w:p w14:paraId="48B2AAE0">
      <w:pPr>
        <w:widowControl/>
        <w:spacing w:before="240" w:after="240"/>
        <w:ind w:firstLine="640" w:firstLineChars="200"/>
        <w:rPr>
          <w:rFonts w:ascii="FangSong_GB2312" w:hAnsi="FangSong_GB2312" w:eastAsia="FangSong_GB2312" w:cs="FangSong_GB2312"/>
          <w:color w:val="auto"/>
          <w:kern w:val="0"/>
          <w:sz w:val="32"/>
          <w:szCs w:val="32"/>
          <w:u w:val="none"/>
          <w:lang w:val="en-US" w:eastAsia="zh-CN" w:bidi="ar-SA"/>
        </w:rPr>
      </w:pPr>
      <w:r>
        <w:rPr>
          <w:rFonts w:hint="eastAsia" w:ascii="FangSong_GB2312" w:hAnsi="FangSong_GB2312" w:eastAsia="FangSong_GB2312" w:cs="FangSong_GB2312"/>
          <w:color w:val="auto"/>
          <w:kern w:val="0"/>
          <w:sz w:val="32"/>
          <w:szCs w:val="32"/>
          <w:u w:val="none"/>
          <w:lang w:val="en-US" w:eastAsia="zh-CN" w:bidi="ar-SA"/>
        </w:rPr>
        <w:t>我院作为内蒙古自治区特种设备检验研究院分支机构，由总院进行部门评价，评价内容及结果等情况详见内蒙古自治区特种设备检验研究院决算公开。</w:t>
      </w:r>
    </w:p>
    <w:p w14:paraId="1C8F6E9B">
      <w:pPr>
        <w:pStyle w:val="28"/>
        <w:widowControl/>
        <w:spacing w:before="240" w:after="240"/>
        <w:ind w:firstLine="643"/>
        <w:jc w:val="left"/>
        <w:rPr>
          <w:rFonts w:ascii="Times New Roman" w:hAnsi="Times New Roman" w:eastAsia="Times New Roman" w:cs="Times New Roman"/>
          <w:color w:val="auto"/>
          <w:kern w:val="0"/>
          <w:sz w:val="24"/>
          <w:u w:val="none"/>
        </w:rPr>
      </w:pPr>
      <w:r>
        <w:rPr>
          <w:rFonts w:ascii="楷体" w:hAnsi="楷体" w:eastAsia="楷体" w:cs="楷体"/>
          <w:b/>
          <w:bCs/>
          <w:color w:val="auto"/>
          <w:kern w:val="0"/>
          <w:sz w:val="32"/>
          <w:szCs w:val="32"/>
          <w:u w:val="none"/>
        </w:rPr>
        <w:t>（二）单位决算中项目绩效自评结果。</w:t>
      </w:r>
    </w:p>
    <w:p w14:paraId="413718AD">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内蒙古自治区特种设备检验研究院包头分院</w:t>
      </w:r>
      <w:r>
        <w:rPr>
          <w:rFonts w:eastAsia="Times New Roman"/>
          <w:color w:val="auto"/>
          <w:kern w:val="0"/>
          <w:sz w:val="32"/>
          <w:szCs w:val="32"/>
          <w:u w:val="none"/>
          <w:lang w:eastAsia="en-US"/>
        </w:rPr>
        <w:t>2025</w:t>
      </w:r>
      <w:r>
        <w:rPr>
          <w:rFonts w:ascii="FangSong_GB2312" w:hAnsi="FangSong_GB2312" w:eastAsia="FangSong_GB2312" w:cs="FangSong_GB2312"/>
          <w:color w:val="auto"/>
          <w:kern w:val="0"/>
          <w:sz w:val="32"/>
          <w:szCs w:val="32"/>
          <w:u w:val="none"/>
        </w:rPr>
        <w:t>年度在决算中反映</w:t>
      </w:r>
      <w:r>
        <w:rPr>
          <w:rFonts w:hint="eastAsia"/>
          <w:color w:val="auto"/>
          <w:kern w:val="0"/>
          <w:sz w:val="32"/>
          <w:szCs w:val="32"/>
          <w:u w:val="none"/>
          <w:lang w:val="en-US" w:eastAsia="zh-CN"/>
        </w:rPr>
        <w:t>3</w:t>
      </w:r>
      <w:r>
        <w:rPr>
          <w:rFonts w:ascii="FangSong_GB2312" w:hAnsi="FangSong_GB2312" w:eastAsia="FangSong_GB2312" w:cs="FangSong_GB2312"/>
          <w:color w:val="auto"/>
          <w:kern w:val="0"/>
          <w:sz w:val="32"/>
          <w:szCs w:val="32"/>
          <w:u w:val="none"/>
        </w:rPr>
        <w:t>个一般公共预算项目，以及</w:t>
      </w:r>
      <w:r>
        <w:rPr>
          <w:rFonts w:hint="eastAsia"/>
          <w:color w:val="auto"/>
          <w:kern w:val="0"/>
          <w:sz w:val="32"/>
          <w:szCs w:val="32"/>
          <w:u w:val="none"/>
          <w:lang w:val="en-US" w:eastAsia="zh-CN"/>
        </w:rPr>
        <w:t>1</w:t>
      </w:r>
      <w:r>
        <w:rPr>
          <w:rFonts w:ascii="FangSong_GB2312" w:hAnsi="FangSong_GB2312" w:eastAsia="FangSong_GB2312" w:cs="FangSong_GB2312"/>
          <w:color w:val="auto"/>
          <w:kern w:val="0"/>
          <w:sz w:val="32"/>
          <w:szCs w:val="32"/>
          <w:u w:val="none"/>
        </w:rPr>
        <w:t>个</w:t>
      </w:r>
      <w:r>
        <w:rPr>
          <w:rFonts w:hint="eastAsia" w:ascii="FangSong_GB2312" w:hAnsi="FangSong_GB2312" w:eastAsia="FangSong_GB2312" w:cs="FangSong_GB2312"/>
          <w:color w:val="auto"/>
          <w:kern w:val="0"/>
          <w:sz w:val="32"/>
          <w:szCs w:val="32"/>
          <w:u w:val="none"/>
          <w:lang w:val="en-US" w:eastAsia="zh-CN"/>
        </w:rPr>
        <w:t>事业单位经营支出</w:t>
      </w:r>
      <w:r>
        <w:rPr>
          <w:rFonts w:ascii="FangSong_GB2312" w:hAnsi="FangSong_GB2312" w:eastAsia="FangSong_GB2312" w:cs="FangSong_GB2312"/>
          <w:color w:val="auto"/>
          <w:kern w:val="0"/>
          <w:sz w:val="32"/>
          <w:szCs w:val="32"/>
          <w:u w:val="none"/>
        </w:rPr>
        <w:t>项目，</w:t>
      </w:r>
      <w:r>
        <w:rPr>
          <w:rFonts w:hint="eastAsia" w:ascii="FangSong_GB2312" w:hAnsi="FangSong_GB2312" w:eastAsia="FangSong_GB2312" w:cs="FangSong_GB2312"/>
          <w:color w:val="auto"/>
          <w:kern w:val="0"/>
          <w:sz w:val="32"/>
          <w:szCs w:val="32"/>
          <w:u w:val="none"/>
        </w:rPr>
        <w:t>以及0 个政府性基金项目，</w:t>
      </w:r>
      <w:r>
        <w:rPr>
          <w:rFonts w:ascii="FangSong_GB2312" w:hAnsi="FangSong_GB2312" w:eastAsia="FangSong_GB2312" w:cs="FangSong_GB2312"/>
          <w:color w:val="auto"/>
          <w:kern w:val="0"/>
          <w:sz w:val="32"/>
          <w:szCs w:val="32"/>
          <w:u w:val="none"/>
        </w:rPr>
        <w:t>共</w:t>
      </w:r>
      <w:r>
        <w:rPr>
          <w:rFonts w:hint="eastAsia"/>
          <w:color w:val="auto"/>
          <w:kern w:val="0"/>
          <w:sz w:val="32"/>
          <w:szCs w:val="32"/>
          <w:u w:val="none"/>
          <w:lang w:val="en-US" w:eastAsia="zh-CN"/>
        </w:rPr>
        <w:t>4</w:t>
      </w:r>
      <w:r>
        <w:rPr>
          <w:rFonts w:ascii="FangSong_GB2312" w:hAnsi="FangSong_GB2312" w:eastAsia="FangSong_GB2312" w:cs="FangSong_GB2312"/>
          <w:color w:val="auto"/>
          <w:kern w:val="0"/>
          <w:sz w:val="32"/>
          <w:szCs w:val="32"/>
          <w:u w:val="none"/>
        </w:rPr>
        <w:t>个项目的绩效自评结果。</w:t>
      </w:r>
    </w:p>
    <w:p w14:paraId="3777F514">
      <w:pPr>
        <w:widowControl/>
        <w:spacing w:before="240" w:after="240"/>
        <w:ind w:firstLine="640" w:firstLineChars="200"/>
        <w:rPr>
          <w:rFonts w:hint="eastAsia" w:ascii="FangSong_GB2312" w:hAnsi="FangSong_GB2312" w:eastAsia="FangSong_GB2312" w:cs="FangSong_GB2312"/>
          <w:color w:val="auto"/>
          <w:kern w:val="0"/>
          <w:sz w:val="32"/>
          <w:szCs w:val="32"/>
          <w:u w:val="none"/>
          <w:lang w:val="en-US" w:eastAsia="zh-CN" w:bidi="ar-SA"/>
        </w:rPr>
      </w:pPr>
      <w:r>
        <w:rPr>
          <w:rFonts w:ascii="FangSong_GB2312" w:hAnsi="FangSong_GB2312" w:eastAsia="FangSong_GB2312" w:cs="FangSong_GB2312"/>
          <w:color w:val="auto"/>
          <w:kern w:val="0"/>
          <w:sz w:val="32"/>
          <w:szCs w:val="32"/>
          <w:u w:val="none"/>
          <w:lang w:eastAsia="en-US"/>
        </w:rPr>
        <w:t>1.</w:t>
      </w:r>
      <w:r>
        <w:rPr>
          <w:rFonts w:ascii="仿宋_GB2312" w:hAnsi="仿宋_GB2312" w:eastAsia="仿宋_GB2312" w:cs="仿宋_GB2312"/>
          <w:color w:val="auto"/>
          <w:kern w:val="0"/>
          <w:sz w:val="27"/>
          <w:szCs w:val="27"/>
          <w:u w:val="none"/>
        </w:rPr>
        <w:t>  </w:t>
      </w:r>
      <w:r>
        <w:rPr>
          <w:rFonts w:hint="eastAsia" w:ascii="FangSong_GB2312" w:hAnsi="FangSong_GB2312" w:eastAsia="FangSong_GB2312" w:cs="FangSong_GB2312"/>
          <w:color w:val="auto"/>
          <w:kern w:val="0"/>
          <w:sz w:val="32"/>
          <w:szCs w:val="32"/>
          <w:u w:val="none"/>
          <w:lang w:val="en-US" w:eastAsia="zh-CN" w:bidi="ar-SA"/>
        </w:rPr>
        <w:t>特种设备安全监管经费</w:t>
      </w:r>
      <w:r>
        <w:rPr>
          <w:rFonts w:ascii="FangSong_GB2312" w:hAnsi="FangSong_GB2312" w:eastAsia="FangSong_GB2312" w:cs="FangSong_GB2312"/>
          <w:color w:val="auto"/>
          <w:kern w:val="0"/>
          <w:sz w:val="32"/>
          <w:szCs w:val="32"/>
          <w:u w:val="none"/>
          <w:lang w:val="en-US" w:eastAsia="zh-CN" w:bidi="ar-SA"/>
        </w:rPr>
        <w:t>项目自评综述：根据年初设定的绩效目标，项目自评得分</w:t>
      </w:r>
      <w:r>
        <w:rPr>
          <w:rFonts w:hint="eastAsia" w:ascii="FangSong_GB2312" w:hAnsi="FangSong_GB2312" w:eastAsia="FangSong_GB2312" w:cs="FangSong_GB2312"/>
          <w:color w:val="auto"/>
          <w:kern w:val="0"/>
          <w:sz w:val="32"/>
          <w:szCs w:val="32"/>
          <w:u w:val="none"/>
          <w:lang w:val="en-US" w:eastAsia="zh-CN" w:bidi="ar-SA"/>
        </w:rPr>
        <w:t>96.07</w:t>
      </w:r>
      <w:r>
        <w:rPr>
          <w:rFonts w:ascii="FangSong_GB2312" w:hAnsi="FangSong_GB2312" w:eastAsia="FangSong_GB2312" w:cs="FangSong_GB2312"/>
          <w:color w:val="auto"/>
          <w:kern w:val="0"/>
          <w:sz w:val="32"/>
          <w:szCs w:val="32"/>
          <w:u w:val="none"/>
          <w:lang w:val="en-US" w:eastAsia="zh-CN" w:bidi="ar-SA"/>
        </w:rPr>
        <w:t>分。全年预算数为</w:t>
      </w:r>
      <w:r>
        <w:rPr>
          <w:rFonts w:hint="eastAsia" w:ascii="FangSong_GB2312" w:hAnsi="FangSong_GB2312" w:eastAsia="FangSong_GB2312" w:cs="FangSong_GB2312"/>
          <w:color w:val="auto"/>
          <w:kern w:val="0"/>
          <w:sz w:val="32"/>
          <w:szCs w:val="32"/>
          <w:u w:val="none"/>
          <w:lang w:val="en-US" w:eastAsia="zh-CN" w:bidi="ar-SA"/>
        </w:rPr>
        <w:t>1409</w:t>
      </w:r>
      <w:r>
        <w:rPr>
          <w:rFonts w:ascii="FangSong_GB2312" w:hAnsi="FangSong_GB2312" w:eastAsia="FangSong_GB2312" w:cs="FangSong_GB2312"/>
          <w:color w:val="auto"/>
          <w:kern w:val="0"/>
          <w:sz w:val="32"/>
          <w:szCs w:val="32"/>
          <w:u w:val="none"/>
          <w:lang w:val="en-US" w:eastAsia="zh-CN" w:bidi="ar-SA"/>
        </w:rPr>
        <w:t>万元，执行数为</w:t>
      </w:r>
      <w:r>
        <w:rPr>
          <w:rFonts w:hint="eastAsia" w:ascii="FangSong_GB2312" w:hAnsi="FangSong_GB2312" w:eastAsia="FangSong_GB2312" w:cs="FangSong_GB2312"/>
          <w:color w:val="auto"/>
          <w:kern w:val="0"/>
          <w:sz w:val="32"/>
          <w:szCs w:val="32"/>
          <w:u w:val="none"/>
          <w:lang w:val="en-US" w:eastAsia="zh-CN" w:bidi="ar-SA"/>
        </w:rPr>
        <w:t>1407.26</w:t>
      </w:r>
      <w:r>
        <w:rPr>
          <w:rFonts w:ascii="FangSong_GB2312" w:hAnsi="FangSong_GB2312" w:eastAsia="FangSong_GB2312" w:cs="FangSong_GB2312"/>
          <w:color w:val="auto"/>
          <w:kern w:val="0"/>
          <w:sz w:val="32"/>
          <w:szCs w:val="32"/>
          <w:u w:val="none"/>
          <w:lang w:val="en-US" w:eastAsia="zh-CN" w:bidi="ar-SA"/>
        </w:rPr>
        <w:t>万元，完成预算的</w:t>
      </w:r>
      <w:r>
        <w:rPr>
          <w:rFonts w:hint="eastAsia" w:ascii="FangSong_GB2312" w:hAnsi="FangSong_GB2312" w:eastAsia="FangSong_GB2312" w:cs="FangSong_GB2312"/>
          <w:color w:val="auto"/>
          <w:kern w:val="0"/>
          <w:sz w:val="32"/>
          <w:szCs w:val="32"/>
          <w:u w:val="none"/>
          <w:lang w:val="en-US" w:eastAsia="zh-CN" w:bidi="ar-SA"/>
        </w:rPr>
        <w:t>99.88</w:t>
      </w:r>
      <w:r>
        <w:rPr>
          <w:rFonts w:ascii="FangSong_GB2312" w:hAnsi="FangSong_GB2312" w:eastAsia="FangSong_GB2312" w:cs="FangSong_GB2312"/>
          <w:color w:val="auto"/>
          <w:kern w:val="0"/>
          <w:sz w:val="32"/>
          <w:szCs w:val="32"/>
          <w:u w:val="none"/>
          <w:lang w:val="en-US" w:eastAsia="zh-CN" w:bidi="ar-SA"/>
        </w:rPr>
        <w:t>%。</w:t>
      </w:r>
      <w:r>
        <w:rPr>
          <w:rFonts w:hint="eastAsia" w:ascii="FangSong_GB2312" w:hAnsi="FangSong_GB2312" w:eastAsia="FangSong_GB2312" w:cs="FangSong_GB2312"/>
          <w:color w:val="auto"/>
          <w:kern w:val="0"/>
          <w:sz w:val="32"/>
          <w:szCs w:val="32"/>
          <w:u w:val="none"/>
          <w:lang w:val="en-US" w:eastAsia="zh-CN" w:bidi="ar-SA"/>
        </w:rPr>
        <w:t>绩效目标完成情况：完成机电类特种设备法定检验数量10028(台套），完成承压类特种设备法定检验数量10401（台套），完成压力管道法定检验数量638千米，新增特种设备检验专用仪器设备数量122（台套），设备验收合格率100%，政府采购执行率100%，特种设备检验技术指标验收复核合格率大于等于95%，检验检测报告差错率小于等于5%，特种设备检验人员考试通过率大于等于77%，提出检验申请后检验受理时间小于等于2个工作日，形成检验结论后检验报告出具时间小于等于45个工作日，特种设备检验专用仪器维护成本100万，特种设备检验检测成本1270.76万元，专业人员业务技能培训成本333元/人·天，完成年非税收入金额4057.98万元，被检验单位满意度大于等于95%。</w:t>
      </w:r>
    </w:p>
    <w:p w14:paraId="2022F387">
      <w:pPr>
        <w:widowControl/>
        <w:spacing w:before="240" w:after="240"/>
        <w:ind w:firstLine="640" w:firstLineChars="200"/>
        <w:rPr>
          <w:rFonts w:hint="eastAsia" w:ascii="FangSong_GB2312" w:hAnsi="FangSong_GB2312" w:eastAsia="FangSong_GB2312" w:cs="FangSong_GB2312"/>
          <w:color w:val="auto"/>
          <w:kern w:val="0"/>
          <w:sz w:val="32"/>
          <w:szCs w:val="32"/>
          <w:u w:val="none"/>
          <w:lang w:val="en-US" w:eastAsia="zh-CN" w:bidi="ar-SA"/>
        </w:rPr>
      </w:pPr>
      <w:r>
        <w:rPr>
          <w:rFonts w:hint="eastAsia" w:ascii="FangSong_GB2312" w:hAnsi="FangSong_GB2312" w:eastAsia="FangSong_GB2312" w:cs="FangSong_GB2312"/>
          <w:color w:val="auto"/>
          <w:kern w:val="0"/>
          <w:sz w:val="32"/>
          <w:szCs w:val="32"/>
          <w:u w:val="none"/>
          <w:lang w:val="en-US" w:eastAsia="zh-CN" w:bidi="ar-SA"/>
        </w:rPr>
        <w:t>发现的主要问题及原因：1、完成各类特种设备法定检验数量增加原因是各类部分使用单位特种设备临近检验周期原因增加检验任务导致任务量增加。2、特种设备检验专用仪器设备数量实际完成值大于年度指标值的原因是检验任务量增加导致对检验专用仪器设备需求数量增加。3、特种设备检验人员考试通过率实际完成值小于年度指标值原因是近年考试难度加大，通过率降低。4、特种设备检验专用仪器维护成本实际完成值大于年度指标值原因是单位房屋及设备老旧，维护成本增加。</w:t>
      </w:r>
    </w:p>
    <w:p w14:paraId="7DED7BCF">
      <w:pPr>
        <w:widowControl/>
        <w:spacing w:before="240" w:after="240"/>
        <w:ind w:firstLine="640" w:firstLineChars="200"/>
        <w:rPr>
          <w:rFonts w:ascii="FangSong_GB2312" w:hAnsi="FangSong_GB2312" w:eastAsia="FangSong_GB2312" w:cs="FangSong_GB2312"/>
          <w:color w:val="auto"/>
          <w:kern w:val="0"/>
          <w:sz w:val="32"/>
          <w:szCs w:val="32"/>
          <w:u w:val="none"/>
          <w:lang w:val="en-US" w:eastAsia="zh-CN" w:bidi="ar-SA"/>
        </w:rPr>
      </w:pPr>
      <w:r>
        <w:rPr>
          <w:rFonts w:hint="eastAsia" w:ascii="FangSong_GB2312" w:hAnsi="FangSong_GB2312" w:eastAsia="FangSong_GB2312" w:cs="FangSong_GB2312"/>
          <w:color w:val="auto"/>
          <w:kern w:val="0"/>
          <w:sz w:val="32"/>
          <w:szCs w:val="32"/>
          <w:u w:val="none"/>
          <w:lang w:val="en-US" w:eastAsia="zh-CN" w:bidi="ar-SA"/>
        </w:rPr>
        <w:t>下一步改进措施：根据2025年度偏离绩效目标的原因，强化单位职工的专项学习，以考促学，以练巩固，提高考试通过率；提高预防性维护，降低故障发生率，减少维护成本，总结经验将业务数据和财务工作深度结合。</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7"/>
        <w:gridCol w:w="558"/>
        <w:gridCol w:w="576"/>
        <w:gridCol w:w="576"/>
        <w:gridCol w:w="541"/>
        <w:gridCol w:w="563"/>
        <w:gridCol w:w="756"/>
        <w:gridCol w:w="846"/>
        <w:gridCol w:w="757"/>
        <w:gridCol w:w="752"/>
        <w:gridCol w:w="754"/>
        <w:gridCol w:w="756"/>
      </w:tblGrid>
      <w:tr w14:paraId="4D556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38D002F">
            <w:pPr>
              <w:keepNext w:val="0"/>
              <w:keepLines w:val="0"/>
              <w:widowControl/>
              <w:suppressLineNumbers w:val="0"/>
              <w:jc w:val="center"/>
              <w:textAlignment w:val="center"/>
              <w:rPr>
                <w:rFonts w:hint="eastAsia" w:ascii="宋体" w:hAnsi="宋体" w:eastAsia="宋体" w:cs="宋体"/>
                <w:b/>
                <w:bCs/>
                <w:i w:val="0"/>
                <w:iCs w:val="0"/>
                <w:color w:val="auto"/>
                <w:sz w:val="40"/>
                <w:szCs w:val="40"/>
                <w:u w:val="none"/>
              </w:rPr>
            </w:pPr>
            <w:r>
              <w:rPr>
                <w:rFonts w:hint="eastAsia" w:ascii="宋体" w:hAnsi="宋体" w:eastAsia="宋体" w:cs="宋体"/>
                <w:b/>
                <w:bCs/>
                <w:i w:val="0"/>
                <w:iCs w:val="0"/>
                <w:color w:val="auto"/>
                <w:kern w:val="0"/>
                <w:sz w:val="40"/>
                <w:szCs w:val="40"/>
                <w:u w:val="none"/>
                <w:lang w:val="en-US" w:eastAsia="zh-CN" w:bidi="ar"/>
              </w:rPr>
              <w:t>项目支出绩效自评表</w:t>
            </w:r>
            <w:r>
              <w:rPr>
                <w:rFonts w:hint="eastAsia" w:ascii="宋体" w:hAnsi="宋体" w:eastAsia="宋体" w:cs="宋体"/>
                <w:b/>
                <w:bCs/>
                <w:i w:val="0"/>
                <w:iCs w:val="0"/>
                <w:color w:val="auto"/>
                <w:kern w:val="0"/>
                <w:sz w:val="40"/>
                <w:szCs w:val="40"/>
                <w:u w:val="none"/>
                <w:lang w:val="en-US" w:eastAsia="zh-CN" w:bidi="ar"/>
              </w:rPr>
              <w:br w:type="textWrapping"/>
            </w:r>
            <w:r>
              <w:rPr>
                <w:rFonts w:hint="eastAsia" w:ascii="宋体" w:hAnsi="宋体" w:eastAsia="宋体" w:cs="宋体"/>
                <w:b/>
                <w:bCs/>
                <w:i w:val="0"/>
                <w:iCs w:val="0"/>
                <w:color w:val="auto"/>
                <w:kern w:val="0"/>
                <w:sz w:val="40"/>
                <w:szCs w:val="40"/>
                <w:u w:val="none"/>
                <w:lang w:val="en-US" w:eastAsia="zh-CN" w:bidi="ar"/>
              </w:rPr>
              <w:t>(2025年度）</w:t>
            </w:r>
          </w:p>
        </w:tc>
      </w:tr>
      <w:tr w14:paraId="608F6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9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59396">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项目名称</w:t>
            </w:r>
          </w:p>
        </w:tc>
        <w:tc>
          <w:tcPr>
            <w:tcW w:w="400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8951E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特种设备安全监管经费</w:t>
            </w:r>
          </w:p>
        </w:tc>
      </w:tr>
      <w:tr w14:paraId="54467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9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1DEAE">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主管部门</w:t>
            </w:r>
          </w:p>
        </w:tc>
        <w:tc>
          <w:tcPr>
            <w:tcW w:w="128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2ACF0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内蒙古自治区市场监督管理局部门</w:t>
            </w:r>
          </w:p>
        </w:tc>
        <w:tc>
          <w:tcPr>
            <w:tcW w:w="9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04385">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实施单位</w:t>
            </w:r>
          </w:p>
        </w:tc>
        <w:tc>
          <w:tcPr>
            <w:tcW w:w="181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93F18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内蒙古自治区特种设备检验研究院包头分院</w:t>
            </w:r>
          </w:p>
        </w:tc>
      </w:tr>
      <w:tr w14:paraId="2BD2F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99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174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项目资金</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（万元）</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30283">
            <w:pP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510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年初预算数</w:t>
            </w:r>
          </w:p>
        </w:tc>
        <w:tc>
          <w:tcPr>
            <w:tcW w:w="6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45D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全年预算数</w:t>
            </w:r>
          </w:p>
        </w:tc>
        <w:tc>
          <w:tcPr>
            <w:tcW w:w="9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DA3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全年执行数</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0DA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分值</w:t>
            </w:r>
          </w:p>
        </w:tc>
        <w:tc>
          <w:tcPr>
            <w:tcW w:w="9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268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执行率（%）</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115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得分</w:t>
            </w:r>
          </w:p>
        </w:tc>
      </w:tr>
      <w:tr w14:paraId="1A384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4AE86">
            <w:pPr>
              <w:jc w:val="center"/>
              <w:rPr>
                <w:rFonts w:hint="eastAsia" w:ascii="宋体" w:hAnsi="宋体" w:eastAsia="宋体" w:cs="宋体"/>
                <w:i w:val="0"/>
                <w:iCs w:val="0"/>
                <w:color w:val="auto"/>
                <w:sz w:val="18"/>
                <w:szCs w:val="18"/>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A3FC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年度资金总额</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5A11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1989</w:t>
            </w:r>
          </w:p>
        </w:tc>
        <w:tc>
          <w:tcPr>
            <w:tcW w:w="6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484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1989</w:t>
            </w:r>
          </w:p>
        </w:tc>
        <w:tc>
          <w:tcPr>
            <w:tcW w:w="9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498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1918.19</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5F3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9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E5A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96.44</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D08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9.64</w:t>
            </w:r>
          </w:p>
        </w:tc>
      </w:tr>
      <w:tr w14:paraId="4D567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1D450">
            <w:pPr>
              <w:jc w:val="center"/>
              <w:rPr>
                <w:rFonts w:hint="eastAsia" w:ascii="宋体" w:hAnsi="宋体" w:eastAsia="宋体" w:cs="宋体"/>
                <w:i w:val="0"/>
                <w:iCs w:val="0"/>
                <w:color w:val="auto"/>
                <w:sz w:val="18"/>
                <w:szCs w:val="18"/>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B6B3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其中：财政拨款</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F8B9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1409</w:t>
            </w:r>
          </w:p>
        </w:tc>
        <w:tc>
          <w:tcPr>
            <w:tcW w:w="6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895E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1409</w:t>
            </w:r>
          </w:p>
        </w:tc>
        <w:tc>
          <w:tcPr>
            <w:tcW w:w="9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AEF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1407.26</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412A">
            <w:pPr>
              <w:keepNext w:val="0"/>
              <w:keepLines w:val="0"/>
              <w:widowControl/>
              <w:suppressLineNumbers w:val="0"/>
              <w:jc w:val="center"/>
              <w:textAlignment w:val="center"/>
              <w:rPr>
                <w:rFonts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9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B0C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99.88</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EBC7">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737D7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728CB">
            <w:pPr>
              <w:jc w:val="center"/>
              <w:rPr>
                <w:rFonts w:hint="eastAsia" w:ascii="宋体" w:hAnsi="宋体" w:eastAsia="宋体" w:cs="宋体"/>
                <w:i w:val="0"/>
                <w:iCs w:val="0"/>
                <w:color w:val="auto"/>
                <w:sz w:val="18"/>
                <w:szCs w:val="18"/>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AEF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上年结转资金</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D5A2">
            <w:pPr>
              <w:rPr>
                <w:rFonts w:hint="eastAsia" w:ascii="宋体" w:hAnsi="宋体" w:eastAsia="宋体" w:cs="宋体"/>
                <w:i w:val="0"/>
                <w:iCs w:val="0"/>
                <w:color w:val="auto"/>
                <w:sz w:val="18"/>
                <w:szCs w:val="18"/>
                <w:u w:val="none"/>
              </w:rPr>
            </w:pPr>
          </w:p>
        </w:tc>
        <w:tc>
          <w:tcPr>
            <w:tcW w:w="6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6922D">
            <w:pPr>
              <w:jc w:val="center"/>
              <w:rPr>
                <w:rFonts w:hint="eastAsia" w:ascii="宋体" w:hAnsi="宋体" w:eastAsia="宋体" w:cs="宋体"/>
                <w:i w:val="0"/>
                <w:iCs w:val="0"/>
                <w:color w:val="auto"/>
                <w:sz w:val="18"/>
                <w:szCs w:val="18"/>
                <w:u w:val="none"/>
              </w:rPr>
            </w:pPr>
          </w:p>
        </w:tc>
        <w:tc>
          <w:tcPr>
            <w:tcW w:w="9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DEB7B">
            <w:pPr>
              <w:jc w:val="center"/>
              <w:rPr>
                <w:rFonts w:hint="eastAsia" w:ascii="宋体" w:hAnsi="宋体" w:eastAsia="宋体" w:cs="宋体"/>
                <w:i w:val="0"/>
                <w:iCs w:val="0"/>
                <w:color w:val="auto"/>
                <w:sz w:val="18"/>
                <w:szCs w:val="18"/>
                <w:u w:val="none"/>
              </w:rPr>
            </w:pP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A7FA4">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9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AB536C">
            <w:pPr>
              <w:jc w:val="center"/>
              <w:rPr>
                <w:rFonts w:hint="eastAsia" w:ascii="宋体" w:hAnsi="宋体" w:eastAsia="宋体" w:cs="宋体"/>
                <w:i w:val="0"/>
                <w:iCs w:val="0"/>
                <w:color w:val="auto"/>
                <w:sz w:val="18"/>
                <w:szCs w:val="18"/>
                <w:u w:val="none"/>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7FAA">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38546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6D9ED">
            <w:pPr>
              <w:jc w:val="center"/>
              <w:rPr>
                <w:rFonts w:hint="eastAsia" w:ascii="宋体" w:hAnsi="宋体" w:eastAsia="宋体" w:cs="宋体"/>
                <w:i w:val="0"/>
                <w:iCs w:val="0"/>
                <w:color w:val="auto"/>
                <w:sz w:val="18"/>
                <w:szCs w:val="18"/>
                <w:u w:val="none"/>
              </w:rPr>
            </w:pP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4B4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其他资金</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9FF3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580</w:t>
            </w:r>
          </w:p>
        </w:tc>
        <w:tc>
          <w:tcPr>
            <w:tcW w:w="6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CBF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580</w:t>
            </w:r>
          </w:p>
        </w:tc>
        <w:tc>
          <w:tcPr>
            <w:tcW w:w="9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713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510.93</w:t>
            </w:r>
          </w:p>
        </w:tc>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E2820">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9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C07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88.09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515E">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0D80F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9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5B1BB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年度总体目标</w:t>
            </w:r>
          </w:p>
        </w:tc>
        <w:tc>
          <w:tcPr>
            <w:tcW w:w="17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11DE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预期目标</w:t>
            </w:r>
          </w:p>
        </w:tc>
        <w:tc>
          <w:tcPr>
            <w:tcW w:w="22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5BD8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实际完成情况</w:t>
            </w:r>
          </w:p>
        </w:tc>
      </w:tr>
      <w:tr w14:paraId="79EF9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99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970C8">
            <w:pPr>
              <w:jc w:val="center"/>
              <w:rPr>
                <w:rFonts w:hint="eastAsia" w:ascii="宋体" w:hAnsi="宋体" w:eastAsia="宋体" w:cs="宋体"/>
                <w:i w:val="0"/>
                <w:iCs w:val="0"/>
                <w:color w:val="auto"/>
                <w:sz w:val="18"/>
                <w:szCs w:val="18"/>
                <w:u w:val="none"/>
              </w:rPr>
            </w:pPr>
          </w:p>
        </w:tc>
        <w:tc>
          <w:tcPr>
            <w:tcW w:w="17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ABCA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目标1：根据《中华人民共和国特种设备安全法》及相关技术规范，对自治区机电类、承压类等特种设备开展法定检验并出具检验检测报告(证书），开展行政许可现场评审，制（修）定特种设备线管标准，提高企业安全意识，落实企业主体责任。     目标2：加强特种设备能力建设，开展特种设备作业人员，配置新增特种设备检验专用仪器设备，提高检验人员水及特种设备检验能力。</w:t>
            </w:r>
          </w:p>
        </w:tc>
        <w:tc>
          <w:tcPr>
            <w:tcW w:w="227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379A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2025年开展特种设备检验检测，出具了机电类、承压类等特种设备开展法定检验并出具检验检测报告(证书）；提高了企业安全意识，落实了企业主体责任。开展特种设备检验检测，新增了特种设备检验专用仪器设备，指标完成情况良好，有效的提高检验人员水及特种设备检验能力。</w:t>
            </w:r>
          </w:p>
        </w:tc>
      </w:tr>
      <w:tr w14:paraId="7097D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D44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绩效指标</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296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一级指标</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4C9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二级指标</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FDF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三级指标</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D54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指标性质</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88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指标方向</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57C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年度指标值</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5117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实际完成值</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32F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计量单位</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9ED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分值</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6A6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得分</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1F92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偏差原因分析及改进措施</w:t>
            </w:r>
          </w:p>
        </w:tc>
      </w:tr>
      <w:tr w14:paraId="309A1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650" w:type="pct"/>
            <w:vMerge w:val="restart"/>
            <w:tcBorders>
              <w:top w:val="single" w:color="000000" w:sz="4" w:space="0"/>
              <w:left w:val="single" w:color="000000" w:sz="4" w:space="0"/>
              <w:bottom w:val="nil"/>
              <w:right w:val="single" w:color="000000" w:sz="4" w:space="0"/>
            </w:tcBorders>
            <w:shd w:val="clear" w:color="auto" w:fill="auto"/>
            <w:vAlign w:val="center"/>
          </w:tcPr>
          <w:p w14:paraId="59ED46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绩效指标</w:t>
            </w:r>
          </w:p>
        </w:tc>
        <w:tc>
          <w:tcPr>
            <w:tcW w:w="340" w:type="pct"/>
            <w:vMerge w:val="restart"/>
            <w:tcBorders>
              <w:top w:val="single" w:color="000000" w:sz="4" w:space="0"/>
              <w:left w:val="single" w:color="000000" w:sz="4" w:space="0"/>
              <w:bottom w:val="nil"/>
              <w:right w:val="single" w:color="000000" w:sz="4" w:space="0"/>
            </w:tcBorders>
            <w:shd w:val="clear" w:color="auto" w:fill="auto"/>
            <w:vAlign w:val="center"/>
          </w:tcPr>
          <w:p w14:paraId="07D3E9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产出指标</w:t>
            </w:r>
          </w:p>
        </w:tc>
        <w:tc>
          <w:tcPr>
            <w:tcW w:w="262" w:type="pct"/>
            <w:vMerge w:val="restart"/>
            <w:tcBorders>
              <w:top w:val="single" w:color="000000" w:sz="4" w:space="0"/>
              <w:left w:val="single" w:color="000000" w:sz="4" w:space="0"/>
              <w:bottom w:val="nil"/>
              <w:right w:val="single" w:color="000000" w:sz="4" w:space="0"/>
            </w:tcBorders>
            <w:shd w:val="clear" w:color="auto" w:fill="auto"/>
            <w:vAlign w:val="center"/>
          </w:tcPr>
          <w:p w14:paraId="16DC92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数量指标</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635C3E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完成机电类特种设备法定检验数量</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5FC855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4A91949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05811A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9079</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0BF085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10028</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37AE04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台套</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6785EB9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0371FC7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0295EA3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因部分机电类特种设备临近检验周期原因增加检验任务导致任务量增加</w:t>
            </w:r>
          </w:p>
        </w:tc>
      </w:tr>
      <w:tr w14:paraId="5140A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5618CCA1">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5481647B">
            <w:pPr>
              <w:jc w:val="center"/>
              <w:rPr>
                <w:rFonts w:hint="eastAsia" w:ascii="宋体" w:hAnsi="宋体" w:eastAsia="宋体" w:cs="宋体"/>
                <w:i w:val="0"/>
                <w:iCs w:val="0"/>
                <w:color w:val="auto"/>
                <w:sz w:val="18"/>
                <w:szCs w:val="18"/>
                <w:u w:val="none"/>
              </w:rPr>
            </w:pPr>
          </w:p>
        </w:tc>
        <w:tc>
          <w:tcPr>
            <w:tcW w:w="262" w:type="pct"/>
            <w:vMerge w:val="continue"/>
            <w:tcBorders>
              <w:top w:val="single" w:color="000000" w:sz="4" w:space="0"/>
              <w:left w:val="single" w:color="000000" w:sz="4" w:space="0"/>
              <w:bottom w:val="nil"/>
              <w:right w:val="single" w:color="000000" w:sz="4" w:space="0"/>
            </w:tcBorders>
            <w:shd w:val="clear" w:color="auto" w:fill="auto"/>
            <w:vAlign w:val="center"/>
          </w:tcPr>
          <w:p w14:paraId="3A20F4C7">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3E2D97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完成承压类特种设备法定检验数量</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69D85BF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32AF3A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159CF1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5439</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549598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10401</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1DBD50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台套</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7C0242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1F8209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5928D3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因部分承压类特种设备临近检验周期原因增加检验任务导致任务量增加</w:t>
            </w:r>
          </w:p>
        </w:tc>
      </w:tr>
      <w:tr w14:paraId="23A64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4CA3C8AC">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3BD18762">
            <w:pPr>
              <w:jc w:val="center"/>
              <w:rPr>
                <w:rFonts w:hint="eastAsia" w:ascii="宋体" w:hAnsi="宋体" w:eastAsia="宋体" w:cs="宋体"/>
                <w:i w:val="0"/>
                <w:iCs w:val="0"/>
                <w:color w:val="auto"/>
                <w:sz w:val="18"/>
                <w:szCs w:val="18"/>
                <w:u w:val="none"/>
              </w:rPr>
            </w:pPr>
          </w:p>
        </w:tc>
        <w:tc>
          <w:tcPr>
            <w:tcW w:w="262" w:type="pct"/>
            <w:vMerge w:val="continue"/>
            <w:tcBorders>
              <w:top w:val="single" w:color="000000" w:sz="4" w:space="0"/>
              <w:left w:val="single" w:color="000000" w:sz="4" w:space="0"/>
              <w:bottom w:val="nil"/>
              <w:right w:val="single" w:color="000000" w:sz="4" w:space="0"/>
            </w:tcBorders>
            <w:shd w:val="clear" w:color="auto" w:fill="auto"/>
            <w:vAlign w:val="center"/>
          </w:tcPr>
          <w:p w14:paraId="2820688F">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53A93A2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完成压力管道法定检验数量</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141102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0AECE0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0B45E6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468</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673A4F4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638</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120EDA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千米</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62BBDB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7B5DF79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003191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因部分压力管道临近检验周期原因增加检验任务导致任务量增加</w:t>
            </w:r>
          </w:p>
        </w:tc>
      </w:tr>
      <w:tr w14:paraId="16EF3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36C7E533">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15FD0800">
            <w:pPr>
              <w:jc w:val="center"/>
              <w:rPr>
                <w:rFonts w:hint="eastAsia" w:ascii="宋体" w:hAnsi="宋体" w:eastAsia="宋体" w:cs="宋体"/>
                <w:i w:val="0"/>
                <w:iCs w:val="0"/>
                <w:color w:val="auto"/>
                <w:sz w:val="18"/>
                <w:szCs w:val="18"/>
                <w:u w:val="none"/>
              </w:rPr>
            </w:pPr>
          </w:p>
        </w:tc>
        <w:tc>
          <w:tcPr>
            <w:tcW w:w="262" w:type="pct"/>
            <w:vMerge w:val="continue"/>
            <w:tcBorders>
              <w:top w:val="single" w:color="000000" w:sz="4" w:space="0"/>
              <w:left w:val="single" w:color="000000" w:sz="4" w:space="0"/>
              <w:bottom w:val="nil"/>
              <w:right w:val="single" w:color="000000" w:sz="4" w:space="0"/>
            </w:tcBorders>
            <w:shd w:val="clear" w:color="auto" w:fill="auto"/>
            <w:vAlign w:val="center"/>
          </w:tcPr>
          <w:p w14:paraId="503D2F25">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683258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特种设备检验人员培训数量</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4AF07B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271CE1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017385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78758B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08BD43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人</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2138AC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172E49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0E4A2286">
            <w:pPr>
              <w:jc w:val="center"/>
              <w:rPr>
                <w:rFonts w:hint="eastAsia" w:ascii="宋体" w:hAnsi="宋体" w:eastAsia="宋体" w:cs="宋体"/>
                <w:i w:val="0"/>
                <w:iCs w:val="0"/>
                <w:color w:val="auto"/>
                <w:sz w:val="18"/>
                <w:szCs w:val="18"/>
                <w:u w:val="none"/>
              </w:rPr>
            </w:pPr>
          </w:p>
        </w:tc>
      </w:tr>
      <w:tr w14:paraId="0E36F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7E677B1A">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12C09BCB">
            <w:pPr>
              <w:jc w:val="center"/>
              <w:rPr>
                <w:rFonts w:hint="eastAsia" w:ascii="宋体" w:hAnsi="宋体" w:eastAsia="宋体" w:cs="宋体"/>
                <w:i w:val="0"/>
                <w:iCs w:val="0"/>
                <w:color w:val="auto"/>
                <w:sz w:val="18"/>
                <w:szCs w:val="18"/>
                <w:u w:val="none"/>
              </w:rPr>
            </w:pPr>
          </w:p>
        </w:tc>
        <w:tc>
          <w:tcPr>
            <w:tcW w:w="262" w:type="pct"/>
            <w:vMerge w:val="continue"/>
            <w:tcBorders>
              <w:top w:val="single" w:color="000000" w:sz="4" w:space="0"/>
              <w:left w:val="single" w:color="000000" w:sz="4" w:space="0"/>
              <w:bottom w:val="nil"/>
              <w:right w:val="single" w:color="000000" w:sz="4" w:space="0"/>
            </w:tcBorders>
            <w:shd w:val="clear" w:color="auto" w:fill="auto"/>
            <w:vAlign w:val="center"/>
          </w:tcPr>
          <w:p w14:paraId="3A171FED">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3BA437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新增特种设备检验专用仪器设备数量</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680F91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461637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6A3E11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3D02F9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122</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6CACEB7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台套</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451A95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C4645D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6B9BBD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因检验任务量增加的原因对检验专用仪器设备需求数量增加。</w:t>
            </w:r>
          </w:p>
        </w:tc>
      </w:tr>
      <w:tr w14:paraId="6D11E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5250FF0E">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18AA2D4E">
            <w:pPr>
              <w:jc w:val="center"/>
              <w:rPr>
                <w:rFonts w:hint="eastAsia" w:ascii="宋体" w:hAnsi="宋体" w:eastAsia="宋体" w:cs="宋体"/>
                <w:i w:val="0"/>
                <w:iCs w:val="0"/>
                <w:color w:val="auto"/>
                <w:sz w:val="18"/>
                <w:szCs w:val="18"/>
                <w:u w:val="none"/>
              </w:rPr>
            </w:pPr>
          </w:p>
        </w:tc>
        <w:tc>
          <w:tcPr>
            <w:tcW w:w="262" w:type="pct"/>
            <w:vMerge w:val="restart"/>
            <w:tcBorders>
              <w:top w:val="single" w:color="000000" w:sz="4" w:space="0"/>
              <w:left w:val="single" w:color="000000" w:sz="4" w:space="0"/>
              <w:bottom w:val="nil"/>
              <w:right w:val="single" w:color="000000" w:sz="4" w:space="0"/>
            </w:tcBorders>
            <w:shd w:val="clear" w:color="auto" w:fill="auto"/>
            <w:vAlign w:val="center"/>
          </w:tcPr>
          <w:p w14:paraId="21B7E1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质量指标</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50BBBB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设备验收合格率</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09E1F8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0C4EC7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8330A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0B387F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0820B0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11D027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AF290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504A7CCE">
            <w:pPr>
              <w:jc w:val="center"/>
              <w:rPr>
                <w:rFonts w:hint="eastAsia" w:ascii="宋体" w:hAnsi="宋体" w:eastAsia="宋体" w:cs="宋体"/>
                <w:i w:val="0"/>
                <w:iCs w:val="0"/>
                <w:color w:val="auto"/>
                <w:sz w:val="18"/>
                <w:szCs w:val="18"/>
                <w:u w:val="none"/>
              </w:rPr>
            </w:pPr>
          </w:p>
        </w:tc>
      </w:tr>
      <w:tr w14:paraId="3A2EE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3F506734">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61DD70B8">
            <w:pPr>
              <w:jc w:val="center"/>
              <w:rPr>
                <w:rFonts w:hint="eastAsia" w:ascii="宋体" w:hAnsi="宋体" w:eastAsia="宋体" w:cs="宋体"/>
                <w:i w:val="0"/>
                <w:iCs w:val="0"/>
                <w:color w:val="auto"/>
                <w:sz w:val="18"/>
                <w:szCs w:val="18"/>
                <w:u w:val="none"/>
              </w:rPr>
            </w:pPr>
          </w:p>
        </w:tc>
        <w:tc>
          <w:tcPr>
            <w:tcW w:w="262" w:type="pct"/>
            <w:vMerge w:val="continue"/>
            <w:tcBorders>
              <w:top w:val="single" w:color="000000" w:sz="4" w:space="0"/>
              <w:left w:val="single" w:color="000000" w:sz="4" w:space="0"/>
              <w:bottom w:val="nil"/>
              <w:right w:val="single" w:color="000000" w:sz="4" w:space="0"/>
            </w:tcBorders>
            <w:shd w:val="clear" w:color="auto" w:fill="auto"/>
            <w:vAlign w:val="center"/>
          </w:tcPr>
          <w:p w14:paraId="5D8F5F03">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2AAC2D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政府采购执行率</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108FC8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5D7595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0E7A96F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7E295D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75EC4C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5CF3D9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07AF527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12D096A0">
            <w:pPr>
              <w:jc w:val="center"/>
              <w:rPr>
                <w:rFonts w:hint="eastAsia" w:ascii="宋体" w:hAnsi="宋体" w:eastAsia="宋体" w:cs="宋体"/>
                <w:i w:val="0"/>
                <w:iCs w:val="0"/>
                <w:color w:val="auto"/>
                <w:sz w:val="18"/>
                <w:szCs w:val="18"/>
                <w:u w:val="none"/>
              </w:rPr>
            </w:pPr>
          </w:p>
        </w:tc>
      </w:tr>
      <w:tr w14:paraId="4C535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2BD76886">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1F420874">
            <w:pPr>
              <w:jc w:val="center"/>
              <w:rPr>
                <w:rFonts w:hint="eastAsia" w:ascii="宋体" w:hAnsi="宋体" w:eastAsia="宋体" w:cs="宋体"/>
                <w:i w:val="0"/>
                <w:iCs w:val="0"/>
                <w:color w:val="auto"/>
                <w:sz w:val="18"/>
                <w:szCs w:val="18"/>
                <w:u w:val="none"/>
              </w:rPr>
            </w:pPr>
          </w:p>
        </w:tc>
        <w:tc>
          <w:tcPr>
            <w:tcW w:w="262" w:type="pct"/>
            <w:vMerge w:val="continue"/>
            <w:tcBorders>
              <w:top w:val="single" w:color="000000" w:sz="4" w:space="0"/>
              <w:left w:val="single" w:color="000000" w:sz="4" w:space="0"/>
              <w:bottom w:val="nil"/>
              <w:right w:val="single" w:color="000000" w:sz="4" w:space="0"/>
            </w:tcBorders>
            <w:shd w:val="clear" w:color="auto" w:fill="auto"/>
            <w:vAlign w:val="center"/>
          </w:tcPr>
          <w:p w14:paraId="7438C219">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08D06B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特种设备检验技术指标验收复核合格率</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21BA2A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3473D6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1576286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5E6844B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43C615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22635BF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3303F5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4E2FBB1D">
            <w:pPr>
              <w:jc w:val="center"/>
              <w:rPr>
                <w:rFonts w:hint="eastAsia" w:ascii="宋体" w:hAnsi="宋体" w:eastAsia="宋体" w:cs="宋体"/>
                <w:i w:val="0"/>
                <w:iCs w:val="0"/>
                <w:color w:val="auto"/>
                <w:sz w:val="18"/>
                <w:szCs w:val="18"/>
                <w:u w:val="none"/>
              </w:rPr>
            </w:pPr>
          </w:p>
        </w:tc>
      </w:tr>
      <w:tr w14:paraId="144C1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43F5B2AE">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0893121A">
            <w:pPr>
              <w:jc w:val="center"/>
              <w:rPr>
                <w:rFonts w:hint="eastAsia" w:ascii="宋体" w:hAnsi="宋体" w:eastAsia="宋体" w:cs="宋体"/>
                <w:i w:val="0"/>
                <w:iCs w:val="0"/>
                <w:color w:val="auto"/>
                <w:sz w:val="18"/>
                <w:szCs w:val="18"/>
                <w:u w:val="none"/>
              </w:rPr>
            </w:pPr>
          </w:p>
        </w:tc>
        <w:tc>
          <w:tcPr>
            <w:tcW w:w="262" w:type="pct"/>
            <w:vMerge w:val="continue"/>
            <w:tcBorders>
              <w:top w:val="single" w:color="000000" w:sz="4" w:space="0"/>
              <w:left w:val="single" w:color="000000" w:sz="4" w:space="0"/>
              <w:bottom w:val="nil"/>
              <w:right w:val="single" w:color="000000" w:sz="4" w:space="0"/>
            </w:tcBorders>
            <w:shd w:val="clear" w:color="auto" w:fill="auto"/>
            <w:vAlign w:val="center"/>
          </w:tcPr>
          <w:p w14:paraId="32E0FCC7">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223854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检验检测报告差错率</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362A0E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6853CB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04B7DE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1C6DD3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475239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365729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357CA3D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5525C48F">
            <w:pPr>
              <w:jc w:val="center"/>
              <w:rPr>
                <w:rFonts w:hint="eastAsia" w:ascii="宋体" w:hAnsi="宋体" w:eastAsia="宋体" w:cs="宋体"/>
                <w:i w:val="0"/>
                <w:iCs w:val="0"/>
                <w:color w:val="auto"/>
                <w:sz w:val="18"/>
                <w:szCs w:val="18"/>
                <w:u w:val="none"/>
              </w:rPr>
            </w:pPr>
          </w:p>
        </w:tc>
      </w:tr>
      <w:tr w14:paraId="082C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273CE14D">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34BDDD20">
            <w:pPr>
              <w:jc w:val="center"/>
              <w:rPr>
                <w:rFonts w:hint="eastAsia" w:ascii="宋体" w:hAnsi="宋体" w:eastAsia="宋体" w:cs="宋体"/>
                <w:i w:val="0"/>
                <w:iCs w:val="0"/>
                <w:color w:val="auto"/>
                <w:sz w:val="18"/>
                <w:szCs w:val="18"/>
                <w:u w:val="none"/>
              </w:rPr>
            </w:pPr>
          </w:p>
        </w:tc>
        <w:tc>
          <w:tcPr>
            <w:tcW w:w="262" w:type="pct"/>
            <w:vMerge w:val="continue"/>
            <w:tcBorders>
              <w:top w:val="single" w:color="000000" w:sz="4" w:space="0"/>
              <w:left w:val="single" w:color="000000" w:sz="4" w:space="0"/>
              <w:bottom w:val="nil"/>
              <w:right w:val="single" w:color="000000" w:sz="4" w:space="0"/>
            </w:tcBorders>
            <w:shd w:val="clear" w:color="auto" w:fill="auto"/>
            <w:vAlign w:val="center"/>
          </w:tcPr>
          <w:p w14:paraId="1D88B847">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22F0EB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特种设备检验人员考试通过率</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6154BB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4B48DB1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27E550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546E07B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77</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5B7870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2605D8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0C1946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2.43</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19AA3E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考试难度加大，通过率降低。</w:t>
            </w:r>
          </w:p>
        </w:tc>
      </w:tr>
      <w:tr w14:paraId="2D55F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04AD3D1D">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6AB87CE0">
            <w:pPr>
              <w:jc w:val="center"/>
              <w:rPr>
                <w:rFonts w:hint="eastAsia" w:ascii="宋体" w:hAnsi="宋体" w:eastAsia="宋体" w:cs="宋体"/>
                <w:i w:val="0"/>
                <w:iCs w:val="0"/>
                <w:color w:val="auto"/>
                <w:sz w:val="18"/>
                <w:szCs w:val="18"/>
                <w:u w:val="none"/>
              </w:rPr>
            </w:pPr>
          </w:p>
        </w:tc>
        <w:tc>
          <w:tcPr>
            <w:tcW w:w="262" w:type="pct"/>
            <w:vMerge w:val="restart"/>
            <w:tcBorders>
              <w:top w:val="single" w:color="000000" w:sz="4" w:space="0"/>
              <w:left w:val="single" w:color="000000" w:sz="4" w:space="0"/>
              <w:bottom w:val="nil"/>
              <w:right w:val="single" w:color="000000" w:sz="4" w:space="0"/>
            </w:tcBorders>
            <w:shd w:val="clear" w:color="auto" w:fill="auto"/>
            <w:vAlign w:val="center"/>
          </w:tcPr>
          <w:p w14:paraId="7DAEF1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时效指标</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29DA49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提出检验申请后检验受理时间</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602D63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179A33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77F1B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72A045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174D06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工作日</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248197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79EACA8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6CC15829">
            <w:pPr>
              <w:jc w:val="center"/>
              <w:rPr>
                <w:rFonts w:hint="eastAsia" w:ascii="宋体" w:hAnsi="宋体" w:eastAsia="宋体" w:cs="宋体"/>
                <w:i w:val="0"/>
                <w:iCs w:val="0"/>
                <w:color w:val="auto"/>
                <w:sz w:val="18"/>
                <w:szCs w:val="18"/>
                <w:u w:val="none"/>
              </w:rPr>
            </w:pPr>
          </w:p>
        </w:tc>
      </w:tr>
      <w:tr w14:paraId="5033E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35C24DEA">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6FDB5D65">
            <w:pPr>
              <w:jc w:val="center"/>
              <w:rPr>
                <w:rFonts w:hint="eastAsia" w:ascii="宋体" w:hAnsi="宋体" w:eastAsia="宋体" w:cs="宋体"/>
                <w:i w:val="0"/>
                <w:iCs w:val="0"/>
                <w:color w:val="auto"/>
                <w:sz w:val="18"/>
                <w:szCs w:val="18"/>
                <w:u w:val="none"/>
              </w:rPr>
            </w:pPr>
          </w:p>
        </w:tc>
        <w:tc>
          <w:tcPr>
            <w:tcW w:w="262" w:type="pct"/>
            <w:vMerge w:val="continue"/>
            <w:tcBorders>
              <w:top w:val="single" w:color="000000" w:sz="4" w:space="0"/>
              <w:left w:val="single" w:color="000000" w:sz="4" w:space="0"/>
              <w:bottom w:val="nil"/>
              <w:right w:val="single" w:color="000000" w:sz="4" w:space="0"/>
            </w:tcBorders>
            <w:shd w:val="clear" w:color="auto" w:fill="auto"/>
            <w:vAlign w:val="center"/>
          </w:tcPr>
          <w:p w14:paraId="65D4B251">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41DFC7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形成检验结论后检验报告出具时间</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4C6E7D8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2F16F5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F630E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76BD91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2D761F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工作日</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793B8C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4DB714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525AE5FE">
            <w:pPr>
              <w:jc w:val="center"/>
              <w:rPr>
                <w:rFonts w:hint="eastAsia" w:ascii="宋体" w:hAnsi="宋体" w:eastAsia="宋体" w:cs="宋体"/>
                <w:i w:val="0"/>
                <w:iCs w:val="0"/>
                <w:color w:val="auto"/>
                <w:sz w:val="18"/>
                <w:szCs w:val="18"/>
                <w:u w:val="none"/>
              </w:rPr>
            </w:pPr>
          </w:p>
        </w:tc>
      </w:tr>
      <w:tr w14:paraId="286F6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65454245">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66BF44F7">
            <w:pPr>
              <w:jc w:val="center"/>
              <w:rPr>
                <w:rFonts w:hint="eastAsia" w:ascii="宋体" w:hAnsi="宋体" w:eastAsia="宋体" w:cs="宋体"/>
                <w:i w:val="0"/>
                <w:iCs w:val="0"/>
                <w:color w:val="auto"/>
                <w:sz w:val="18"/>
                <w:szCs w:val="18"/>
                <w:u w:val="none"/>
              </w:rPr>
            </w:pPr>
          </w:p>
        </w:tc>
        <w:tc>
          <w:tcPr>
            <w:tcW w:w="262" w:type="pct"/>
            <w:vMerge w:val="restart"/>
            <w:tcBorders>
              <w:top w:val="single" w:color="000000" w:sz="4" w:space="0"/>
              <w:left w:val="single" w:color="000000" w:sz="4" w:space="0"/>
              <w:bottom w:val="nil"/>
              <w:right w:val="single" w:color="000000" w:sz="4" w:space="0"/>
            </w:tcBorders>
            <w:shd w:val="clear" w:color="auto" w:fill="auto"/>
            <w:vAlign w:val="center"/>
          </w:tcPr>
          <w:p w14:paraId="2FA2F5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成本指标</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03197D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特种设备检验专用仪器维护成本</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1F1ADC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18EC249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1EA94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66DA8F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623C3A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万元</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00157C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431C7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16D564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单位房屋及设备老旧，维护成本增加。</w:t>
            </w:r>
          </w:p>
        </w:tc>
      </w:tr>
      <w:tr w14:paraId="2B275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229C8473">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5307AEE0">
            <w:pPr>
              <w:jc w:val="center"/>
              <w:rPr>
                <w:rFonts w:hint="eastAsia" w:ascii="宋体" w:hAnsi="宋体" w:eastAsia="宋体" w:cs="宋体"/>
                <w:i w:val="0"/>
                <w:iCs w:val="0"/>
                <w:color w:val="auto"/>
                <w:sz w:val="18"/>
                <w:szCs w:val="18"/>
                <w:u w:val="none"/>
              </w:rPr>
            </w:pPr>
          </w:p>
        </w:tc>
        <w:tc>
          <w:tcPr>
            <w:tcW w:w="262" w:type="pct"/>
            <w:vMerge w:val="continue"/>
            <w:tcBorders>
              <w:top w:val="single" w:color="000000" w:sz="4" w:space="0"/>
              <w:left w:val="single" w:color="000000" w:sz="4" w:space="0"/>
              <w:bottom w:val="nil"/>
              <w:right w:val="single" w:color="000000" w:sz="4" w:space="0"/>
            </w:tcBorders>
            <w:shd w:val="clear" w:color="auto" w:fill="auto"/>
            <w:vAlign w:val="center"/>
          </w:tcPr>
          <w:p w14:paraId="008A3ABB">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071ED4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特种设备检验检测成本</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5B243B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4558E6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12FC63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1289</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1E57C3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1270.76</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763D6B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万元</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3DB419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2FCC39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38DC36F2">
            <w:pPr>
              <w:jc w:val="center"/>
              <w:rPr>
                <w:rFonts w:hint="eastAsia" w:ascii="宋体" w:hAnsi="宋体" w:eastAsia="宋体" w:cs="宋体"/>
                <w:i w:val="0"/>
                <w:iCs w:val="0"/>
                <w:color w:val="auto"/>
                <w:sz w:val="18"/>
                <w:szCs w:val="18"/>
                <w:u w:val="none"/>
              </w:rPr>
            </w:pPr>
          </w:p>
        </w:tc>
      </w:tr>
      <w:tr w14:paraId="08F70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599388A4">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77C0C59F">
            <w:pPr>
              <w:jc w:val="center"/>
              <w:rPr>
                <w:rFonts w:hint="eastAsia" w:ascii="宋体" w:hAnsi="宋体" w:eastAsia="宋体" w:cs="宋体"/>
                <w:i w:val="0"/>
                <w:iCs w:val="0"/>
                <w:color w:val="auto"/>
                <w:sz w:val="18"/>
                <w:szCs w:val="18"/>
                <w:u w:val="none"/>
              </w:rPr>
            </w:pPr>
          </w:p>
        </w:tc>
        <w:tc>
          <w:tcPr>
            <w:tcW w:w="262" w:type="pct"/>
            <w:vMerge w:val="continue"/>
            <w:tcBorders>
              <w:top w:val="single" w:color="000000" w:sz="4" w:space="0"/>
              <w:left w:val="single" w:color="000000" w:sz="4" w:space="0"/>
              <w:bottom w:val="nil"/>
              <w:right w:val="single" w:color="000000" w:sz="4" w:space="0"/>
            </w:tcBorders>
            <w:shd w:val="clear" w:color="auto" w:fill="auto"/>
            <w:vAlign w:val="center"/>
          </w:tcPr>
          <w:p w14:paraId="63D24270">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760449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专业人员业务技能培训成本</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684389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03325B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22B119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69A85F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333.33</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5FF54A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元/人·天</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74243A3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DB7D9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3407563A">
            <w:pPr>
              <w:jc w:val="center"/>
              <w:rPr>
                <w:rFonts w:hint="eastAsia" w:ascii="宋体" w:hAnsi="宋体" w:eastAsia="宋体" w:cs="宋体"/>
                <w:i w:val="0"/>
                <w:iCs w:val="0"/>
                <w:color w:val="auto"/>
                <w:sz w:val="18"/>
                <w:szCs w:val="18"/>
                <w:u w:val="none"/>
              </w:rPr>
            </w:pPr>
          </w:p>
        </w:tc>
      </w:tr>
      <w:tr w14:paraId="690D3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3904FA8A">
            <w:pPr>
              <w:jc w:val="center"/>
              <w:rPr>
                <w:rFonts w:hint="eastAsia" w:ascii="宋体" w:hAnsi="宋体" w:eastAsia="宋体" w:cs="宋体"/>
                <w:i w:val="0"/>
                <w:iCs w:val="0"/>
                <w:color w:val="auto"/>
                <w:sz w:val="18"/>
                <w:szCs w:val="18"/>
                <w:u w:val="none"/>
              </w:rPr>
            </w:pPr>
          </w:p>
        </w:tc>
        <w:tc>
          <w:tcPr>
            <w:tcW w:w="340" w:type="pct"/>
            <w:vMerge w:val="restart"/>
            <w:tcBorders>
              <w:top w:val="single" w:color="000000" w:sz="4" w:space="0"/>
              <w:left w:val="single" w:color="000000" w:sz="4" w:space="0"/>
              <w:bottom w:val="nil"/>
              <w:right w:val="single" w:color="000000" w:sz="4" w:space="0"/>
            </w:tcBorders>
            <w:shd w:val="clear" w:color="auto" w:fill="auto"/>
            <w:vAlign w:val="center"/>
          </w:tcPr>
          <w:p w14:paraId="5354F3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效益指标</w:t>
            </w:r>
          </w:p>
        </w:tc>
        <w:tc>
          <w:tcPr>
            <w:tcW w:w="262" w:type="pct"/>
            <w:tcBorders>
              <w:top w:val="single" w:color="000000" w:sz="4" w:space="0"/>
              <w:left w:val="single" w:color="000000" w:sz="4" w:space="0"/>
              <w:bottom w:val="nil"/>
              <w:right w:val="single" w:color="000000" w:sz="4" w:space="0"/>
            </w:tcBorders>
            <w:shd w:val="clear" w:color="auto" w:fill="auto"/>
            <w:vAlign w:val="center"/>
          </w:tcPr>
          <w:p w14:paraId="2722CD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经济效益</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714641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完成年非税收入金额</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2E4A96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2FF88C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80446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4000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25787B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4057.98</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021BE08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万元</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51F7F1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2A3E5B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2D0631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检验任务量增加，非税收入增加。</w:t>
            </w:r>
          </w:p>
        </w:tc>
      </w:tr>
      <w:tr w14:paraId="34574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122F79B3">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54F4CAF6">
            <w:pPr>
              <w:jc w:val="center"/>
              <w:rPr>
                <w:rFonts w:hint="eastAsia" w:ascii="宋体" w:hAnsi="宋体" w:eastAsia="宋体" w:cs="宋体"/>
                <w:i w:val="0"/>
                <w:iCs w:val="0"/>
                <w:color w:val="auto"/>
                <w:sz w:val="18"/>
                <w:szCs w:val="18"/>
                <w:u w:val="none"/>
              </w:rPr>
            </w:pPr>
          </w:p>
        </w:tc>
        <w:tc>
          <w:tcPr>
            <w:tcW w:w="262" w:type="pct"/>
            <w:tcBorders>
              <w:top w:val="single" w:color="000000" w:sz="4" w:space="0"/>
              <w:left w:val="single" w:color="000000" w:sz="4" w:space="0"/>
              <w:bottom w:val="nil"/>
              <w:right w:val="single" w:color="000000" w:sz="4" w:space="0"/>
            </w:tcBorders>
            <w:shd w:val="clear" w:color="auto" w:fill="auto"/>
            <w:vAlign w:val="center"/>
          </w:tcPr>
          <w:p w14:paraId="3B0DED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社会效益</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306719F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检验合格特种设备重大安全事故发生数量</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43C510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662488F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3FDDD8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5BBECD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1D52C0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起</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1E7325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4D6203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7AAD1607">
            <w:pPr>
              <w:jc w:val="center"/>
              <w:rPr>
                <w:rFonts w:hint="eastAsia" w:ascii="宋体" w:hAnsi="宋体" w:eastAsia="宋体" w:cs="宋体"/>
                <w:i w:val="0"/>
                <w:iCs w:val="0"/>
                <w:color w:val="auto"/>
                <w:sz w:val="18"/>
                <w:szCs w:val="18"/>
                <w:u w:val="none"/>
              </w:rPr>
            </w:pPr>
          </w:p>
        </w:tc>
      </w:tr>
      <w:tr w14:paraId="1A41F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0EC538C6">
            <w:pPr>
              <w:jc w:val="center"/>
              <w:rPr>
                <w:rFonts w:hint="eastAsia" w:ascii="宋体" w:hAnsi="宋体" w:eastAsia="宋体" w:cs="宋体"/>
                <w:i w:val="0"/>
                <w:iCs w:val="0"/>
                <w:color w:val="auto"/>
                <w:sz w:val="18"/>
                <w:szCs w:val="18"/>
                <w:u w:val="none"/>
              </w:rPr>
            </w:pPr>
          </w:p>
        </w:tc>
        <w:tc>
          <w:tcPr>
            <w:tcW w:w="340" w:type="pct"/>
            <w:vMerge w:val="continue"/>
            <w:tcBorders>
              <w:top w:val="single" w:color="000000" w:sz="4" w:space="0"/>
              <w:left w:val="single" w:color="000000" w:sz="4" w:space="0"/>
              <w:bottom w:val="nil"/>
              <w:right w:val="single" w:color="000000" w:sz="4" w:space="0"/>
            </w:tcBorders>
            <w:shd w:val="clear" w:color="auto" w:fill="auto"/>
            <w:vAlign w:val="center"/>
          </w:tcPr>
          <w:p w14:paraId="467B4B67">
            <w:pPr>
              <w:jc w:val="center"/>
              <w:rPr>
                <w:rFonts w:hint="eastAsia" w:ascii="宋体" w:hAnsi="宋体" w:eastAsia="宋体" w:cs="宋体"/>
                <w:i w:val="0"/>
                <w:iCs w:val="0"/>
                <w:color w:val="auto"/>
                <w:sz w:val="18"/>
                <w:szCs w:val="18"/>
                <w:u w:val="none"/>
              </w:rPr>
            </w:pPr>
          </w:p>
        </w:tc>
        <w:tc>
          <w:tcPr>
            <w:tcW w:w="262" w:type="pct"/>
            <w:tcBorders>
              <w:top w:val="single" w:color="000000" w:sz="4" w:space="0"/>
              <w:left w:val="single" w:color="000000" w:sz="4" w:space="0"/>
              <w:bottom w:val="nil"/>
              <w:right w:val="single" w:color="000000" w:sz="4" w:space="0"/>
            </w:tcBorders>
            <w:shd w:val="clear" w:color="auto" w:fill="auto"/>
            <w:vAlign w:val="center"/>
          </w:tcPr>
          <w:p w14:paraId="6C1152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可持续影响</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45A0EA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特种设备使用单位安全意识</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1C2192F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定性</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64723F25">
            <w:pPr>
              <w:jc w:val="center"/>
              <w:rPr>
                <w:rFonts w:hint="eastAsia" w:ascii="宋体" w:hAnsi="宋体" w:eastAsia="宋体" w:cs="宋体"/>
                <w:i w:val="0"/>
                <w:iCs w:val="0"/>
                <w:color w:val="auto"/>
                <w:sz w:val="18"/>
                <w:szCs w:val="18"/>
                <w:u w:val="none"/>
              </w:rPr>
            </w:pP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F6661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414128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0DEE43C6">
            <w:pPr>
              <w:jc w:val="center"/>
              <w:rPr>
                <w:rFonts w:hint="eastAsia" w:ascii="宋体" w:hAnsi="宋体" w:eastAsia="宋体" w:cs="宋体"/>
                <w:i w:val="0"/>
                <w:iCs w:val="0"/>
                <w:color w:val="auto"/>
                <w:sz w:val="18"/>
                <w:szCs w:val="18"/>
                <w:u w:val="none"/>
              </w:rPr>
            </w:pPr>
          </w:p>
        </w:tc>
        <w:tc>
          <w:tcPr>
            <w:tcW w:w="453" w:type="pct"/>
            <w:tcBorders>
              <w:top w:val="single" w:color="000000" w:sz="4" w:space="0"/>
              <w:left w:val="single" w:color="000000" w:sz="4" w:space="0"/>
              <w:bottom w:val="nil"/>
              <w:right w:val="single" w:color="000000" w:sz="4" w:space="0"/>
            </w:tcBorders>
            <w:shd w:val="clear" w:color="auto" w:fill="auto"/>
            <w:vAlign w:val="center"/>
          </w:tcPr>
          <w:p w14:paraId="43DF1D9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8B5C0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69B2D473">
            <w:pPr>
              <w:jc w:val="center"/>
              <w:rPr>
                <w:rFonts w:hint="eastAsia" w:ascii="宋体" w:hAnsi="宋体" w:eastAsia="宋体" w:cs="宋体"/>
                <w:i w:val="0"/>
                <w:iCs w:val="0"/>
                <w:color w:val="auto"/>
                <w:sz w:val="18"/>
                <w:szCs w:val="18"/>
                <w:u w:val="none"/>
              </w:rPr>
            </w:pPr>
          </w:p>
        </w:tc>
      </w:tr>
      <w:tr w14:paraId="2066E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650" w:type="pct"/>
            <w:vMerge w:val="continue"/>
            <w:tcBorders>
              <w:top w:val="single" w:color="000000" w:sz="4" w:space="0"/>
              <w:left w:val="single" w:color="000000" w:sz="4" w:space="0"/>
              <w:bottom w:val="nil"/>
              <w:right w:val="single" w:color="000000" w:sz="4" w:space="0"/>
            </w:tcBorders>
            <w:shd w:val="clear" w:color="auto" w:fill="auto"/>
            <w:vAlign w:val="center"/>
          </w:tcPr>
          <w:p w14:paraId="2923E588">
            <w:pPr>
              <w:jc w:val="center"/>
              <w:rPr>
                <w:rFonts w:hint="eastAsia" w:ascii="宋体" w:hAnsi="宋体" w:eastAsia="宋体" w:cs="宋体"/>
                <w:i w:val="0"/>
                <w:iCs w:val="0"/>
                <w:color w:val="auto"/>
                <w:sz w:val="18"/>
                <w:szCs w:val="18"/>
                <w:u w:val="none"/>
              </w:rPr>
            </w:pPr>
          </w:p>
        </w:tc>
        <w:tc>
          <w:tcPr>
            <w:tcW w:w="340" w:type="pct"/>
            <w:tcBorders>
              <w:top w:val="single" w:color="000000" w:sz="4" w:space="0"/>
              <w:left w:val="single" w:color="000000" w:sz="4" w:space="0"/>
              <w:bottom w:val="nil"/>
              <w:right w:val="single" w:color="000000" w:sz="4" w:space="0"/>
            </w:tcBorders>
            <w:shd w:val="clear" w:color="auto" w:fill="auto"/>
            <w:vAlign w:val="center"/>
          </w:tcPr>
          <w:p w14:paraId="44A01C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满意度指标</w:t>
            </w:r>
          </w:p>
        </w:tc>
        <w:tc>
          <w:tcPr>
            <w:tcW w:w="262" w:type="pct"/>
            <w:tcBorders>
              <w:top w:val="single" w:color="000000" w:sz="4" w:space="0"/>
              <w:left w:val="single" w:color="000000" w:sz="4" w:space="0"/>
              <w:bottom w:val="nil"/>
              <w:right w:val="single" w:color="000000" w:sz="4" w:space="0"/>
            </w:tcBorders>
            <w:shd w:val="clear" w:color="auto" w:fill="auto"/>
            <w:vAlign w:val="center"/>
          </w:tcPr>
          <w:p w14:paraId="145165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服务对象满意度</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4D617D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被检验单位满意度</w:t>
            </w:r>
          </w:p>
        </w:tc>
        <w:tc>
          <w:tcPr>
            <w:tcW w:w="340" w:type="pct"/>
            <w:tcBorders>
              <w:top w:val="single" w:color="000000" w:sz="4" w:space="0"/>
              <w:left w:val="single" w:color="000000" w:sz="4" w:space="0"/>
              <w:bottom w:val="nil"/>
              <w:right w:val="single" w:color="000000" w:sz="4" w:space="0"/>
            </w:tcBorders>
            <w:shd w:val="clear" w:color="auto" w:fill="auto"/>
            <w:vAlign w:val="center"/>
          </w:tcPr>
          <w:p w14:paraId="19B3B0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341" w:type="pct"/>
            <w:tcBorders>
              <w:top w:val="single" w:color="000000" w:sz="4" w:space="0"/>
              <w:left w:val="single" w:color="000000" w:sz="4" w:space="0"/>
              <w:bottom w:val="nil"/>
              <w:right w:val="single" w:color="000000" w:sz="4" w:space="0"/>
            </w:tcBorders>
            <w:shd w:val="clear" w:color="auto" w:fill="auto"/>
            <w:vAlign w:val="center"/>
          </w:tcPr>
          <w:p w14:paraId="23200A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4AC835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2D4BF0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3053AB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53" w:type="pct"/>
            <w:tcBorders>
              <w:top w:val="single" w:color="000000" w:sz="4" w:space="0"/>
              <w:left w:val="single" w:color="000000" w:sz="4" w:space="0"/>
              <w:bottom w:val="nil"/>
              <w:right w:val="single" w:color="000000" w:sz="4" w:space="0"/>
            </w:tcBorders>
            <w:shd w:val="clear" w:color="auto" w:fill="auto"/>
            <w:vAlign w:val="center"/>
          </w:tcPr>
          <w:p w14:paraId="437CF3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54" w:type="pct"/>
            <w:tcBorders>
              <w:top w:val="single" w:color="000000" w:sz="4" w:space="0"/>
              <w:left w:val="single" w:color="000000" w:sz="4" w:space="0"/>
              <w:bottom w:val="nil"/>
              <w:right w:val="single" w:color="000000" w:sz="4" w:space="0"/>
            </w:tcBorders>
            <w:shd w:val="clear" w:color="auto" w:fill="auto"/>
            <w:vAlign w:val="center"/>
          </w:tcPr>
          <w:p w14:paraId="5EADEA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55" w:type="pct"/>
            <w:tcBorders>
              <w:top w:val="single" w:color="000000" w:sz="4" w:space="0"/>
              <w:left w:val="single" w:color="000000" w:sz="4" w:space="0"/>
              <w:bottom w:val="nil"/>
              <w:right w:val="single" w:color="000000" w:sz="4" w:space="0"/>
            </w:tcBorders>
            <w:shd w:val="clear" w:color="auto" w:fill="auto"/>
            <w:vAlign w:val="center"/>
          </w:tcPr>
          <w:p w14:paraId="34ED1645">
            <w:pPr>
              <w:jc w:val="center"/>
              <w:rPr>
                <w:rFonts w:hint="eastAsia" w:ascii="宋体" w:hAnsi="宋体" w:eastAsia="宋体" w:cs="宋体"/>
                <w:i w:val="0"/>
                <w:iCs w:val="0"/>
                <w:color w:val="auto"/>
                <w:sz w:val="18"/>
                <w:szCs w:val="18"/>
                <w:u w:val="none"/>
              </w:rPr>
            </w:pPr>
          </w:p>
        </w:tc>
      </w:tr>
      <w:tr w14:paraId="63364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63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B7FE8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总分</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AE7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65A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96.07</w:t>
            </w:r>
          </w:p>
        </w:tc>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89D4C">
            <w:pPr>
              <w:jc w:val="center"/>
              <w:rPr>
                <w:rFonts w:hint="eastAsia" w:ascii="宋体" w:hAnsi="宋体" w:eastAsia="宋体" w:cs="宋体"/>
                <w:i w:val="0"/>
                <w:iCs w:val="0"/>
                <w:color w:val="auto"/>
                <w:sz w:val="18"/>
                <w:szCs w:val="18"/>
                <w:u w:val="none"/>
              </w:rPr>
            </w:pPr>
          </w:p>
        </w:tc>
      </w:tr>
    </w:tbl>
    <w:p w14:paraId="69983BEC">
      <w:pPr>
        <w:pStyle w:val="28"/>
        <w:widowControl/>
        <w:spacing w:before="240" w:after="240" w:line="560" w:lineRule="atLeast"/>
        <w:jc w:val="left"/>
        <w:rPr>
          <w:rFonts w:ascii="FangSong_GB2312" w:hAnsi="FangSong_GB2312" w:eastAsia="FangSong_GB2312" w:cs="FangSong_GB2312"/>
          <w:color w:val="auto"/>
          <w:kern w:val="0"/>
          <w:sz w:val="32"/>
          <w:szCs w:val="32"/>
          <w:u w:val="none"/>
        </w:rPr>
      </w:pPr>
    </w:p>
    <w:p w14:paraId="6B3F86D3">
      <w:pPr>
        <w:widowControl/>
        <w:spacing w:before="240" w:after="240"/>
        <w:ind w:firstLine="382"/>
        <w:rPr>
          <w:rFonts w:ascii="FangSong_GB2312" w:hAnsi="FangSong_GB2312" w:eastAsia="FangSong_GB2312" w:cs="FangSong_GB2312"/>
          <w:color w:val="auto"/>
          <w:kern w:val="0"/>
          <w:sz w:val="32"/>
          <w:szCs w:val="32"/>
          <w:u w:val="none"/>
        </w:rPr>
      </w:pPr>
      <w:r>
        <w:rPr>
          <w:rFonts w:ascii="FangSong_GB2312" w:hAnsi="FangSong_GB2312" w:eastAsia="FangSong_GB2312" w:cs="FangSong_GB2312"/>
          <w:color w:val="auto"/>
          <w:kern w:val="0"/>
          <w:sz w:val="32"/>
          <w:szCs w:val="32"/>
          <w:u w:val="none"/>
          <w:lang w:eastAsia="en-US"/>
        </w:rPr>
        <w:t>2.</w:t>
      </w:r>
      <w:r>
        <w:rPr>
          <w:rFonts w:hint="eastAsia" w:ascii="FangSong_GB2312" w:hAnsi="FangSong_GB2312" w:eastAsia="FangSong_GB2312" w:cs="FangSong_GB2312"/>
          <w:color w:val="auto"/>
          <w:kern w:val="0"/>
          <w:sz w:val="32"/>
          <w:szCs w:val="32"/>
          <w:u w:val="none"/>
          <w:lang w:val="en-US" w:eastAsia="zh-CN" w:bidi="ar-SA"/>
        </w:rPr>
        <w:t>物业费项目自评综述：根据年初设定的绩效目标，项目自评得分99.55分。全年预算数为150万元，执行数为150万元，完成预算的100%。项目绩效目标完成情况：物业管理面积36965.68平方米，公共区域保洁次数2次/天，保洁和保安人员数量30人，绿化面积维护率等于100%，公共区域安保防控率等于100%，公共基础设施及设备正常适用率大于等于95%，公共区域保洁率等于100%，公共基础设施及设备报修平均响应时间小于等于1，每日安保时长等于24小时，物业费平均成本39.94元/平米，保洁及保安平均工资小于等于3000元/月，单位职工对物业服务满意度大于等于95%。各项绩效目标基本完成全年指标值，下一步将更加细化指标，指标设定更加准确，在节约资金的基础上，保质保量的完成各项办公需求，有效提高特种设备检验研究事业的发展。</w:t>
      </w:r>
    </w:p>
    <w:tbl>
      <w:tblPr>
        <w:tblStyle w:val="18"/>
        <w:tblW w:w="482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8"/>
        <w:gridCol w:w="337"/>
        <w:gridCol w:w="458"/>
        <w:gridCol w:w="399"/>
        <w:gridCol w:w="400"/>
        <w:gridCol w:w="337"/>
        <w:gridCol w:w="314"/>
        <w:gridCol w:w="392"/>
        <w:gridCol w:w="205"/>
        <w:gridCol w:w="544"/>
        <w:gridCol w:w="327"/>
        <w:gridCol w:w="10"/>
        <w:gridCol w:w="399"/>
        <w:gridCol w:w="462"/>
        <w:gridCol w:w="578"/>
        <w:gridCol w:w="2724"/>
      </w:tblGrid>
      <w:tr w14:paraId="22B83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ABCF9A9">
            <w:pPr>
              <w:keepNext w:val="0"/>
              <w:keepLines w:val="0"/>
              <w:widowControl/>
              <w:suppressLineNumbers w:val="0"/>
              <w:jc w:val="center"/>
              <w:textAlignment w:val="center"/>
              <w:rPr>
                <w:rFonts w:hint="eastAsia" w:ascii="宋体" w:hAnsi="宋体" w:eastAsia="宋体" w:cs="宋体"/>
                <w:b/>
                <w:bCs/>
                <w:i w:val="0"/>
                <w:iCs w:val="0"/>
                <w:color w:val="auto"/>
                <w:sz w:val="40"/>
                <w:szCs w:val="40"/>
                <w:u w:val="none"/>
              </w:rPr>
            </w:pPr>
            <w:r>
              <w:rPr>
                <w:rFonts w:hint="eastAsia" w:ascii="宋体" w:hAnsi="宋体" w:eastAsia="宋体" w:cs="宋体"/>
                <w:b/>
                <w:bCs/>
                <w:i w:val="0"/>
                <w:iCs w:val="0"/>
                <w:color w:val="auto"/>
                <w:kern w:val="0"/>
                <w:sz w:val="40"/>
                <w:szCs w:val="40"/>
                <w:u w:val="none"/>
                <w:lang w:val="en-US" w:eastAsia="zh-CN" w:bidi="ar"/>
              </w:rPr>
              <w:t>项目支出绩效自评表</w:t>
            </w:r>
            <w:r>
              <w:rPr>
                <w:rFonts w:hint="eastAsia" w:ascii="宋体" w:hAnsi="宋体" w:eastAsia="宋体" w:cs="宋体"/>
                <w:b/>
                <w:bCs/>
                <w:i w:val="0"/>
                <w:iCs w:val="0"/>
                <w:color w:val="auto"/>
                <w:kern w:val="0"/>
                <w:sz w:val="40"/>
                <w:szCs w:val="40"/>
                <w:u w:val="none"/>
                <w:lang w:val="en-US" w:eastAsia="zh-CN" w:bidi="ar"/>
              </w:rPr>
              <w:br w:type="textWrapping"/>
            </w:r>
            <w:r>
              <w:rPr>
                <w:rFonts w:hint="eastAsia" w:ascii="宋体" w:hAnsi="宋体" w:eastAsia="宋体" w:cs="宋体"/>
                <w:b/>
                <w:bCs/>
                <w:i w:val="0"/>
                <w:iCs w:val="0"/>
                <w:color w:val="auto"/>
                <w:kern w:val="0"/>
                <w:sz w:val="40"/>
                <w:szCs w:val="40"/>
                <w:u w:val="none"/>
                <w:lang w:val="en-US" w:eastAsia="zh-CN" w:bidi="ar"/>
              </w:rPr>
              <w:t>(2025年度）</w:t>
            </w:r>
          </w:p>
        </w:tc>
      </w:tr>
      <w:tr w14:paraId="50E80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2A0109">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项目名称</w:t>
            </w:r>
          </w:p>
        </w:tc>
        <w:tc>
          <w:tcPr>
            <w:tcW w:w="4589"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9412B4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物业费</w:t>
            </w:r>
          </w:p>
        </w:tc>
      </w:tr>
      <w:tr w14:paraId="20431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A0AAE">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主管部门</w:t>
            </w:r>
          </w:p>
        </w:tc>
        <w:tc>
          <w:tcPr>
            <w:tcW w:w="7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EA36B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内蒙古自治区市场监督管理局部门</w:t>
            </w:r>
          </w:p>
        </w:tc>
        <w:tc>
          <w:tcPr>
            <w:tcW w:w="3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DDEC1">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实施单位</w:t>
            </w:r>
          </w:p>
        </w:tc>
        <w:tc>
          <w:tcPr>
            <w:tcW w:w="342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A2479B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内蒙古自治区特种设备检验研究院包头分院</w:t>
            </w:r>
          </w:p>
        </w:tc>
      </w:tr>
      <w:tr w14:paraId="594FB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67B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项目资金</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（万元）</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353B5">
            <w:pPr>
              <w:rPr>
                <w:rFonts w:hint="eastAsia" w:ascii="宋体" w:hAnsi="宋体" w:eastAsia="宋体" w:cs="宋体"/>
                <w:i w:val="0"/>
                <w:iCs w:val="0"/>
                <w:color w:val="auto"/>
                <w:sz w:val="18"/>
                <w:szCs w:val="18"/>
                <w:u w:val="none"/>
              </w:rPr>
            </w:pP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C16F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年初预算数</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4CBF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全年预算数</w:t>
            </w:r>
          </w:p>
        </w:tc>
        <w:tc>
          <w:tcPr>
            <w:tcW w:w="3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3B2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全年执行数</w:t>
            </w:r>
          </w:p>
        </w:tc>
        <w:tc>
          <w:tcPr>
            <w:tcW w:w="3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4D1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分值</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946F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执行率（%）</w:t>
            </w:r>
          </w:p>
        </w:tc>
        <w:tc>
          <w:tcPr>
            <w:tcW w:w="253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4554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得分</w:t>
            </w:r>
          </w:p>
        </w:tc>
      </w:tr>
      <w:tr w14:paraId="37850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261B6">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9F6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年度资金总额</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2470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23F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w:t>
            </w:r>
          </w:p>
        </w:tc>
        <w:tc>
          <w:tcPr>
            <w:tcW w:w="3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54B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w:t>
            </w:r>
          </w:p>
        </w:tc>
        <w:tc>
          <w:tcPr>
            <w:tcW w:w="3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E0B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2AA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253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81D7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r>
      <w:tr w14:paraId="74244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88E68">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0F3F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其中：财政拨款</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9F6E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40A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140</w:t>
            </w:r>
          </w:p>
        </w:tc>
        <w:tc>
          <w:tcPr>
            <w:tcW w:w="3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B52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140</w:t>
            </w:r>
          </w:p>
        </w:tc>
        <w:tc>
          <w:tcPr>
            <w:tcW w:w="36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8FE4">
            <w:pPr>
              <w:keepNext w:val="0"/>
              <w:keepLines w:val="0"/>
              <w:widowControl/>
              <w:suppressLineNumbers w:val="0"/>
              <w:jc w:val="center"/>
              <w:textAlignment w:val="center"/>
              <w:rPr>
                <w:rFonts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1BA9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2537"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BEA8">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2A6FD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3528E">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CAE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上年结转资金</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852FA">
            <w:pPr>
              <w:rPr>
                <w:rFonts w:hint="eastAsia" w:ascii="宋体" w:hAnsi="宋体" w:eastAsia="宋体" w:cs="宋体"/>
                <w:i w:val="0"/>
                <w:iCs w:val="0"/>
                <w:color w:val="auto"/>
                <w:sz w:val="18"/>
                <w:szCs w:val="18"/>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4C416">
            <w:pPr>
              <w:jc w:val="center"/>
              <w:rPr>
                <w:rFonts w:hint="eastAsia" w:ascii="宋体" w:hAnsi="宋体" w:eastAsia="宋体" w:cs="宋体"/>
                <w:i w:val="0"/>
                <w:iCs w:val="0"/>
                <w:color w:val="auto"/>
                <w:sz w:val="18"/>
                <w:szCs w:val="18"/>
                <w:u w:val="none"/>
              </w:rPr>
            </w:pPr>
          </w:p>
        </w:tc>
        <w:tc>
          <w:tcPr>
            <w:tcW w:w="3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5B17E">
            <w:pPr>
              <w:jc w:val="center"/>
              <w:rPr>
                <w:rFonts w:hint="eastAsia" w:ascii="宋体" w:hAnsi="宋体" w:eastAsia="宋体" w:cs="宋体"/>
                <w:i w:val="0"/>
                <w:iCs w:val="0"/>
                <w:color w:val="auto"/>
                <w:sz w:val="18"/>
                <w:szCs w:val="18"/>
                <w:u w:val="none"/>
              </w:rPr>
            </w:pPr>
          </w:p>
        </w:tc>
        <w:tc>
          <w:tcPr>
            <w:tcW w:w="36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6898">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62EE8">
            <w:pPr>
              <w:jc w:val="center"/>
              <w:rPr>
                <w:rFonts w:hint="eastAsia" w:ascii="宋体" w:hAnsi="宋体" w:eastAsia="宋体" w:cs="宋体"/>
                <w:i w:val="0"/>
                <w:iCs w:val="0"/>
                <w:color w:val="auto"/>
                <w:sz w:val="18"/>
                <w:szCs w:val="18"/>
                <w:u w:val="none"/>
              </w:rPr>
            </w:pPr>
          </w:p>
        </w:tc>
        <w:tc>
          <w:tcPr>
            <w:tcW w:w="2537"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6F9A">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7C2FF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42E8E">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2392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其他资金</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25D7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C7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3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397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36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75713">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1B2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2537"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5C7F">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2E082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4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DE0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年度总体目标</w:t>
            </w:r>
          </w:p>
        </w:tc>
        <w:tc>
          <w:tcPr>
            <w:tcW w:w="7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4BCC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预期目标</w:t>
            </w:r>
          </w:p>
        </w:tc>
        <w:tc>
          <w:tcPr>
            <w:tcW w:w="382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83954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实际完成情况</w:t>
            </w:r>
          </w:p>
        </w:tc>
      </w:tr>
      <w:tr w14:paraId="5B9DF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DD2FF">
            <w:pPr>
              <w:jc w:val="center"/>
              <w:rPr>
                <w:rFonts w:hint="eastAsia" w:ascii="宋体" w:hAnsi="宋体" w:eastAsia="宋体" w:cs="宋体"/>
                <w:i w:val="0"/>
                <w:iCs w:val="0"/>
                <w:color w:val="auto"/>
                <w:sz w:val="18"/>
                <w:szCs w:val="18"/>
                <w:u w:val="none"/>
              </w:rPr>
            </w:pPr>
          </w:p>
        </w:tc>
        <w:tc>
          <w:tcPr>
            <w:tcW w:w="7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236F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通过开展本单位物业保障工作，切实保障本单位各项工作开展，有效提高特种设备检验研究事业发展，切实保障特种设备检验事业后勤工作的稳步提高。</w:t>
            </w:r>
          </w:p>
        </w:tc>
        <w:tc>
          <w:tcPr>
            <w:tcW w:w="3825"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FB18C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2025年度通过开展本单位物业保障工作，保障了办公区域环境等各项指标良好，基本完成了本项目的绩效目标。</w:t>
            </w:r>
          </w:p>
        </w:tc>
      </w:tr>
      <w:tr w14:paraId="48AD2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913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绩效指标</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FEBA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一级指标</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CA1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二级指标</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575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三级指标</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816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指标性质</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B42F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指标方向</w:t>
            </w:r>
          </w:p>
        </w:tc>
        <w:tc>
          <w:tcPr>
            <w:tcW w:w="4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255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年度指标值</w:t>
            </w:r>
          </w:p>
        </w:tc>
        <w:tc>
          <w:tcPr>
            <w:tcW w:w="45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359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实际完成值</w:t>
            </w:r>
          </w:p>
        </w:tc>
        <w:tc>
          <w:tcPr>
            <w:tcW w:w="2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704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计量单位</w:t>
            </w:r>
          </w:p>
        </w:tc>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948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分值</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401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得分</w:t>
            </w:r>
          </w:p>
        </w:tc>
        <w:tc>
          <w:tcPr>
            <w:tcW w:w="20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A408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偏差原因分析及改进措施</w:t>
            </w:r>
          </w:p>
        </w:tc>
      </w:tr>
      <w:tr w14:paraId="7AA16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restart"/>
            <w:tcBorders>
              <w:top w:val="single" w:color="000000" w:sz="4" w:space="0"/>
              <w:left w:val="single" w:color="000000" w:sz="4" w:space="0"/>
              <w:bottom w:val="nil"/>
              <w:right w:val="single" w:color="000000" w:sz="4" w:space="0"/>
            </w:tcBorders>
            <w:shd w:val="clear" w:color="auto" w:fill="auto"/>
            <w:vAlign w:val="center"/>
          </w:tcPr>
          <w:p w14:paraId="248571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绩效指标</w:t>
            </w:r>
          </w:p>
        </w:tc>
        <w:tc>
          <w:tcPr>
            <w:tcW w:w="204" w:type="pct"/>
            <w:vMerge w:val="restart"/>
            <w:tcBorders>
              <w:top w:val="single" w:color="000000" w:sz="4" w:space="0"/>
              <w:left w:val="single" w:color="000000" w:sz="4" w:space="0"/>
              <w:bottom w:val="nil"/>
              <w:right w:val="single" w:color="000000" w:sz="4" w:space="0"/>
            </w:tcBorders>
            <w:shd w:val="clear" w:color="auto" w:fill="auto"/>
            <w:vAlign w:val="center"/>
          </w:tcPr>
          <w:p w14:paraId="39C67B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产出指标</w:t>
            </w:r>
          </w:p>
        </w:tc>
        <w:tc>
          <w:tcPr>
            <w:tcW w:w="278" w:type="pct"/>
            <w:vMerge w:val="restart"/>
            <w:tcBorders>
              <w:top w:val="single" w:color="000000" w:sz="4" w:space="0"/>
              <w:left w:val="single" w:color="000000" w:sz="4" w:space="0"/>
              <w:bottom w:val="nil"/>
              <w:right w:val="single" w:color="000000" w:sz="4" w:space="0"/>
            </w:tcBorders>
            <w:shd w:val="clear" w:color="auto" w:fill="auto"/>
            <w:vAlign w:val="center"/>
          </w:tcPr>
          <w:p w14:paraId="0EBE774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数量指标</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323B79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物业管理面积</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6A15FE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577199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7CB6CA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40657.68</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15F457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36965.68</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18435C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平方米</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4FF7BF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473DE7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5CDA91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差异面积为我单位检验厂房，不在物业服务范围内。</w:t>
            </w:r>
          </w:p>
        </w:tc>
      </w:tr>
      <w:tr w14:paraId="43777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06ECE394">
            <w:pPr>
              <w:jc w:val="center"/>
              <w:rPr>
                <w:rFonts w:hint="eastAsia" w:ascii="宋体" w:hAnsi="宋体" w:eastAsia="宋体" w:cs="宋体"/>
                <w:i w:val="0"/>
                <w:iCs w:val="0"/>
                <w:color w:val="auto"/>
                <w:sz w:val="18"/>
                <w:szCs w:val="18"/>
                <w:u w:val="none"/>
              </w:rPr>
            </w:pPr>
          </w:p>
        </w:tc>
        <w:tc>
          <w:tcPr>
            <w:tcW w:w="204" w:type="pct"/>
            <w:vMerge w:val="continue"/>
            <w:tcBorders>
              <w:top w:val="single" w:color="000000" w:sz="4" w:space="0"/>
              <w:left w:val="single" w:color="000000" w:sz="4" w:space="0"/>
              <w:bottom w:val="nil"/>
              <w:right w:val="single" w:color="000000" w:sz="4" w:space="0"/>
            </w:tcBorders>
            <w:shd w:val="clear" w:color="auto" w:fill="auto"/>
            <w:vAlign w:val="center"/>
          </w:tcPr>
          <w:p w14:paraId="3BABB959">
            <w:pPr>
              <w:jc w:val="center"/>
              <w:rPr>
                <w:rFonts w:hint="eastAsia" w:ascii="宋体" w:hAnsi="宋体" w:eastAsia="宋体" w:cs="宋体"/>
                <w:i w:val="0"/>
                <w:iCs w:val="0"/>
                <w:color w:val="auto"/>
                <w:sz w:val="18"/>
                <w:szCs w:val="18"/>
                <w:u w:val="none"/>
              </w:rPr>
            </w:pPr>
          </w:p>
        </w:tc>
        <w:tc>
          <w:tcPr>
            <w:tcW w:w="278" w:type="pct"/>
            <w:vMerge w:val="continue"/>
            <w:tcBorders>
              <w:top w:val="single" w:color="000000" w:sz="4" w:space="0"/>
              <w:left w:val="single" w:color="000000" w:sz="4" w:space="0"/>
              <w:bottom w:val="nil"/>
              <w:right w:val="single" w:color="000000" w:sz="4" w:space="0"/>
            </w:tcBorders>
            <w:shd w:val="clear" w:color="auto" w:fill="auto"/>
            <w:vAlign w:val="center"/>
          </w:tcPr>
          <w:p w14:paraId="72FFBDB7">
            <w:pPr>
              <w:jc w:val="center"/>
              <w:rPr>
                <w:rFonts w:hint="eastAsia" w:ascii="宋体" w:hAnsi="宋体" w:eastAsia="宋体" w:cs="宋体"/>
                <w:i w:val="0"/>
                <w:iCs w:val="0"/>
                <w:color w:val="auto"/>
                <w:sz w:val="18"/>
                <w:szCs w:val="18"/>
                <w:u w:val="none"/>
              </w:rPr>
            </w:pPr>
          </w:p>
        </w:tc>
        <w:tc>
          <w:tcPr>
            <w:tcW w:w="242" w:type="pct"/>
            <w:tcBorders>
              <w:top w:val="single" w:color="000000" w:sz="4" w:space="0"/>
              <w:left w:val="single" w:color="000000" w:sz="4" w:space="0"/>
              <w:bottom w:val="nil"/>
              <w:right w:val="single" w:color="000000" w:sz="4" w:space="0"/>
            </w:tcBorders>
            <w:shd w:val="clear" w:color="auto" w:fill="auto"/>
            <w:vAlign w:val="center"/>
          </w:tcPr>
          <w:p w14:paraId="169804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公共区域保洁次数</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6B60A6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2426E0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2D7BCA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79F4EA2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1160E62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次/天</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444351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27DBA22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6F5B6ACA">
            <w:pPr>
              <w:jc w:val="center"/>
              <w:rPr>
                <w:rFonts w:hint="eastAsia" w:ascii="宋体" w:hAnsi="宋体" w:eastAsia="宋体" w:cs="宋体"/>
                <w:i w:val="0"/>
                <w:iCs w:val="0"/>
                <w:color w:val="auto"/>
                <w:sz w:val="18"/>
                <w:szCs w:val="18"/>
                <w:u w:val="none"/>
              </w:rPr>
            </w:pPr>
          </w:p>
        </w:tc>
      </w:tr>
      <w:tr w14:paraId="2D194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11C61D41">
            <w:pPr>
              <w:jc w:val="center"/>
              <w:rPr>
                <w:rFonts w:hint="eastAsia" w:ascii="宋体" w:hAnsi="宋体" w:eastAsia="宋体" w:cs="宋体"/>
                <w:i w:val="0"/>
                <w:iCs w:val="0"/>
                <w:color w:val="auto"/>
                <w:sz w:val="18"/>
                <w:szCs w:val="18"/>
                <w:u w:val="none"/>
              </w:rPr>
            </w:pPr>
          </w:p>
        </w:tc>
        <w:tc>
          <w:tcPr>
            <w:tcW w:w="204" w:type="pct"/>
            <w:vMerge w:val="continue"/>
            <w:tcBorders>
              <w:top w:val="single" w:color="000000" w:sz="4" w:space="0"/>
              <w:left w:val="single" w:color="000000" w:sz="4" w:space="0"/>
              <w:bottom w:val="nil"/>
              <w:right w:val="single" w:color="000000" w:sz="4" w:space="0"/>
            </w:tcBorders>
            <w:shd w:val="clear" w:color="auto" w:fill="auto"/>
            <w:vAlign w:val="center"/>
          </w:tcPr>
          <w:p w14:paraId="06F6C8A3">
            <w:pPr>
              <w:jc w:val="center"/>
              <w:rPr>
                <w:rFonts w:hint="eastAsia" w:ascii="宋体" w:hAnsi="宋体" w:eastAsia="宋体" w:cs="宋体"/>
                <w:i w:val="0"/>
                <w:iCs w:val="0"/>
                <w:color w:val="auto"/>
                <w:sz w:val="18"/>
                <w:szCs w:val="18"/>
                <w:u w:val="none"/>
              </w:rPr>
            </w:pPr>
          </w:p>
        </w:tc>
        <w:tc>
          <w:tcPr>
            <w:tcW w:w="278" w:type="pct"/>
            <w:vMerge w:val="continue"/>
            <w:tcBorders>
              <w:top w:val="single" w:color="000000" w:sz="4" w:space="0"/>
              <w:left w:val="single" w:color="000000" w:sz="4" w:space="0"/>
              <w:bottom w:val="nil"/>
              <w:right w:val="single" w:color="000000" w:sz="4" w:space="0"/>
            </w:tcBorders>
            <w:shd w:val="clear" w:color="auto" w:fill="auto"/>
            <w:vAlign w:val="center"/>
          </w:tcPr>
          <w:p w14:paraId="028A1D16">
            <w:pPr>
              <w:jc w:val="center"/>
              <w:rPr>
                <w:rFonts w:hint="eastAsia" w:ascii="宋体" w:hAnsi="宋体" w:eastAsia="宋体" w:cs="宋体"/>
                <w:i w:val="0"/>
                <w:iCs w:val="0"/>
                <w:color w:val="auto"/>
                <w:sz w:val="18"/>
                <w:szCs w:val="18"/>
                <w:u w:val="none"/>
              </w:rPr>
            </w:pPr>
          </w:p>
        </w:tc>
        <w:tc>
          <w:tcPr>
            <w:tcW w:w="242" w:type="pct"/>
            <w:tcBorders>
              <w:top w:val="single" w:color="000000" w:sz="4" w:space="0"/>
              <w:left w:val="single" w:color="000000" w:sz="4" w:space="0"/>
              <w:bottom w:val="nil"/>
              <w:right w:val="single" w:color="000000" w:sz="4" w:space="0"/>
            </w:tcBorders>
            <w:shd w:val="clear" w:color="auto" w:fill="auto"/>
            <w:vAlign w:val="center"/>
          </w:tcPr>
          <w:p w14:paraId="021D20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保洁和保安人员数量</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2AD81A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328982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0D4470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4587D9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01401F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人</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14C2466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002457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2CF8A7C0">
            <w:pPr>
              <w:jc w:val="center"/>
              <w:rPr>
                <w:rFonts w:hint="eastAsia" w:ascii="宋体" w:hAnsi="宋体" w:eastAsia="宋体" w:cs="宋体"/>
                <w:i w:val="0"/>
                <w:iCs w:val="0"/>
                <w:color w:val="auto"/>
                <w:sz w:val="18"/>
                <w:szCs w:val="18"/>
                <w:u w:val="none"/>
              </w:rPr>
            </w:pPr>
          </w:p>
        </w:tc>
      </w:tr>
      <w:tr w14:paraId="439B3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2B3E847C">
            <w:pPr>
              <w:jc w:val="center"/>
              <w:rPr>
                <w:rFonts w:hint="eastAsia" w:ascii="宋体" w:hAnsi="宋体" w:eastAsia="宋体" w:cs="宋体"/>
                <w:i w:val="0"/>
                <w:iCs w:val="0"/>
                <w:color w:val="auto"/>
                <w:sz w:val="18"/>
                <w:szCs w:val="18"/>
                <w:u w:val="none"/>
              </w:rPr>
            </w:pPr>
          </w:p>
        </w:tc>
        <w:tc>
          <w:tcPr>
            <w:tcW w:w="204" w:type="pct"/>
            <w:vMerge w:val="continue"/>
            <w:tcBorders>
              <w:top w:val="single" w:color="000000" w:sz="4" w:space="0"/>
              <w:left w:val="single" w:color="000000" w:sz="4" w:space="0"/>
              <w:bottom w:val="nil"/>
              <w:right w:val="single" w:color="000000" w:sz="4" w:space="0"/>
            </w:tcBorders>
            <w:shd w:val="clear" w:color="auto" w:fill="auto"/>
            <w:vAlign w:val="center"/>
          </w:tcPr>
          <w:p w14:paraId="7D5C73E5">
            <w:pPr>
              <w:jc w:val="center"/>
              <w:rPr>
                <w:rFonts w:hint="eastAsia" w:ascii="宋体" w:hAnsi="宋体" w:eastAsia="宋体" w:cs="宋体"/>
                <w:i w:val="0"/>
                <w:iCs w:val="0"/>
                <w:color w:val="auto"/>
                <w:sz w:val="18"/>
                <w:szCs w:val="18"/>
                <w:u w:val="none"/>
              </w:rPr>
            </w:pPr>
          </w:p>
        </w:tc>
        <w:tc>
          <w:tcPr>
            <w:tcW w:w="278" w:type="pct"/>
            <w:vMerge w:val="restart"/>
            <w:tcBorders>
              <w:top w:val="single" w:color="000000" w:sz="4" w:space="0"/>
              <w:left w:val="single" w:color="000000" w:sz="4" w:space="0"/>
              <w:bottom w:val="nil"/>
              <w:right w:val="single" w:color="000000" w:sz="4" w:space="0"/>
            </w:tcBorders>
            <w:shd w:val="clear" w:color="auto" w:fill="auto"/>
            <w:vAlign w:val="center"/>
          </w:tcPr>
          <w:p w14:paraId="46FA9E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质量指标</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0875CC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绿化面积维护率</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206CC0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1E46077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6F03C9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470BF5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574D53D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6696141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5BAE548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534E77DA">
            <w:pPr>
              <w:jc w:val="center"/>
              <w:rPr>
                <w:rFonts w:hint="eastAsia" w:ascii="宋体" w:hAnsi="宋体" w:eastAsia="宋体" w:cs="宋体"/>
                <w:i w:val="0"/>
                <w:iCs w:val="0"/>
                <w:color w:val="auto"/>
                <w:sz w:val="18"/>
                <w:szCs w:val="18"/>
                <w:u w:val="none"/>
              </w:rPr>
            </w:pPr>
          </w:p>
        </w:tc>
      </w:tr>
      <w:tr w14:paraId="0161C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622A34CB">
            <w:pPr>
              <w:jc w:val="center"/>
              <w:rPr>
                <w:rFonts w:hint="eastAsia" w:ascii="宋体" w:hAnsi="宋体" w:eastAsia="宋体" w:cs="宋体"/>
                <w:i w:val="0"/>
                <w:iCs w:val="0"/>
                <w:color w:val="auto"/>
                <w:sz w:val="18"/>
                <w:szCs w:val="18"/>
                <w:u w:val="none"/>
              </w:rPr>
            </w:pPr>
          </w:p>
        </w:tc>
        <w:tc>
          <w:tcPr>
            <w:tcW w:w="204" w:type="pct"/>
            <w:vMerge w:val="continue"/>
            <w:tcBorders>
              <w:top w:val="single" w:color="000000" w:sz="4" w:space="0"/>
              <w:left w:val="single" w:color="000000" w:sz="4" w:space="0"/>
              <w:bottom w:val="nil"/>
              <w:right w:val="single" w:color="000000" w:sz="4" w:space="0"/>
            </w:tcBorders>
            <w:shd w:val="clear" w:color="auto" w:fill="auto"/>
            <w:vAlign w:val="center"/>
          </w:tcPr>
          <w:p w14:paraId="426EF66E">
            <w:pPr>
              <w:jc w:val="center"/>
              <w:rPr>
                <w:rFonts w:hint="eastAsia" w:ascii="宋体" w:hAnsi="宋体" w:eastAsia="宋体" w:cs="宋体"/>
                <w:i w:val="0"/>
                <w:iCs w:val="0"/>
                <w:color w:val="auto"/>
                <w:sz w:val="18"/>
                <w:szCs w:val="18"/>
                <w:u w:val="none"/>
              </w:rPr>
            </w:pPr>
          </w:p>
        </w:tc>
        <w:tc>
          <w:tcPr>
            <w:tcW w:w="278" w:type="pct"/>
            <w:vMerge w:val="continue"/>
            <w:tcBorders>
              <w:top w:val="single" w:color="000000" w:sz="4" w:space="0"/>
              <w:left w:val="single" w:color="000000" w:sz="4" w:space="0"/>
              <w:bottom w:val="nil"/>
              <w:right w:val="single" w:color="000000" w:sz="4" w:space="0"/>
            </w:tcBorders>
            <w:shd w:val="clear" w:color="auto" w:fill="auto"/>
            <w:vAlign w:val="center"/>
          </w:tcPr>
          <w:p w14:paraId="1812927B">
            <w:pPr>
              <w:jc w:val="center"/>
              <w:rPr>
                <w:rFonts w:hint="eastAsia" w:ascii="宋体" w:hAnsi="宋体" w:eastAsia="宋体" w:cs="宋体"/>
                <w:i w:val="0"/>
                <w:iCs w:val="0"/>
                <w:color w:val="auto"/>
                <w:sz w:val="18"/>
                <w:szCs w:val="18"/>
                <w:u w:val="none"/>
              </w:rPr>
            </w:pPr>
          </w:p>
        </w:tc>
        <w:tc>
          <w:tcPr>
            <w:tcW w:w="242" w:type="pct"/>
            <w:tcBorders>
              <w:top w:val="single" w:color="000000" w:sz="4" w:space="0"/>
              <w:left w:val="single" w:color="000000" w:sz="4" w:space="0"/>
              <w:bottom w:val="nil"/>
              <w:right w:val="single" w:color="000000" w:sz="4" w:space="0"/>
            </w:tcBorders>
            <w:shd w:val="clear" w:color="auto" w:fill="auto"/>
            <w:vAlign w:val="center"/>
          </w:tcPr>
          <w:p w14:paraId="65ECCA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公共区域安保防控率</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06368F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144121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237D52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30C57C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12E93E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5C8E2A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6178CC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4060FC46">
            <w:pPr>
              <w:jc w:val="center"/>
              <w:rPr>
                <w:rFonts w:hint="eastAsia" w:ascii="宋体" w:hAnsi="宋体" w:eastAsia="宋体" w:cs="宋体"/>
                <w:i w:val="0"/>
                <w:iCs w:val="0"/>
                <w:color w:val="auto"/>
                <w:sz w:val="18"/>
                <w:szCs w:val="18"/>
                <w:u w:val="none"/>
              </w:rPr>
            </w:pPr>
          </w:p>
        </w:tc>
      </w:tr>
      <w:tr w14:paraId="6B174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1CAD2E91">
            <w:pPr>
              <w:jc w:val="center"/>
              <w:rPr>
                <w:rFonts w:hint="eastAsia" w:ascii="宋体" w:hAnsi="宋体" w:eastAsia="宋体" w:cs="宋体"/>
                <w:i w:val="0"/>
                <w:iCs w:val="0"/>
                <w:color w:val="auto"/>
                <w:sz w:val="18"/>
                <w:szCs w:val="18"/>
                <w:u w:val="none"/>
              </w:rPr>
            </w:pPr>
          </w:p>
        </w:tc>
        <w:tc>
          <w:tcPr>
            <w:tcW w:w="204" w:type="pct"/>
            <w:vMerge w:val="continue"/>
            <w:tcBorders>
              <w:top w:val="single" w:color="000000" w:sz="4" w:space="0"/>
              <w:left w:val="single" w:color="000000" w:sz="4" w:space="0"/>
              <w:bottom w:val="nil"/>
              <w:right w:val="single" w:color="000000" w:sz="4" w:space="0"/>
            </w:tcBorders>
            <w:shd w:val="clear" w:color="auto" w:fill="auto"/>
            <w:vAlign w:val="center"/>
          </w:tcPr>
          <w:p w14:paraId="3845EE32">
            <w:pPr>
              <w:jc w:val="center"/>
              <w:rPr>
                <w:rFonts w:hint="eastAsia" w:ascii="宋体" w:hAnsi="宋体" w:eastAsia="宋体" w:cs="宋体"/>
                <w:i w:val="0"/>
                <w:iCs w:val="0"/>
                <w:color w:val="auto"/>
                <w:sz w:val="18"/>
                <w:szCs w:val="18"/>
                <w:u w:val="none"/>
              </w:rPr>
            </w:pPr>
          </w:p>
        </w:tc>
        <w:tc>
          <w:tcPr>
            <w:tcW w:w="278" w:type="pct"/>
            <w:vMerge w:val="continue"/>
            <w:tcBorders>
              <w:top w:val="single" w:color="000000" w:sz="4" w:space="0"/>
              <w:left w:val="single" w:color="000000" w:sz="4" w:space="0"/>
              <w:bottom w:val="nil"/>
              <w:right w:val="single" w:color="000000" w:sz="4" w:space="0"/>
            </w:tcBorders>
            <w:shd w:val="clear" w:color="auto" w:fill="auto"/>
            <w:vAlign w:val="center"/>
          </w:tcPr>
          <w:p w14:paraId="03703AE4">
            <w:pPr>
              <w:jc w:val="center"/>
              <w:rPr>
                <w:rFonts w:hint="eastAsia" w:ascii="宋体" w:hAnsi="宋体" w:eastAsia="宋体" w:cs="宋体"/>
                <w:i w:val="0"/>
                <w:iCs w:val="0"/>
                <w:color w:val="auto"/>
                <w:sz w:val="18"/>
                <w:szCs w:val="18"/>
                <w:u w:val="none"/>
              </w:rPr>
            </w:pPr>
          </w:p>
        </w:tc>
        <w:tc>
          <w:tcPr>
            <w:tcW w:w="242" w:type="pct"/>
            <w:tcBorders>
              <w:top w:val="single" w:color="000000" w:sz="4" w:space="0"/>
              <w:left w:val="single" w:color="000000" w:sz="4" w:space="0"/>
              <w:bottom w:val="nil"/>
              <w:right w:val="single" w:color="000000" w:sz="4" w:space="0"/>
            </w:tcBorders>
            <w:shd w:val="clear" w:color="auto" w:fill="auto"/>
            <w:vAlign w:val="center"/>
          </w:tcPr>
          <w:p w14:paraId="74ADEB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公共基础设施及设备正常适用率</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77165D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598EDB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1FFF26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1748D4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7038838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76119D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36AE37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7F1E265C">
            <w:pPr>
              <w:jc w:val="center"/>
              <w:rPr>
                <w:rFonts w:hint="eastAsia" w:ascii="宋体" w:hAnsi="宋体" w:eastAsia="宋体" w:cs="宋体"/>
                <w:i w:val="0"/>
                <w:iCs w:val="0"/>
                <w:color w:val="auto"/>
                <w:sz w:val="18"/>
                <w:szCs w:val="18"/>
                <w:u w:val="none"/>
              </w:rPr>
            </w:pPr>
          </w:p>
        </w:tc>
      </w:tr>
      <w:tr w14:paraId="216A8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1153C316">
            <w:pPr>
              <w:jc w:val="center"/>
              <w:rPr>
                <w:rFonts w:hint="eastAsia" w:ascii="宋体" w:hAnsi="宋体" w:eastAsia="宋体" w:cs="宋体"/>
                <w:i w:val="0"/>
                <w:iCs w:val="0"/>
                <w:color w:val="auto"/>
                <w:sz w:val="18"/>
                <w:szCs w:val="18"/>
                <w:u w:val="none"/>
              </w:rPr>
            </w:pPr>
          </w:p>
        </w:tc>
        <w:tc>
          <w:tcPr>
            <w:tcW w:w="204" w:type="pct"/>
            <w:vMerge w:val="continue"/>
            <w:tcBorders>
              <w:top w:val="single" w:color="000000" w:sz="4" w:space="0"/>
              <w:left w:val="single" w:color="000000" w:sz="4" w:space="0"/>
              <w:bottom w:val="nil"/>
              <w:right w:val="single" w:color="000000" w:sz="4" w:space="0"/>
            </w:tcBorders>
            <w:shd w:val="clear" w:color="auto" w:fill="auto"/>
            <w:vAlign w:val="center"/>
          </w:tcPr>
          <w:p w14:paraId="1E659DC9">
            <w:pPr>
              <w:jc w:val="center"/>
              <w:rPr>
                <w:rFonts w:hint="eastAsia" w:ascii="宋体" w:hAnsi="宋体" w:eastAsia="宋体" w:cs="宋体"/>
                <w:i w:val="0"/>
                <w:iCs w:val="0"/>
                <w:color w:val="auto"/>
                <w:sz w:val="18"/>
                <w:szCs w:val="18"/>
                <w:u w:val="none"/>
              </w:rPr>
            </w:pPr>
          </w:p>
        </w:tc>
        <w:tc>
          <w:tcPr>
            <w:tcW w:w="278" w:type="pct"/>
            <w:vMerge w:val="continue"/>
            <w:tcBorders>
              <w:top w:val="single" w:color="000000" w:sz="4" w:space="0"/>
              <w:left w:val="single" w:color="000000" w:sz="4" w:space="0"/>
              <w:bottom w:val="nil"/>
              <w:right w:val="single" w:color="000000" w:sz="4" w:space="0"/>
            </w:tcBorders>
            <w:shd w:val="clear" w:color="auto" w:fill="auto"/>
            <w:vAlign w:val="center"/>
          </w:tcPr>
          <w:p w14:paraId="465C4B0F">
            <w:pPr>
              <w:jc w:val="center"/>
              <w:rPr>
                <w:rFonts w:hint="eastAsia" w:ascii="宋体" w:hAnsi="宋体" w:eastAsia="宋体" w:cs="宋体"/>
                <w:i w:val="0"/>
                <w:iCs w:val="0"/>
                <w:color w:val="auto"/>
                <w:sz w:val="18"/>
                <w:szCs w:val="18"/>
                <w:u w:val="none"/>
              </w:rPr>
            </w:pPr>
          </w:p>
        </w:tc>
        <w:tc>
          <w:tcPr>
            <w:tcW w:w="242" w:type="pct"/>
            <w:tcBorders>
              <w:top w:val="single" w:color="000000" w:sz="4" w:space="0"/>
              <w:left w:val="single" w:color="000000" w:sz="4" w:space="0"/>
              <w:bottom w:val="nil"/>
              <w:right w:val="single" w:color="000000" w:sz="4" w:space="0"/>
            </w:tcBorders>
            <w:shd w:val="clear" w:color="auto" w:fill="auto"/>
            <w:vAlign w:val="center"/>
          </w:tcPr>
          <w:p w14:paraId="58B8DB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公共区域保洁率</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48BBAD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6D970D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424AF8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65B76C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6CA4E4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30C467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1A08EA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61673F3A">
            <w:pPr>
              <w:jc w:val="center"/>
              <w:rPr>
                <w:rFonts w:hint="eastAsia" w:ascii="宋体" w:hAnsi="宋体" w:eastAsia="宋体" w:cs="宋体"/>
                <w:i w:val="0"/>
                <w:iCs w:val="0"/>
                <w:color w:val="auto"/>
                <w:sz w:val="18"/>
                <w:szCs w:val="18"/>
                <w:u w:val="none"/>
              </w:rPr>
            </w:pPr>
          </w:p>
        </w:tc>
      </w:tr>
      <w:tr w14:paraId="6D427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5C1EE2A2">
            <w:pPr>
              <w:jc w:val="center"/>
              <w:rPr>
                <w:rFonts w:hint="eastAsia" w:ascii="宋体" w:hAnsi="宋体" w:eastAsia="宋体" w:cs="宋体"/>
                <w:i w:val="0"/>
                <w:iCs w:val="0"/>
                <w:color w:val="auto"/>
                <w:sz w:val="18"/>
                <w:szCs w:val="18"/>
                <w:u w:val="none"/>
              </w:rPr>
            </w:pPr>
          </w:p>
        </w:tc>
        <w:tc>
          <w:tcPr>
            <w:tcW w:w="204" w:type="pct"/>
            <w:vMerge w:val="continue"/>
            <w:tcBorders>
              <w:top w:val="single" w:color="000000" w:sz="4" w:space="0"/>
              <w:left w:val="single" w:color="000000" w:sz="4" w:space="0"/>
              <w:bottom w:val="nil"/>
              <w:right w:val="single" w:color="000000" w:sz="4" w:space="0"/>
            </w:tcBorders>
            <w:shd w:val="clear" w:color="auto" w:fill="auto"/>
            <w:vAlign w:val="center"/>
          </w:tcPr>
          <w:p w14:paraId="39658889">
            <w:pPr>
              <w:jc w:val="center"/>
              <w:rPr>
                <w:rFonts w:hint="eastAsia" w:ascii="宋体" w:hAnsi="宋体" w:eastAsia="宋体" w:cs="宋体"/>
                <w:i w:val="0"/>
                <w:iCs w:val="0"/>
                <w:color w:val="auto"/>
                <w:sz w:val="18"/>
                <w:szCs w:val="18"/>
                <w:u w:val="none"/>
              </w:rPr>
            </w:pPr>
          </w:p>
        </w:tc>
        <w:tc>
          <w:tcPr>
            <w:tcW w:w="278" w:type="pct"/>
            <w:vMerge w:val="restart"/>
            <w:tcBorders>
              <w:top w:val="single" w:color="000000" w:sz="4" w:space="0"/>
              <w:left w:val="single" w:color="000000" w:sz="4" w:space="0"/>
              <w:bottom w:val="nil"/>
              <w:right w:val="single" w:color="000000" w:sz="4" w:space="0"/>
            </w:tcBorders>
            <w:shd w:val="clear" w:color="auto" w:fill="auto"/>
            <w:vAlign w:val="center"/>
          </w:tcPr>
          <w:p w14:paraId="54DC854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时效指标</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11F5F1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公共基础设施及设备报修平均响应时间</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221C8D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7A3CA5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1B18DF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14B425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53A2FA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小时</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28D084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61B49F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290AC649">
            <w:pPr>
              <w:jc w:val="center"/>
              <w:rPr>
                <w:rFonts w:hint="eastAsia" w:ascii="宋体" w:hAnsi="宋体" w:eastAsia="宋体" w:cs="宋体"/>
                <w:i w:val="0"/>
                <w:iCs w:val="0"/>
                <w:color w:val="auto"/>
                <w:sz w:val="18"/>
                <w:szCs w:val="18"/>
                <w:u w:val="none"/>
              </w:rPr>
            </w:pPr>
          </w:p>
        </w:tc>
      </w:tr>
      <w:tr w14:paraId="21888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6D56833B">
            <w:pPr>
              <w:jc w:val="center"/>
              <w:rPr>
                <w:rFonts w:hint="eastAsia" w:ascii="宋体" w:hAnsi="宋体" w:eastAsia="宋体" w:cs="宋体"/>
                <w:i w:val="0"/>
                <w:iCs w:val="0"/>
                <w:color w:val="auto"/>
                <w:sz w:val="18"/>
                <w:szCs w:val="18"/>
                <w:u w:val="none"/>
              </w:rPr>
            </w:pPr>
          </w:p>
        </w:tc>
        <w:tc>
          <w:tcPr>
            <w:tcW w:w="204" w:type="pct"/>
            <w:vMerge w:val="continue"/>
            <w:tcBorders>
              <w:top w:val="single" w:color="000000" w:sz="4" w:space="0"/>
              <w:left w:val="single" w:color="000000" w:sz="4" w:space="0"/>
              <w:bottom w:val="nil"/>
              <w:right w:val="single" w:color="000000" w:sz="4" w:space="0"/>
            </w:tcBorders>
            <w:shd w:val="clear" w:color="auto" w:fill="auto"/>
            <w:vAlign w:val="center"/>
          </w:tcPr>
          <w:p w14:paraId="0D59F1A7">
            <w:pPr>
              <w:jc w:val="center"/>
              <w:rPr>
                <w:rFonts w:hint="eastAsia" w:ascii="宋体" w:hAnsi="宋体" w:eastAsia="宋体" w:cs="宋体"/>
                <w:i w:val="0"/>
                <w:iCs w:val="0"/>
                <w:color w:val="auto"/>
                <w:sz w:val="18"/>
                <w:szCs w:val="18"/>
                <w:u w:val="none"/>
              </w:rPr>
            </w:pPr>
          </w:p>
        </w:tc>
        <w:tc>
          <w:tcPr>
            <w:tcW w:w="278" w:type="pct"/>
            <w:vMerge w:val="continue"/>
            <w:tcBorders>
              <w:top w:val="single" w:color="000000" w:sz="4" w:space="0"/>
              <w:left w:val="single" w:color="000000" w:sz="4" w:space="0"/>
              <w:bottom w:val="nil"/>
              <w:right w:val="single" w:color="000000" w:sz="4" w:space="0"/>
            </w:tcBorders>
            <w:shd w:val="clear" w:color="auto" w:fill="auto"/>
            <w:vAlign w:val="center"/>
          </w:tcPr>
          <w:p w14:paraId="7717B949">
            <w:pPr>
              <w:jc w:val="center"/>
              <w:rPr>
                <w:rFonts w:hint="eastAsia" w:ascii="宋体" w:hAnsi="宋体" w:eastAsia="宋体" w:cs="宋体"/>
                <w:i w:val="0"/>
                <w:iCs w:val="0"/>
                <w:color w:val="auto"/>
                <w:sz w:val="18"/>
                <w:szCs w:val="18"/>
                <w:u w:val="none"/>
              </w:rPr>
            </w:pPr>
          </w:p>
        </w:tc>
        <w:tc>
          <w:tcPr>
            <w:tcW w:w="242" w:type="pct"/>
            <w:tcBorders>
              <w:top w:val="single" w:color="000000" w:sz="4" w:space="0"/>
              <w:left w:val="single" w:color="000000" w:sz="4" w:space="0"/>
              <w:bottom w:val="nil"/>
              <w:right w:val="single" w:color="000000" w:sz="4" w:space="0"/>
            </w:tcBorders>
            <w:shd w:val="clear" w:color="auto" w:fill="auto"/>
            <w:vAlign w:val="center"/>
          </w:tcPr>
          <w:p w14:paraId="59284F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每日安保时长</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1858F1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6F17F1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244CEA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058CBB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69CAEA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小时</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5AF2DEF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4F7EC2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134F6F9B">
            <w:pPr>
              <w:jc w:val="center"/>
              <w:rPr>
                <w:rFonts w:hint="eastAsia" w:ascii="宋体" w:hAnsi="宋体" w:eastAsia="宋体" w:cs="宋体"/>
                <w:i w:val="0"/>
                <w:iCs w:val="0"/>
                <w:color w:val="auto"/>
                <w:sz w:val="18"/>
                <w:szCs w:val="18"/>
                <w:u w:val="none"/>
              </w:rPr>
            </w:pPr>
          </w:p>
        </w:tc>
      </w:tr>
      <w:tr w14:paraId="1E726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1AB1293C">
            <w:pPr>
              <w:jc w:val="center"/>
              <w:rPr>
                <w:rFonts w:hint="eastAsia" w:ascii="宋体" w:hAnsi="宋体" w:eastAsia="宋体" w:cs="宋体"/>
                <w:i w:val="0"/>
                <w:iCs w:val="0"/>
                <w:color w:val="auto"/>
                <w:sz w:val="18"/>
                <w:szCs w:val="18"/>
                <w:u w:val="none"/>
              </w:rPr>
            </w:pPr>
          </w:p>
        </w:tc>
        <w:tc>
          <w:tcPr>
            <w:tcW w:w="204" w:type="pct"/>
            <w:vMerge w:val="continue"/>
            <w:tcBorders>
              <w:top w:val="single" w:color="000000" w:sz="4" w:space="0"/>
              <w:left w:val="single" w:color="000000" w:sz="4" w:space="0"/>
              <w:bottom w:val="nil"/>
              <w:right w:val="single" w:color="000000" w:sz="4" w:space="0"/>
            </w:tcBorders>
            <w:shd w:val="clear" w:color="auto" w:fill="auto"/>
            <w:vAlign w:val="center"/>
          </w:tcPr>
          <w:p w14:paraId="46A6D551">
            <w:pPr>
              <w:jc w:val="center"/>
              <w:rPr>
                <w:rFonts w:hint="eastAsia" w:ascii="宋体" w:hAnsi="宋体" w:eastAsia="宋体" w:cs="宋体"/>
                <w:i w:val="0"/>
                <w:iCs w:val="0"/>
                <w:color w:val="auto"/>
                <w:sz w:val="18"/>
                <w:szCs w:val="18"/>
                <w:u w:val="none"/>
              </w:rPr>
            </w:pPr>
          </w:p>
        </w:tc>
        <w:tc>
          <w:tcPr>
            <w:tcW w:w="278" w:type="pct"/>
            <w:vMerge w:val="restart"/>
            <w:tcBorders>
              <w:top w:val="single" w:color="000000" w:sz="4" w:space="0"/>
              <w:left w:val="single" w:color="000000" w:sz="4" w:space="0"/>
              <w:bottom w:val="nil"/>
              <w:right w:val="single" w:color="000000" w:sz="4" w:space="0"/>
            </w:tcBorders>
            <w:shd w:val="clear" w:color="auto" w:fill="auto"/>
            <w:vAlign w:val="center"/>
          </w:tcPr>
          <w:p w14:paraId="0DD9A4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成本指标</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249A8D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物业费平均成本</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126709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676C20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7AB797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54C4F8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39.94</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7B579A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元/平米</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5621B2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564E8A2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7FF5C490">
            <w:pPr>
              <w:jc w:val="center"/>
              <w:rPr>
                <w:rFonts w:hint="eastAsia" w:ascii="宋体" w:hAnsi="宋体" w:eastAsia="宋体" w:cs="宋体"/>
                <w:i w:val="0"/>
                <w:iCs w:val="0"/>
                <w:color w:val="auto"/>
                <w:sz w:val="18"/>
                <w:szCs w:val="18"/>
                <w:u w:val="none"/>
              </w:rPr>
            </w:pPr>
          </w:p>
        </w:tc>
      </w:tr>
      <w:tr w14:paraId="2EC24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539CA798">
            <w:pPr>
              <w:jc w:val="center"/>
              <w:rPr>
                <w:rFonts w:hint="eastAsia" w:ascii="宋体" w:hAnsi="宋体" w:eastAsia="宋体" w:cs="宋体"/>
                <w:i w:val="0"/>
                <w:iCs w:val="0"/>
                <w:color w:val="auto"/>
                <w:sz w:val="18"/>
                <w:szCs w:val="18"/>
                <w:u w:val="none"/>
              </w:rPr>
            </w:pPr>
          </w:p>
        </w:tc>
        <w:tc>
          <w:tcPr>
            <w:tcW w:w="204" w:type="pct"/>
            <w:vMerge w:val="continue"/>
            <w:tcBorders>
              <w:top w:val="single" w:color="000000" w:sz="4" w:space="0"/>
              <w:left w:val="single" w:color="000000" w:sz="4" w:space="0"/>
              <w:bottom w:val="nil"/>
              <w:right w:val="single" w:color="000000" w:sz="4" w:space="0"/>
            </w:tcBorders>
            <w:shd w:val="clear" w:color="auto" w:fill="auto"/>
            <w:vAlign w:val="center"/>
          </w:tcPr>
          <w:p w14:paraId="577440D1">
            <w:pPr>
              <w:jc w:val="center"/>
              <w:rPr>
                <w:rFonts w:hint="eastAsia" w:ascii="宋体" w:hAnsi="宋体" w:eastAsia="宋体" w:cs="宋体"/>
                <w:i w:val="0"/>
                <w:iCs w:val="0"/>
                <w:color w:val="auto"/>
                <w:sz w:val="18"/>
                <w:szCs w:val="18"/>
                <w:u w:val="none"/>
              </w:rPr>
            </w:pPr>
          </w:p>
        </w:tc>
        <w:tc>
          <w:tcPr>
            <w:tcW w:w="278" w:type="pct"/>
            <w:vMerge w:val="continue"/>
            <w:tcBorders>
              <w:top w:val="single" w:color="000000" w:sz="4" w:space="0"/>
              <w:left w:val="single" w:color="000000" w:sz="4" w:space="0"/>
              <w:bottom w:val="nil"/>
              <w:right w:val="single" w:color="000000" w:sz="4" w:space="0"/>
            </w:tcBorders>
            <w:shd w:val="clear" w:color="auto" w:fill="auto"/>
            <w:vAlign w:val="center"/>
          </w:tcPr>
          <w:p w14:paraId="0B2EEB48">
            <w:pPr>
              <w:jc w:val="center"/>
              <w:rPr>
                <w:rFonts w:hint="eastAsia" w:ascii="宋体" w:hAnsi="宋体" w:eastAsia="宋体" w:cs="宋体"/>
                <w:i w:val="0"/>
                <w:iCs w:val="0"/>
                <w:color w:val="auto"/>
                <w:sz w:val="18"/>
                <w:szCs w:val="18"/>
                <w:u w:val="none"/>
              </w:rPr>
            </w:pPr>
          </w:p>
        </w:tc>
        <w:tc>
          <w:tcPr>
            <w:tcW w:w="242" w:type="pct"/>
            <w:tcBorders>
              <w:top w:val="single" w:color="000000" w:sz="4" w:space="0"/>
              <w:left w:val="single" w:color="000000" w:sz="4" w:space="0"/>
              <w:bottom w:val="nil"/>
              <w:right w:val="single" w:color="000000" w:sz="4" w:space="0"/>
            </w:tcBorders>
            <w:shd w:val="clear" w:color="auto" w:fill="auto"/>
            <w:vAlign w:val="center"/>
          </w:tcPr>
          <w:p w14:paraId="15546C9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保洁及保安平均工资</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705F31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0B7B1F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4984A9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3000</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01FDEDC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3000</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5FEE1A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元/月</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47B255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2B2286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2C997061">
            <w:pPr>
              <w:jc w:val="center"/>
              <w:rPr>
                <w:rFonts w:hint="eastAsia" w:ascii="宋体" w:hAnsi="宋体" w:eastAsia="宋体" w:cs="宋体"/>
                <w:i w:val="0"/>
                <w:iCs w:val="0"/>
                <w:color w:val="auto"/>
                <w:sz w:val="18"/>
                <w:szCs w:val="18"/>
                <w:u w:val="none"/>
              </w:rPr>
            </w:pPr>
          </w:p>
        </w:tc>
      </w:tr>
      <w:tr w14:paraId="0551A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6EE5A28F">
            <w:pPr>
              <w:jc w:val="center"/>
              <w:rPr>
                <w:rFonts w:hint="eastAsia" w:ascii="宋体" w:hAnsi="宋体" w:eastAsia="宋体" w:cs="宋体"/>
                <w:i w:val="0"/>
                <w:iCs w:val="0"/>
                <w:color w:val="auto"/>
                <w:sz w:val="18"/>
                <w:szCs w:val="18"/>
                <w:u w:val="none"/>
              </w:rPr>
            </w:pPr>
          </w:p>
        </w:tc>
        <w:tc>
          <w:tcPr>
            <w:tcW w:w="204" w:type="pct"/>
            <w:vMerge w:val="restart"/>
            <w:tcBorders>
              <w:top w:val="single" w:color="000000" w:sz="4" w:space="0"/>
              <w:left w:val="single" w:color="000000" w:sz="4" w:space="0"/>
              <w:bottom w:val="nil"/>
              <w:right w:val="single" w:color="000000" w:sz="4" w:space="0"/>
            </w:tcBorders>
            <w:shd w:val="clear" w:color="auto" w:fill="auto"/>
            <w:vAlign w:val="center"/>
          </w:tcPr>
          <w:p w14:paraId="01CB43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效益指标</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06F1035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社会效益</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7CEA20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有效保障特种设备检验研究事业发展</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57D993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定性</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38ADC08C">
            <w:pPr>
              <w:jc w:val="center"/>
              <w:rPr>
                <w:rFonts w:hint="eastAsia" w:ascii="宋体" w:hAnsi="宋体" w:eastAsia="宋体" w:cs="宋体"/>
                <w:i w:val="0"/>
                <w:iCs w:val="0"/>
                <w:color w:val="auto"/>
                <w:sz w:val="18"/>
                <w:szCs w:val="18"/>
                <w:u w:val="none"/>
              </w:rPr>
            </w:pP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041514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0594AB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5E9D9FB5">
            <w:pPr>
              <w:jc w:val="center"/>
              <w:rPr>
                <w:rFonts w:hint="eastAsia" w:ascii="宋体" w:hAnsi="宋体" w:eastAsia="宋体" w:cs="宋体"/>
                <w:i w:val="0"/>
                <w:iCs w:val="0"/>
                <w:color w:val="auto"/>
                <w:sz w:val="18"/>
                <w:szCs w:val="18"/>
                <w:u w:val="none"/>
              </w:rPr>
            </w:pPr>
          </w:p>
        </w:tc>
        <w:tc>
          <w:tcPr>
            <w:tcW w:w="242" w:type="pct"/>
            <w:tcBorders>
              <w:top w:val="single" w:color="000000" w:sz="4" w:space="0"/>
              <w:left w:val="single" w:color="000000" w:sz="4" w:space="0"/>
              <w:bottom w:val="nil"/>
              <w:right w:val="single" w:color="000000" w:sz="4" w:space="0"/>
            </w:tcBorders>
            <w:shd w:val="clear" w:color="auto" w:fill="auto"/>
            <w:vAlign w:val="center"/>
          </w:tcPr>
          <w:p w14:paraId="0C4B0C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6A5221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4EBE4272">
            <w:pPr>
              <w:jc w:val="center"/>
              <w:rPr>
                <w:rFonts w:hint="eastAsia" w:ascii="宋体" w:hAnsi="宋体" w:eastAsia="宋体" w:cs="宋体"/>
                <w:i w:val="0"/>
                <w:iCs w:val="0"/>
                <w:color w:val="auto"/>
                <w:sz w:val="18"/>
                <w:szCs w:val="18"/>
                <w:u w:val="none"/>
              </w:rPr>
            </w:pPr>
          </w:p>
        </w:tc>
      </w:tr>
      <w:tr w14:paraId="7DBCE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1C458118">
            <w:pPr>
              <w:jc w:val="center"/>
              <w:rPr>
                <w:rFonts w:hint="eastAsia" w:ascii="宋体" w:hAnsi="宋体" w:eastAsia="宋体" w:cs="宋体"/>
                <w:i w:val="0"/>
                <w:iCs w:val="0"/>
                <w:color w:val="auto"/>
                <w:sz w:val="18"/>
                <w:szCs w:val="18"/>
                <w:u w:val="none"/>
              </w:rPr>
            </w:pPr>
          </w:p>
        </w:tc>
        <w:tc>
          <w:tcPr>
            <w:tcW w:w="204" w:type="pct"/>
            <w:vMerge w:val="continue"/>
            <w:tcBorders>
              <w:top w:val="single" w:color="000000" w:sz="4" w:space="0"/>
              <w:left w:val="single" w:color="000000" w:sz="4" w:space="0"/>
              <w:bottom w:val="nil"/>
              <w:right w:val="single" w:color="000000" w:sz="4" w:space="0"/>
            </w:tcBorders>
            <w:shd w:val="clear" w:color="auto" w:fill="auto"/>
            <w:vAlign w:val="center"/>
          </w:tcPr>
          <w:p w14:paraId="146D6408">
            <w:pPr>
              <w:jc w:val="center"/>
              <w:rPr>
                <w:rFonts w:hint="eastAsia" w:ascii="宋体" w:hAnsi="宋体" w:eastAsia="宋体" w:cs="宋体"/>
                <w:i w:val="0"/>
                <w:iCs w:val="0"/>
                <w:color w:val="auto"/>
                <w:sz w:val="18"/>
                <w:szCs w:val="18"/>
                <w:u w:val="none"/>
              </w:rPr>
            </w:pPr>
          </w:p>
        </w:tc>
        <w:tc>
          <w:tcPr>
            <w:tcW w:w="278" w:type="pct"/>
            <w:tcBorders>
              <w:top w:val="single" w:color="000000" w:sz="4" w:space="0"/>
              <w:left w:val="single" w:color="000000" w:sz="4" w:space="0"/>
              <w:bottom w:val="nil"/>
              <w:right w:val="single" w:color="000000" w:sz="4" w:space="0"/>
            </w:tcBorders>
            <w:shd w:val="clear" w:color="auto" w:fill="auto"/>
            <w:vAlign w:val="center"/>
          </w:tcPr>
          <w:p w14:paraId="0D1707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可持续影响</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1AD0BD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切实保障本单位各项工作开展</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278F5C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定性</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7353A8BD">
            <w:pPr>
              <w:jc w:val="center"/>
              <w:rPr>
                <w:rFonts w:hint="eastAsia" w:ascii="宋体" w:hAnsi="宋体" w:eastAsia="宋体" w:cs="宋体"/>
                <w:i w:val="0"/>
                <w:iCs w:val="0"/>
                <w:color w:val="auto"/>
                <w:sz w:val="18"/>
                <w:szCs w:val="18"/>
                <w:u w:val="none"/>
              </w:rPr>
            </w:pP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1B6A7D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24CE04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3EB14F4D">
            <w:pPr>
              <w:jc w:val="center"/>
              <w:rPr>
                <w:rFonts w:hint="eastAsia" w:ascii="宋体" w:hAnsi="宋体" w:eastAsia="宋体" w:cs="宋体"/>
                <w:i w:val="0"/>
                <w:iCs w:val="0"/>
                <w:color w:val="auto"/>
                <w:sz w:val="18"/>
                <w:szCs w:val="18"/>
                <w:u w:val="none"/>
              </w:rPr>
            </w:pPr>
          </w:p>
        </w:tc>
        <w:tc>
          <w:tcPr>
            <w:tcW w:w="242" w:type="pct"/>
            <w:tcBorders>
              <w:top w:val="single" w:color="000000" w:sz="4" w:space="0"/>
              <w:left w:val="single" w:color="000000" w:sz="4" w:space="0"/>
              <w:bottom w:val="nil"/>
              <w:right w:val="single" w:color="000000" w:sz="4" w:space="0"/>
            </w:tcBorders>
            <w:shd w:val="clear" w:color="auto" w:fill="auto"/>
            <w:vAlign w:val="center"/>
          </w:tcPr>
          <w:p w14:paraId="58E78B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117850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38AFBD49">
            <w:pPr>
              <w:jc w:val="center"/>
              <w:rPr>
                <w:rFonts w:hint="eastAsia" w:ascii="宋体" w:hAnsi="宋体" w:eastAsia="宋体" w:cs="宋体"/>
                <w:i w:val="0"/>
                <w:iCs w:val="0"/>
                <w:color w:val="auto"/>
                <w:sz w:val="18"/>
                <w:szCs w:val="18"/>
                <w:u w:val="none"/>
              </w:rPr>
            </w:pPr>
          </w:p>
        </w:tc>
      </w:tr>
      <w:tr w14:paraId="400B8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5" w:type="pct"/>
            <w:vMerge w:val="continue"/>
            <w:tcBorders>
              <w:top w:val="single" w:color="000000" w:sz="4" w:space="0"/>
              <w:left w:val="single" w:color="000000" w:sz="4" w:space="0"/>
              <w:bottom w:val="nil"/>
              <w:right w:val="single" w:color="000000" w:sz="4" w:space="0"/>
            </w:tcBorders>
            <w:shd w:val="clear" w:color="auto" w:fill="auto"/>
            <w:vAlign w:val="center"/>
          </w:tcPr>
          <w:p w14:paraId="265E5A40">
            <w:pPr>
              <w:jc w:val="center"/>
              <w:rPr>
                <w:rFonts w:hint="eastAsia" w:ascii="宋体" w:hAnsi="宋体" w:eastAsia="宋体" w:cs="宋体"/>
                <w:i w:val="0"/>
                <w:iCs w:val="0"/>
                <w:color w:val="auto"/>
                <w:sz w:val="18"/>
                <w:szCs w:val="18"/>
                <w:u w:val="none"/>
              </w:rPr>
            </w:pPr>
          </w:p>
        </w:tc>
        <w:tc>
          <w:tcPr>
            <w:tcW w:w="204" w:type="pct"/>
            <w:tcBorders>
              <w:top w:val="single" w:color="000000" w:sz="4" w:space="0"/>
              <w:left w:val="single" w:color="000000" w:sz="4" w:space="0"/>
              <w:bottom w:val="nil"/>
              <w:right w:val="single" w:color="000000" w:sz="4" w:space="0"/>
            </w:tcBorders>
            <w:shd w:val="clear" w:color="auto" w:fill="auto"/>
            <w:vAlign w:val="center"/>
          </w:tcPr>
          <w:p w14:paraId="1FBAA4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满意度指标</w:t>
            </w:r>
          </w:p>
        </w:tc>
        <w:tc>
          <w:tcPr>
            <w:tcW w:w="278" w:type="pct"/>
            <w:tcBorders>
              <w:top w:val="single" w:color="000000" w:sz="4" w:space="0"/>
              <w:left w:val="single" w:color="000000" w:sz="4" w:space="0"/>
              <w:bottom w:val="nil"/>
              <w:right w:val="single" w:color="000000" w:sz="4" w:space="0"/>
            </w:tcBorders>
            <w:shd w:val="clear" w:color="auto" w:fill="auto"/>
            <w:vAlign w:val="center"/>
          </w:tcPr>
          <w:p w14:paraId="26A4906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服务对象满意度</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0B3F1A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单位职工对物业服务满意度</w:t>
            </w:r>
          </w:p>
        </w:tc>
        <w:tc>
          <w:tcPr>
            <w:tcW w:w="243" w:type="pct"/>
            <w:tcBorders>
              <w:top w:val="single" w:color="000000" w:sz="4" w:space="0"/>
              <w:left w:val="single" w:color="000000" w:sz="4" w:space="0"/>
              <w:bottom w:val="nil"/>
              <w:right w:val="single" w:color="000000" w:sz="4" w:space="0"/>
            </w:tcBorders>
            <w:shd w:val="clear" w:color="auto" w:fill="auto"/>
            <w:vAlign w:val="center"/>
          </w:tcPr>
          <w:p w14:paraId="61FD26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204" w:type="pct"/>
            <w:tcBorders>
              <w:top w:val="single" w:color="000000" w:sz="4" w:space="0"/>
              <w:left w:val="single" w:color="000000" w:sz="4" w:space="0"/>
              <w:bottom w:val="nil"/>
              <w:right w:val="single" w:color="000000" w:sz="4" w:space="0"/>
            </w:tcBorders>
            <w:shd w:val="clear" w:color="auto" w:fill="auto"/>
            <w:vAlign w:val="center"/>
          </w:tcPr>
          <w:p w14:paraId="3C6847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9" w:type="pct"/>
            <w:gridSpan w:val="2"/>
            <w:tcBorders>
              <w:top w:val="single" w:color="000000" w:sz="4" w:space="0"/>
              <w:left w:val="single" w:color="000000" w:sz="4" w:space="0"/>
              <w:bottom w:val="nil"/>
              <w:right w:val="single" w:color="000000" w:sz="4" w:space="0"/>
            </w:tcBorders>
            <w:shd w:val="clear" w:color="auto" w:fill="auto"/>
            <w:vAlign w:val="center"/>
          </w:tcPr>
          <w:p w14:paraId="735F1F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55" w:type="pct"/>
            <w:gridSpan w:val="2"/>
            <w:tcBorders>
              <w:top w:val="single" w:color="000000" w:sz="4" w:space="0"/>
              <w:left w:val="single" w:color="000000" w:sz="4" w:space="0"/>
              <w:bottom w:val="nil"/>
              <w:right w:val="single" w:color="000000" w:sz="4" w:space="0"/>
            </w:tcBorders>
            <w:shd w:val="clear" w:color="auto" w:fill="auto"/>
            <w:vAlign w:val="center"/>
          </w:tcPr>
          <w:p w14:paraId="0DC419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204" w:type="pct"/>
            <w:gridSpan w:val="2"/>
            <w:tcBorders>
              <w:top w:val="single" w:color="000000" w:sz="4" w:space="0"/>
              <w:left w:val="single" w:color="000000" w:sz="4" w:space="0"/>
              <w:bottom w:val="nil"/>
              <w:right w:val="single" w:color="000000" w:sz="4" w:space="0"/>
            </w:tcBorders>
            <w:shd w:val="clear" w:color="auto" w:fill="auto"/>
            <w:vAlign w:val="center"/>
          </w:tcPr>
          <w:p w14:paraId="62410C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242" w:type="pct"/>
            <w:tcBorders>
              <w:top w:val="single" w:color="000000" w:sz="4" w:space="0"/>
              <w:left w:val="single" w:color="000000" w:sz="4" w:space="0"/>
              <w:bottom w:val="nil"/>
              <w:right w:val="single" w:color="000000" w:sz="4" w:space="0"/>
            </w:tcBorders>
            <w:shd w:val="clear" w:color="auto" w:fill="auto"/>
            <w:vAlign w:val="center"/>
          </w:tcPr>
          <w:p w14:paraId="21926C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280" w:type="pct"/>
            <w:tcBorders>
              <w:top w:val="single" w:color="000000" w:sz="4" w:space="0"/>
              <w:left w:val="single" w:color="000000" w:sz="4" w:space="0"/>
              <w:bottom w:val="nil"/>
              <w:right w:val="single" w:color="000000" w:sz="4" w:space="0"/>
            </w:tcBorders>
            <w:shd w:val="clear" w:color="auto" w:fill="auto"/>
            <w:vAlign w:val="center"/>
          </w:tcPr>
          <w:p w14:paraId="525823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2007" w:type="pct"/>
            <w:gridSpan w:val="2"/>
            <w:tcBorders>
              <w:top w:val="single" w:color="000000" w:sz="4" w:space="0"/>
              <w:left w:val="single" w:color="000000" w:sz="4" w:space="0"/>
              <w:bottom w:val="nil"/>
              <w:right w:val="single" w:color="000000" w:sz="4" w:space="0"/>
            </w:tcBorders>
            <w:shd w:val="clear" w:color="auto" w:fill="auto"/>
            <w:vAlign w:val="center"/>
          </w:tcPr>
          <w:p w14:paraId="46B61897">
            <w:pPr>
              <w:jc w:val="center"/>
              <w:rPr>
                <w:rFonts w:hint="eastAsia" w:ascii="宋体" w:hAnsi="宋体" w:eastAsia="宋体" w:cs="宋体"/>
                <w:i w:val="0"/>
                <w:iCs w:val="0"/>
                <w:color w:val="auto"/>
                <w:sz w:val="18"/>
                <w:szCs w:val="18"/>
                <w:u w:val="none"/>
              </w:rPr>
            </w:pPr>
          </w:p>
        </w:tc>
      </w:tr>
      <w:tr w14:paraId="44036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93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B3BB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总分</w:t>
            </w:r>
          </w:p>
        </w:tc>
        <w:tc>
          <w:tcPr>
            <w:tcW w:w="105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FA24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924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99.55</w:t>
            </w:r>
          </w:p>
        </w:tc>
        <w:tc>
          <w:tcPr>
            <w:tcW w:w="1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76918">
            <w:pPr>
              <w:jc w:val="center"/>
              <w:rPr>
                <w:rFonts w:hint="eastAsia" w:ascii="宋体" w:hAnsi="宋体" w:eastAsia="宋体" w:cs="宋体"/>
                <w:i w:val="0"/>
                <w:iCs w:val="0"/>
                <w:color w:val="auto"/>
                <w:sz w:val="18"/>
                <w:szCs w:val="18"/>
                <w:u w:val="none"/>
              </w:rPr>
            </w:pPr>
          </w:p>
        </w:tc>
      </w:tr>
    </w:tbl>
    <w:p w14:paraId="0636BF92">
      <w:pPr>
        <w:pStyle w:val="28"/>
        <w:widowControl/>
        <w:spacing w:before="240" w:after="240" w:line="560" w:lineRule="atLeast"/>
        <w:ind w:firstLine="640"/>
        <w:jc w:val="left"/>
        <w:rPr>
          <w:rFonts w:eastAsia="Times New Roman"/>
          <w:color w:val="auto"/>
          <w:kern w:val="0"/>
          <w:sz w:val="32"/>
          <w:szCs w:val="32"/>
          <w:u w:val="none"/>
          <w:lang w:eastAsia="en-US"/>
        </w:rPr>
      </w:pPr>
      <w:r>
        <w:rPr>
          <w:rFonts w:hint="eastAsia" w:ascii="FangSong_GB2312" w:hAnsi="FangSong_GB2312" w:eastAsia="FangSong_GB2312" w:cs="FangSong_GB2312"/>
          <w:color w:val="auto"/>
          <w:kern w:val="0"/>
          <w:sz w:val="32"/>
          <w:szCs w:val="32"/>
          <w:u w:val="none"/>
          <w:lang w:val="en-US" w:eastAsia="zh-CN"/>
        </w:rPr>
        <w:t>3</w:t>
      </w:r>
      <w:r>
        <w:rPr>
          <w:rFonts w:ascii="FangSong_GB2312" w:hAnsi="FangSong_GB2312" w:eastAsia="FangSong_GB2312" w:cs="FangSong_GB2312"/>
          <w:color w:val="auto"/>
          <w:kern w:val="0"/>
          <w:sz w:val="32"/>
          <w:szCs w:val="32"/>
          <w:u w:val="none"/>
          <w:lang w:eastAsia="en-US"/>
        </w:rPr>
        <w:t>.</w:t>
      </w:r>
      <w:r>
        <w:rPr>
          <w:rFonts w:hint="eastAsia" w:ascii="FangSong_GB2312" w:hAnsi="FangSong_GB2312" w:eastAsia="FangSong_GB2312" w:cs="FangSong_GB2312"/>
          <w:color w:val="auto"/>
          <w:kern w:val="0"/>
          <w:sz w:val="32"/>
          <w:szCs w:val="32"/>
          <w:u w:val="none"/>
          <w:lang w:val="en-US" w:eastAsia="zh-CN" w:bidi="ar-SA"/>
        </w:rPr>
        <w:t>事业发展经费支出项目自评综述：根据年初设定的绩效目标，项目自评得分97.04分。全年预算数为277万元，执行数为250.44万元，完成预算的72.95%。项目绩效目标完成情况：保障取暖面积大于等于9988.28平方米，保障正常办公人员数量大于等于160人，保障正常用水用电面积40656.68平方米，保障通讯专线数量大于等于3条，单位整体停水停电率小于等于1，电话机正常使用率大于等于95%，通讯专线正常使用率大于等于95%，电话及通讯专项故障排除平均时间小于等于1日，保障供暖时长6个月，水费成本11.1万元，电费成本28.98万元，办公费成本76.33万元，邮电费成本16.02万元，取暖费成本118万元，有效保障特种设备检验研究事业发展稳步提高，切实保障本单位各项工作开展稳步提高，单位职工对日常办公需求服务满意度大于等于95%。发现的主要问题及原因：取暖费成本实际完成值大于指标值原因是我单位科普中心整栋楼通过自烧燃气锅炉方式取暖，今年以来科普中心参观人数剧增，需由过去的低温运行变成正常供热运行，因此用气量增加，预算调增，支出增加。</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2"/>
        <w:gridCol w:w="584"/>
        <w:gridCol w:w="682"/>
        <w:gridCol w:w="682"/>
        <w:gridCol w:w="682"/>
        <w:gridCol w:w="691"/>
        <w:gridCol w:w="936"/>
        <w:gridCol w:w="936"/>
        <w:gridCol w:w="691"/>
        <w:gridCol w:w="682"/>
        <w:gridCol w:w="687"/>
        <w:gridCol w:w="687"/>
      </w:tblGrid>
      <w:tr w14:paraId="64BFC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C6847C7">
            <w:pPr>
              <w:keepNext w:val="0"/>
              <w:keepLines w:val="0"/>
              <w:widowControl/>
              <w:suppressLineNumbers w:val="0"/>
              <w:jc w:val="center"/>
              <w:textAlignment w:val="center"/>
              <w:rPr>
                <w:rFonts w:hint="eastAsia" w:ascii="宋体" w:hAnsi="宋体" w:eastAsia="宋体" w:cs="宋体"/>
                <w:b/>
                <w:bCs/>
                <w:i w:val="0"/>
                <w:iCs w:val="0"/>
                <w:color w:val="auto"/>
                <w:sz w:val="40"/>
                <w:szCs w:val="40"/>
                <w:u w:val="none"/>
              </w:rPr>
            </w:pPr>
            <w:r>
              <w:rPr>
                <w:rFonts w:hint="eastAsia" w:ascii="宋体" w:hAnsi="宋体" w:eastAsia="宋体" w:cs="宋体"/>
                <w:b/>
                <w:bCs/>
                <w:i w:val="0"/>
                <w:iCs w:val="0"/>
                <w:color w:val="auto"/>
                <w:kern w:val="0"/>
                <w:sz w:val="40"/>
                <w:szCs w:val="40"/>
                <w:u w:val="none"/>
                <w:lang w:val="en-US" w:eastAsia="zh-CN" w:bidi="ar"/>
              </w:rPr>
              <w:t>项目支出绩效自评表</w:t>
            </w:r>
            <w:r>
              <w:rPr>
                <w:rFonts w:hint="eastAsia" w:ascii="宋体" w:hAnsi="宋体" w:eastAsia="宋体" w:cs="宋体"/>
                <w:b/>
                <w:bCs/>
                <w:i w:val="0"/>
                <w:iCs w:val="0"/>
                <w:color w:val="auto"/>
                <w:kern w:val="0"/>
                <w:sz w:val="40"/>
                <w:szCs w:val="40"/>
                <w:u w:val="none"/>
                <w:lang w:val="en-US" w:eastAsia="zh-CN" w:bidi="ar"/>
              </w:rPr>
              <w:br w:type="textWrapping"/>
            </w:r>
            <w:r>
              <w:rPr>
                <w:rFonts w:hint="eastAsia" w:ascii="宋体" w:hAnsi="宋体" w:eastAsia="宋体" w:cs="宋体"/>
                <w:b/>
                <w:bCs/>
                <w:i w:val="0"/>
                <w:iCs w:val="0"/>
                <w:color w:val="auto"/>
                <w:kern w:val="0"/>
                <w:sz w:val="40"/>
                <w:szCs w:val="40"/>
                <w:u w:val="none"/>
                <w:lang w:val="en-US" w:eastAsia="zh-CN" w:bidi="ar"/>
              </w:rPr>
              <w:t>(2025年度）</w:t>
            </w:r>
          </w:p>
        </w:tc>
      </w:tr>
      <w:tr w14:paraId="07013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387C1">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项目名称</w:t>
            </w:r>
          </w:p>
        </w:tc>
        <w:tc>
          <w:tcPr>
            <w:tcW w:w="4266"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56BDE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事业发展经费支出</w:t>
            </w:r>
          </w:p>
        </w:tc>
      </w:tr>
      <w:tr w14:paraId="30A16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781CE">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主管部门</w:t>
            </w:r>
          </w:p>
        </w:tc>
        <w:tc>
          <w:tcPr>
            <w:tcW w:w="170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5A17D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内蒙古自治区市场监督管理局部门</w:t>
            </w:r>
          </w:p>
        </w:tc>
        <w:tc>
          <w:tcPr>
            <w:tcW w:w="8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98DD00">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实施单位</w:t>
            </w:r>
          </w:p>
        </w:tc>
        <w:tc>
          <w:tcPr>
            <w:tcW w:w="170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CF22B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内蒙古自治区特种设备检验研究院包头分院</w:t>
            </w:r>
          </w:p>
        </w:tc>
      </w:tr>
      <w:tr w14:paraId="39EA5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F85E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项目资金</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（万元）</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13404">
            <w:pP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B13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年初预算数</w:t>
            </w:r>
          </w:p>
        </w:tc>
        <w:tc>
          <w:tcPr>
            <w:tcW w:w="8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DDA4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全年预算数</w:t>
            </w:r>
          </w:p>
        </w:tc>
        <w:tc>
          <w:tcPr>
            <w:tcW w:w="8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9C5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全年执行数</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8C0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分值</w:t>
            </w:r>
          </w:p>
        </w:tc>
        <w:tc>
          <w:tcPr>
            <w:tcW w:w="8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3F9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执行率（%）</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BE1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得分</w:t>
            </w:r>
          </w:p>
        </w:tc>
      </w:tr>
      <w:tr w14:paraId="667C8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56C0F">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7F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年度资金总额</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7B83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277</w:t>
            </w:r>
          </w:p>
        </w:tc>
        <w:tc>
          <w:tcPr>
            <w:tcW w:w="8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322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277</w:t>
            </w:r>
          </w:p>
        </w:tc>
        <w:tc>
          <w:tcPr>
            <w:tcW w:w="8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378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250.44</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0BEA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8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3B5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90.41</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6442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9.04</w:t>
            </w:r>
          </w:p>
        </w:tc>
      </w:tr>
      <w:tr w14:paraId="36AF9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321BB">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687C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其中：财政拨款</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43B9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181</w:t>
            </w:r>
          </w:p>
        </w:tc>
        <w:tc>
          <w:tcPr>
            <w:tcW w:w="8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F45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181</w:t>
            </w:r>
          </w:p>
        </w:tc>
        <w:tc>
          <w:tcPr>
            <w:tcW w:w="8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624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180.41</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99EF">
            <w:pPr>
              <w:keepNext w:val="0"/>
              <w:keepLines w:val="0"/>
              <w:widowControl/>
              <w:suppressLineNumbers w:val="0"/>
              <w:jc w:val="center"/>
              <w:textAlignment w:val="center"/>
              <w:rPr>
                <w:rFonts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8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B4A8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99.67</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846F">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7BF55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CCE4A">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9B2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上年结转资金</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9059">
            <w:pPr>
              <w:rPr>
                <w:rFonts w:hint="eastAsia" w:ascii="宋体" w:hAnsi="宋体" w:eastAsia="宋体" w:cs="宋体"/>
                <w:i w:val="0"/>
                <w:iCs w:val="0"/>
                <w:color w:val="auto"/>
                <w:sz w:val="18"/>
                <w:szCs w:val="18"/>
                <w:u w:val="none"/>
              </w:rPr>
            </w:pPr>
          </w:p>
        </w:tc>
        <w:tc>
          <w:tcPr>
            <w:tcW w:w="8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7C3FC">
            <w:pPr>
              <w:jc w:val="center"/>
              <w:rPr>
                <w:rFonts w:hint="eastAsia" w:ascii="宋体" w:hAnsi="宋体" w:eastAsia="宋体" w:cs="宋体"/>
                <w:i w:val="0"/>
                <w:iCs w:val="0"/>
                <w:color w:val="auto"/>
                <w:sz w:val="18"/>
                <w:szCs w:val="18"/>
                <w:u w:val="none"/>
              </w:rPr>
            </w:pPr>
          </w:p>
        </w:tc>
        <w:tc>
          <w:tcPr>
            <w:tcW w:w="8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FE393">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B551">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8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BF167">
            <w:pPr>
              <w:jc w:val="center"/>
              <w:rPr>
                <w:rFonts w:hint="eastAsia" w:ascii="宋体" w:hAnsi="宋体" w:eastAsia="宋体" w:cs="宋体"/>
                <w:i w:val="0"/>
                <w:iCs w:val="0"/>
                <w:color w:val="auto"/>
                <w:sz w:val="18"/>
                <w:szCs w:val="18"/>
                <w:u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0B9BB">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394C7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E5A6D">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87F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其他资金</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0442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96</w:t>
            </w:r>
          </w:p>
        </w:tc>
        <w:tc>
          <w:tcPr>
            <w:tcW w:w="8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E349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96</w:t>
            </w:r>
          </w:p>
        </w:tc>
        <w:tc>
          <w:tcPr>
            <w:tcW w:w="8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308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70.03</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2740">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8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DF14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72.95</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A498">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353D5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3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8C6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年度总体目标</w:t>
            </w:r>
          </w:p>
        </w:tc>
        <w:tc>
          <w:tcPr>
            <w:tcW w:w="213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01383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预期目标</w:t>
            </w:r>
          </w:p>
        </w:tc>
        <w:tc>
          <w:tcPr>
            <w:tcW w:w="213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CF0E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实际完成情况</w:t>
            </w:r>
          </w:p>
        </w:tc>
      </w:tr>
      <w:tr w14:paraId="36A34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7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21631">
            <w:pPr>
              <w:jc w:val="center"/>
              <w:rPr>
                <w:rFonts w:hint="eastAsia" w:ascii="宋体" w:hAnsi="宋体" w:eastAsia="宋体" w:cs="宋体"/>
                <w:i w:val="0"/>
                <w:iCs w:val="0"/>
                <w:color w:val="auto"/>
                <w:sz w:val="18"/>
                <w:szCs w:val="18"/>
                <w:u w:val="none"/>
              </w:rPr>
            </w:pPr>
          </w:p>
        </w:tc>
        <w:tc>
          <w:tcPr>
            <w:tcW w:w="213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2820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通过维护本单位水、电、暖、电话通讯专线等正常使用，提供人员日常办公需求，切实保障本单位各项工作开展，有效提高特种设备检验研究事业发展。</w:t>
            </w:r>
          </w:p>
        </w:tc>
        <w:tc>
          <w:tcPr>
            <w:tcW w:w="213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B39A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2025年度有效保障了本单位水、电、暖、电话通讯专线等正常使用，保障了工作人员日常办公，保障了本单位事业发展有力，各项指标完成情况良好，经费使用与年度工作目标基本契合，圆满完成年度绩效目标。</w:t>
            </w:r>
          </w:p>
        </w:tc>
      </w:tr>
      <w:tr w14:paraId="6BAE1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A3D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绩效指标</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EBF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一级指标</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9D4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二级指标</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4B7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三级指标</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BB3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指标性质</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049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指标方向</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57B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年度指标值</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52B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实际完成值</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5E4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计量单位</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C8E9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分值</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6F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得分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DE25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偏差原因分析及改进措施</w:t>
            </w:r>
          </w:p>
        </w:tc>
      </w:tr>
      <w:tr w14:paraId="58B06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66" w:type="pct"/>
            <w:vMerge w:val="restart"/>
            <w:tcBorders>
              <w:top w:val="single" w:color="000000" w:sz="4" w:space="0"/>
              <w:left w:val="single" w:color="000000" w:sz="4" w:space="0"/>
              <w:bottom w:val="nil"/>
              <w:right w:val="single" w:color="000000" w:sz="4" w:space="0"/>
            </w:tcBorders>
            <w:shd w:val="clear" w:color="auto" w:fill="auto"/>
            <w:vAlign w:val="center"/>
          </w:tcPr>
          <w:p w14:paraId="71A76C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绩效指标</w:t>
            </w:r>
          </w:p>
        </w:tc>
        <w:tc>
          <w:tcPr>
            <w:tcW w:w="366" w:type="pct"/>
            <w:vMerge w:val="restart"/>
            <w:tcBorders>
              <w:top w:val="single" w:color="000000" w:sz="4" w:space="0"/>
              <w:left w:val="single" w:color="000000" w:sz="4" w:space="0"/>
              <w:bottom w:val="nil"/>
              <w:right w:val="single" w:color="000000" w:sz="4" w:space="0"/>
            </w:tcBorders>
            <w:shd w:val="clear" w:color="auto" w:fill="auto"/>
            <w:vAlign w:val="center"/>
          </w:tcPr>
          <w:p w14:paraId="1EDDBB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产出指标</w:t>
            </w:r>
          </w:p>
        </w:tc>
        <w:tc>
          <w:tcPr>
            <w:tcW w:w="425" w:type="pct"/>
            <w:vMerge w:val="restart"/>
            <w:tcBorders>
              <w:top w:val="single" w:color="000000" w:sz="4" w:space="0"/>
              <w:left w:val="single" w:color="000000" w:sz="4" w:space="0"/>
              <w:bottom w:val="nil"/>
              <w:right w:val="single" w:color="000000" w:sz="4" w:space="0"/>
            </w:tcBorders>
            <w:shd w:val="clear" w:color="auto" w:fill="auto"/>
            <w:vAlign w:val="center"/>
          </w:tcPr>
          <w:p w14:paraId="77407F8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数量指标</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3E1D3F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保障取暖面积</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08A47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5350A4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69A135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9988.28</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76D3BF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9988.28</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2398EB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平方米</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6EDA21A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4B5BF2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2FD2AC50">
            <w:pPr>
              <w:jc w:val="center"/>
              <w:rPr>
                <w:rFonts w:hint="eastAsia" w:ascii="宋体" w:hAnsi="宋体" w:eastAsia="宋体" w:cs="宋体"/>
                <w:i w:val="0"/>
                <w:iCs w:val="0"/>
                <w:color w:val="auto"/>
                <w:sz w:val="18"/>
                <w:szCs w:val="18"/>
                <w:u w:val="none"/>
              </w:rPr>
            </w:pPr>
          </w:p>
        </w:tc>
      </w:tr>
      <w:tr w14:paraId="42BF9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6AF2F6F4">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5A85CD35">
            <w:pPr>
              <w:jc w:val="center"/>
              <w:rPr>
                <w:rFonts w:hint="eastAsia" w:ascii="宋体" w:hAnsi="宋体" w:eastAsia="宋体" w:cs="宋体"/>
                <w:i w:val="0"/>
                <w:iCs w:val="0"/>
                <w:color w:val="auto"/>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1FE78646">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77D6C1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保障正常办公人员数量</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7C596D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6A0110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23459B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160</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36E0A1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160</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D63598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人</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1137F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1E2A04A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7598BCA1">
            <w:pPr>
              <w:jc w:val="center"/>
              <w:rPr>
                <w:rFonts w:hint="eastAsia" w:ascii="宋体" w:hAnsi="宋体" w:eastAsia="宋体" w:cs="宋体"/>
                <w:i w:val="0"/>
                <w:iCs w:val="0"/>
                <w:color w:val="auto"/>
                <w:sz w:val="18"/>
                <w:szCs w:val="18"/>
                <w:u w:val="none"/>
              </w:rPr>
            </w:pPr>
          </w:p>
        </w:tc>
      </w:tr>
      <w:tr w14:paraId="5CA91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430C4A6D">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5439C7A7">
            <w:pPr>
              <w:jc w:val="center"/>
              <w:rPr>
                <w:rFonts w:hint="eastAsia" w:ascii="宋体" w:hAnsi="宋体" w:eastAsia="宋体" w:cs="宋体"/>
                <w:i w:val="0"/>
                <w:iCs w:val="0"/>
                <w:color w:val="auto"/>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3C1FF20C">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B2A93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保障正常用水用电面积</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A94D5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274085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037927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40657.68</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3E6DE6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40656.68</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14ABB5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平方米</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27FD79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554B79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603C7A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包含已报废房屋面积为1,因此产生差异。</w:t>
            </w:r>
          </w:p>
        </w:tc>
      </w:tr>
      <w:tr w14:paraId="660A7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34C4B930">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6B052DA0">
            <w:pPr>
              <w:jc w:val="center"/>
              <w:rPr>
                <w:rFonts w:hint="eastAsia" w:ascii="宋体" w:hAnsi="宋体" w:eastAsia="宋体" w:cs="宋体"/>
                <w:i w:val="0"/>
                <w:iCs w:val="0"/>
                <w:color w:val="auto"/>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145232FA">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265251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保障电话机正常适用数量</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E11AC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3FA002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2B15EC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174CFA9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10375A9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部</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7AC850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0672F6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46EE0A71">
            <w:pPr>
              <w:jc w:val="center"/>
              <w:rPr>
                <w:rFonts w:hint="eastAsia" w:ascii="宋体" w:hAnsi="宋体" w:eastAsia="宋体" w:cs="宋体"/>
                <w:i w:val="0"/>
                <w:iCs w:val="0"/>
                <w:color w:val="auto"/>
                <w:sz w:val="18"/>
                <w:szCs w:val="18"/>
                <w:u w:val="none"/>
              </w:rPr>
            </w:pPr>
          </w:p>
        </w:tc>
      </w:tr>
      <w:tr w14:paraId="10976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776446F7">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67B6F7DA">
            <w:pPr>
              <w:jc w:val="center"/>
              <w:rPr>
                <w:rFonts w:hint="eastAsia" w:ascii="宋体" w:hAnsi="宋体" w:eastAsia="宋体" w:cs="宋体"/>
                <w:i w:val="0"/>
                <w:iCs w:val="0"/>
                <w:color w:val="auto"/>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13966A24">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3DDCEB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保障通讯专线数量</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69AE2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0243EFE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2BBA12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536509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4147F0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条</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92F05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0857EC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57D3C40E">
            <w:pPr>
              <w:jc w:val="center"/>
              <w:rPr>
                <w:rFonts w:hint="eastAsia" w:ascii="宋体" w:hAnsi="宋体" w:eastAsia="宋体" w:cs="宋体"/>
                <w:i w:val="0"/>
                <w:iCs w:val="0"/>
                <w:color w:val="auto"/>
                <w:sz w:val="18"/>
                <w:szCs w:val="18"/>
                <w:u w:val="none"/>
              </w:rPr>
            </w:pPr>
          </w:p>
        </w:tc>
      </w:tr>
      <w:tr w14:paraId="7AEC1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35846FCF">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4552B12D">
            <w:pPr>
              <w:jc w:val="center"/>
              <w:rPr>
                <w:rFonts w:hint="eastAsia" w:ascii="宋体" w:hAnsi="宋体" w:eastAsia="宋体" w:cs="宋体"/>
                <w:i w:val="0"/>
                <w:iCs w:val="0"/>
                <w:color w:val="auto"/>
                <w:sz w:val="18"/>
                <w:szCs w:val="18"/>
                <w:u w:val="none"/>
              </w:rPr>
            </w:pPr>
          </w:p>
        </w:tc>
        <w:tc>
          <w:tcPr>
            <w:tcW w:w="425" w:type="pct"/>
            <w:vMerge w:val="restart"/>
            <w:tcBorders>
              <w:top w:val="single" w:color="000000" w:sz="4" w:space="0"/>
              <w:left w:val="single" w:color="000000" w:sz="4" w:space="0"/>
              <w:bottom w:val="nil"/>
              <w:right w:val="single" w:color="000000" w:sz="4" w:space="0"/>
            </w:tcBorders>
            <w:shd w:val="clear" w:color="auto" w:fill="auto"/>
            <w:vAlign w:val="center"/>
          </w:tcPr>
          <w:p w14:paraId="05AE6C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质量指标</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285A7BA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单位整体停水停电率</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48B472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5C1293B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31DF18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5B8FA8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CD1F2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6D9439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40963E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27A8EA36">
            <w:pPr>
              <w:jc w:val="center"/>
              <w:rPr>
                <w:rFonts w:hint="eastAsia" w:ascii="宋体" w:hAnsi="宋体" w:eastAsia="宋体" w:cs="宋体"/>
                <w:i w:val="0"/>
                <w:iCs w:val="0"/>
                <w:color w:val="auto"/>
                <w:sz w:val="18"/>
                <w:szCs w:val="18"/>
                <w:u w:val="none"/>
              </w:rPr>
            </w:pPr>
          </w:p>
        </w:tc>
      </w:tr>
      <w:tr w14:paraId="34FE4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2665D88D">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695C9AB3">
            <w:pPr>
              <w:jc w:val="center"/>
              <w:rPr>
                <w:rFonts w:hint="eastAsia" w:ascii="宋体" w:hAnsi="宋体" w:eastAsia="宋体" w:cs="宋体"/>
                <w:i w:val="0"/>
                <w:iCs w:val="0"/>
                <w:color w:val="auto"/>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44FB6F22">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754D5E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电话机正常使用率</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4CB326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3A06F4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41FF18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16550E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1862F6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73892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69ED21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200F7589">
            <w:pPr>
              <w:jc w:val="center"/>
              <w:rPr>
                <w:rFonts w:hint="eastAsia" w:ascii="宋体" w:hAnsi="宋体" w:eastAsia="宋体" w:cs="宋体"/>
                <w:i w:val="0"/>
                <w:iCs w:val="0"/>
                <w:color w:val="auto"/>
                <w:sz w:val="18"/>
                <w:szCs w:val="18"/>
                <w:u w:val="none"/>
              </w:rPr>
            </w:pPr>
          </w:p>
        </w:tc>
      </w:tr>
      <w:tr w14:paraId="24EB1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00CD39B8">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584BEFD9">
            <w:pPr>
              <w:jc w:val="center"/>
              <w:rPr>
                <w:rFonts w:hint="eastAsia" w:ascii="宋体" w:hAnsi="宋体" w:eastAsia="宋体" w:cs="宋体"/>
                <w:i w:val="0"/>
                <w:iCs w:val="0"/>
                <w:color w:val="auto"/>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16C18A07">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CB90A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通讯专线正常使用率</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75C756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68ABF3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1EF770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64C261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26FB80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987FF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4DE003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723653C8">
            <w:pPr>
              <w:jc w:val="center"/>
              <w:rPr>
                <w:rFonts w:hint="eastAsia" w:ascii="宋体" w:hAnsi="宋体" w:eastAsia="宋体" w:cs="宋体"/>
                <w:i w:val="0"/>
                <w:iCs w:val="0"/>
                <w:color w:val="auto"/>
                <w:sz w:val="18"/>
                <w:szCs w:val="18"/>
                <w:u w:val="none"/>
              </w:rPr>
            </w:pPr>
          </w:p>
        </w:tc>
      </w:tr>
      <w:tr w14:paraId="44E8F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73C0D17B">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7193A1B5">
            <w:pPr>
              <w:jc w:val="center"/>
              <w:rPr>
                <w:rFonts w:hint="eastAsia" w:ascii="宋体" w:hAnsi="宋体" w:eastAsia="宋体" w:cs="宋体"/>
                <w:i w:val="0"/>
                <w:iCs w:val="0"/>
                <w:color w:val="auto"/>
                <w:sz w:val="18"/>
                <w:szCs w:val="18"/>
                <w:u w:val="none"/>
              </w:rPr>
            </w:pPr>
          </w:p>
        </w:tc>
        <w:tc>
          <w:tcPr>
            <w:tcW w:w="425" w:type="pct"/>
            <w:vMerge w:val="restart"/>
            <w:tcBorders>
              <w:top w:val="single" w:color="000000" w:sz="4" w:space="0"/>
              <w:left w:val="single" w:color="000000" w:sz="4" w:space="0"/>
              <w:bottom w:val="nil"/>
              <w:right w:val="single" w:color="000000" w:sz="4" w:space="0"/>
            </w:tcBorders>
            <w:shd w:val="clear" w:color="auto" w:fill="auto"/>
            <w:vAlign w:val="center"/>
          </w:tcPr>
          <w:p w14:paraId="11D047D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时效指标</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3B10E9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电话及通讯专项故障排除平均时间</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4212F5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061EC0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5E89C8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44241A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2FEAC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工作日</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7DC28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42555C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1C47EAB1">
            <w:pPr>
              <w:jc w:val="center"/>
              <w:rPr>
                <w:rFonts w:hint="eastAsia" w:ascii="宋体" w:hAnsi="宋体" w:eastAsia="宋体" w:cs="宋体"/>
                <w:i w:val="0"/>
                <w:iCs w:val="0"/>
                <w:color w:val="auto"/>
                <w:sz w:val="18"/>
                <w:szCs w:val="18"/>
                <w:u w:val="none"/>
              </w:rPr>
            </w:pPr>
          </w:p>
        </w:tc>
      </w:tr>
      <w:tr w14:paraId="2BBA6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7EAD9806">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51248DB0">
            <w:pPr>
              <w:jc w:val="center"/>
              <w:rPr>
                <w:rFonts w:hint="eastAsia" w:ascii="宋体" w:hAnsi="宋体" w:eastAsia="宋体" w:cs="宋体"/>
                <w:i w:val="0"/>
                <w:iCs w:val="0"/>
                <w:color w:val="auto"/>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5D99C4A3">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6BCFFE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保障供暖时长</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3D749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55EBCA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5F0209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228576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A5453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月</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75F0D8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01764E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4FB6F16D">
            <w:pPr>
              <w:jc w:val="center"/>
              <w:rPr>
                <w:rFonts w:hint="eastAsia" w:ascii="宋体" w:hAnsi="宋体" w:eastAsia="宋体" w:cs="宋体"/>
                <w:i w:val="0"/>
                <w:iCs w:val="0"/>
                <w:color w:val="auto"/>
                <w:sz w:val="18"/>
                <w:szCs w:val="18"/>
                <w:u w:val="none"/>
              </w:rPr>
            </w:pPr>
          </w:p>
        </w:tc>
      </w:tr>
      <w:tr w14:paraId="0EC75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57B702CB">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0A81E57E">
            <w:pPr>
              <w:jc w:val="center"/>
              <w:rPr>
                <w:rFonts w:hint="eastAsia" w:ascii="宋体" w:hAnsi="宋体" w:eastAsia="宋体" w:cs="宋体"/>
                <w:i w:val="0"/>
                <w:iCs w:val="0"/>
                <w:color w:val="auto"/>
                <w:sz w:val="18"/>
                <w:szCs w:val="18"/>
                <w:u w:val="none"/>
              </w:rPr>
            </w:pPr>
          </w:p>
        </w:tc>
        <w:tc>
          <w:tcPr>
            <w:tcW w:w="425" w:type="pct"/>
            <w:vMerge w:val="restart"/>
            <w:tcBorders>
              <w:top w:val="single" w:color="000000" w:sz="4" w:space="0"/>
              <w:left w:val="single" w:color="000000" w:sz="4" w:space="0"/>
              <w:bottom w:val="nil"/>
              <w:right w:val="single" w:color="000000" w:sz="4" w:space="0"/>
            </w:tcBorders>
            <w:shd w:val="clear" w:color="auto" w:fill="auto"/>
            <w:vAlign w:val="center"/>
          </w:tcPr>
          <w:p w14:paraId="587CCEF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成本指标</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74CE26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水费成本</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17896B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2172A3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7173AC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2B866E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11.1</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64366E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万元</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BBBA2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418B3C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4D0D0F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例行节约，按照政府要求过紧日子</w:t>
            </w:r>
          </w:p>
        </w:tc>
      </w:tr>
      <w:tr w14:paraId="4B204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5AEB018B">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3D7C83A4">
            <w:pPr>
              <w:jc w:val="center"/>
              <w:rPr>
                <w:rFonts w:hint="eastAsia" w:ascii="宋体" w:hAnsi="宋体" w:eastAsia="宋体" w:cs="宋体"/>
                <w:i w:val="0"/>
                <w:iCs w:val="0"/>
                <w:color w:val="auto"/>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5EC59699">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439CCA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电费成本</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7DA72D2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5AB7DA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032ED9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741B528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28.98</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2D78F3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万元</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470797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7C98DD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6D06C8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夏季雨水较多，空调开的少，例行节约，按照政府要求过紧日子</w:t>
            </w:r>
          </w:p>
        </w:tc>
      </w:tr>
      <w:tr w14:paraId="535CB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2BB9A991">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44A1432F">
            <w:pPr>
              <w:jc w:val="center"/>
              <w:rPr>
                <w:rFonts w:hint="eastAsia" w:ascii="宋体" w:hAnsi="宋体" w:eastAsia="宋体" w:cs="宋体"/>
                <w:i w:val="0"/>
                <w:iCs w:val="0"/>
                <w:color w:val="auto"/>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0A1511A7">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610078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办公费成本</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205575A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28D523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740251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77</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063083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76.33</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25512A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万元</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64D860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0F8C3E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71226C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例行节约，按照政府要求过紧日子</w:t>
            </w:r>
          </w:p>
        </w:tc>
      </w:tr>
      <w:tr w14:paraId="0ADA5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3BCC3BC0">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599193E8">
            <w:pPr>
              <w:jc w:val="center"/>
              <w:rPr>
                <w:rFonts w:hint="eastAsia" w:ascii="宋体" w:hAnsi="宋体" w:eastAsia="宋体" w:cs="宋体"/>
                <w:i w:val="0"/>
                <w:iCs w:val="0"/>
                <w:color w:val="auto"/>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70C500F5">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43C12CD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邮电费成本</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42B547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0F8B004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5D1247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4D3662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16.02</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640E4BB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万元</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D977D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642D16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031150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例行节约，按照政府要求过紧日子</w:t>
            </w:r>
          </w:p>
        </w:tc>
      </w:tr>
      <w:tr w14:paraId="7EE6A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1EE6B0AA">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7F840E87">
            <w:pPr>
              <w:jc w:val="center"/>
              <w:rPr>
                <w:rFonts w:hint="eastAsia" w:ascii="宋体" w:hAnsi="宋体" w:eastAsia="宋体" w:cs="宋体"/>
                <w:i w:val="0"/>
                <w:iCs w:val="0"/>
                <w:color w:val="auto"/>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417523D2">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3566AD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取暖费成本</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73EDE1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3C9D81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57BE4D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21D671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118</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51DE3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万元</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12B55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6E6BB8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72AA9DF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因我单位科普中心整栋楼通过自烧燃气锅炉方式取暖，今年以来科普中心参观人数剧增，需由过去的低温运行变成正常供热运行，因此用气量增加，预算调增  支出增加</w:t>
            </w:r>
          </w:p>
        </w:tc>
      </w:tr>
      <w:tr w14:paraId="3DCDB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7F166539">
            <w:pPr>
              <w:jc w:val="center"/>
              <w:rPr>
                <w:rFonts w:hint="eastAsia" w:ascii="宋体" w:hAnsi="宋体" w:eastAsia="宋体" w:cs="宋体"/>
                <w:i w:val="0"/>
                <w:iCs w:val="0"/>
                <w:color w:val="auto"/>
                <w:sz w:val="18"/>
                <w:szCs w:val="18"/>
                <w:u w:val="none"/>
              </w:rPr>
            </w:pPr>
          </w:p>
        </w:tc>
        <w:tc>
          <w:tcPr>
            <w:tcW w:w="366" w:type="pct"/>
            <w:vMerge w:val="restart"/>
            <w:tcBorders>
              <w:top w:val="single" w:color="000000" w:sz="4" w:space="0"/>
              <w:left w:val="single" w:color="000000" w:sz="4" w:space="0"/>
              <w:bottom w:val="nil"/>
              <w:right w:val="single" w:color="000000" w:sz="4" w:space="0"/>
            </w:tcBorders>
            <w:shd w:val="clear" w:color="auto" w:fill="auto"/>
            <w:vAlign w:val="center"/>
          </w:tcPr>
          <w:p w14:paraId="2FC98A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效益指标</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194DC6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社会效益</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395750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有效保障特种设备检验研究事业发展</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5361A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定性</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7A54D5E3">
            <w:pPr>
              <w:jc w:val="center"/>
              <w:rPr>
                <w:rFonts w:hint="eastAsia" w:ascii="宋体" w:hAnsi="宋体" w:eastAsia="宋体" w:cs="宋体"/>
                <w:i w:val="0"/>
                <w:iCs w:val="0"/>
                <w:color w:val="auto"/>
                <w:sz w:val="18"/>
                <w:szCs w:val="18"/>
                <w:u w:val="none"/>
              </w:rPr>
            </w:pPr>
          </w:p>
        </w:tc>
        <w:tc>
          <w:tcPr>
            <w:tcW w:w="427" w:type="pct"/>
            <w:tcBorders>
              <w:top w:val="single" w:color="000000" w:sz="4" w:space="0"/>
              <w:left w:val="single" w:color="000000" w:sz="4" w:space="0"/>
              <w:bottom w:val="nil"/>
              <w:right w:val="single" w:color="000000" w:sz="4" w:space="0"/>
            </w:tcBorders>
            <w:shd w:val="clear" w:color="auto" w:fill="auto"/>
            <w:vAlign w:val="center"/>
          </w:tcPr>
          <w:p w14:paraId="58DBED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46FA6EE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0171725">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2EEC1B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55043A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0AAB4774">
            <w:pPr>
              <w:jc w:val="center"/>
              <w:rPr>
                <w:rFonts w:hint="eastAsia" w:ascii="宋体" w:hAnsi="宋体" w:eastAsia="宋体" w:cs="宋体"/>
                <w:i w:val="0"/>
                <w:iCs w:val="0"/>
                <w:color w:val="auto"/>
                <w:sz w:val="18"/>
                <w:szCs w:val="18"/>
                <w:u w:val="none"/>
              </w:rPr>
            </w:pPr>
          </w:p>
        </w:tc>
      </w:tr>
      <w:tr w14:paraId="3F306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0740D4E4">
            <w:pPr>
              <w:jc w:val="center"/>
              <w:rPr>
                <w:rFonts w:hint="eastAsia" w:ascii="宋体" w:hAnsi="宋体" w:eastAsia="宋体" w:cs="宋体"/>
                <w:i w:val="0"/>
                <w:iCs w:val="0"/>
                <w:color w:val="auto"/>
                <w:sz w:val="18"/>
                <w:szCs w:val="18"/>
                <w:u w:val="none"/>
              </w:rPr>
            </w:pPr>
          </w:p>
        </w:tc>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1BA26EA4">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653E9F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可持续影响</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8F3E7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切实保障本单位各项工作开展</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2517A7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定性</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5712434E">
            <w:pPr>
              <w:jc w:val="center"/>
              <w:rPr>
                <w:rFonts w:hint="eastAsia" w:ascii="宋体" w:hAnsi="宋体" w:eastAsia="宋体" w:cs="宋体"/>
                <w:i w:val="0"/>
                <w:iCs w:val="0"/>
                <w:color w:val="auto"/>
                <w:sz w:val="18"/>
                <w:szCs w:val="18"/>
                <w:u w:val="none"/>
              </w:rPr>
            </w:pPr>
          </w:p>
        </w:tc>
        <w:tc>
          <w:tcPr>
            <w:tcW w:w="427" w:type="pct"/>
            <w:tcBorders>
              <w:top w:val="single" w:color="000000" w:sz="4" w:space="0"/>
              <w:left w:val="single" w:color="000000" w:sz="4" w:space="0"/>
              <w:bottom w:val="nil"/>
              <w:right w:val="single" w:color="000000" w:sz="4" w:space="0"/>
            </w:tcBorders>
            <w:shd w:val="clear" w:color="auto" w:fill="auto"/>
            <w:vAlign w:val="center"/>
          </w:tcPr>
          <w:p w14:paraId="7299F3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531D53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49641A8">
            <w:pPr>
              <w:jc w:val="center"/>
              <w:rPr>
                <w:rFonts w:hint="eastAsia" w:ascii="宋体" w:hAnsi="宋体" w:eastAsia="宋体" w:cs="宋体"/>
                <w:i w:val="0"/>
                <w:iCs w:val="0"/>
                <w:color w:val="auto"/>
                <w:sz w:val="18"/>
                <w:szCs w:val="18"/>
                <w:u w:val="none"/>
              </w:rPr>
            </w:pPr>
          </w:p>
        </w:tc>
        <w:tc>
          <w:tcPr>
            <w:tcW w:w="425" w:type="pct"/>
            <w:tcBorders>
              <w:top w:val="single" w:color="000000" w:sz="4" w:space="0"/>
              <w:left w:val="single" w:color="000000" w:sz="4" w:space="0"/>
              <w:bottom w:val="nil"/>
              <w:right w:val="single" w:color="000000" w:sz="4" w:space="0"/>
            </w:tcBorders>
            <w:shd w:val="clear" w:color="auto" w:fill="auto"/>
            <w:vAlign w:val="center"/>
          </w:tcPr>
          <w:p w14:paraId="3D5EEA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072FBA7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67B99995">
            <w:pPr>
              <w:jc w:val="center"/>
              <w:rPr>
                <w:rFonts w:hint="eastAsia" w:ascii="宋体" w:hAnsi="宋体" w:eastAsia="宋体" w:cs="宋体"/>
                <w:i w:val="0"/>
                <w:iCs w:val="0"/>
                <w:color w:val="auto"/>
                <w:sz w:val="18"/>
                <w:szCs w:val="18"/>
                <w:u w:val="none"/>
              </w:rPr>
            </w:pPr>
          </w:p>
        </w:tc>
      </w:tr>
      <w:tr w14:paraId="2DD49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66" w:type="pct"/>
            <w:vMerge w:val="continue"/>
            <w:tcBorders>
              <w:top w:val="single" w:color="000000" w:sz="4" w:space="0"/>
              <w:left w:val="single" w:color="000000" w:sz="4" w:space="0"/>
              <w:bottom w:val="nil"/>
              <w:right w:val="single" w:color="000000" w:sz="4" w:space="0"/>
            </w:tcBorders>
            <w:shd w:val="clear" w:color="auto" w:fill="auto"/>
            <w:vAlign w:val="center"/>
          </w:tcPr>
          <w:p w14:paraId="77A6242A">
            <w:pPr>
              <w:jc w:val="center"/>
              <w:rPr>
                <w:rFonts w:hint="eastAsia" w:ascii="宋体" w:hAnsi="宋体" w:eastAsia="宋体" w:cs="宋体"/>
                <w:i w:val="0"/>
                <w:iCs w:val="0"/>
                <w:color w:val="auto"/>
                <w:sz w:val="18"/>
                <w:szCs w:val="18"/>
                <w:u w:val="none"/>
              </w:rPr>
            </w:pPr>
          </w:p>
        </w:tc>
        <w:tc>
          <w:tcPr>
            <w:tcW w:w="366" w:type="pct"/>
            <w:tcBorders>
              <w:top w:val="single" w:color="000000" w:sz="4" w:space="0"/>
              <w:left w:val="single" w:color="000000" w:sz="4" w:space="0"/>
              <w:bottom w:val="nil"/>
              <w:right w:val="single" w:color="000000" w:sz="4" w:space="0"/>
            </w:tcBorders>
            <w:shd w:val="clear" w:color="auto" w:fill="auto"/>
            <w:vAlign w:val="center"/>
          </w:tcPr>
          <w:p w14:paraId="21E33D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满意度指标</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57FA64D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服务对象满意度</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3E8A19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单位职工对日常办公需求服务满意度</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05F225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019406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27" w:type="pct"/>
            <w:tcBorders>
              <w:top w:val="single" w:color="000000" w:sz="4" w:space="0"/>
              <w:left w:val="single" w:color="000000" w:sz="4" w:space="0"/>
              <w:bottom w:val="nil"/>
              <w:right w:val="single" w:color="000000" w:sz="4" w:space="0"/>
            </w:tcBorders>
            <w:shd w:val="clear" w:color="auto" w:fill="auto"/>
            <w:vAlign w:val="center"/>
          </w:tcPr>
          <w:p w14:paraId="297F4B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0CF45B8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1F7FE5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22BB03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26" w:type="pct"/>
            <w:tcBorders>
              <w:top w:val="single" w:color="000000" w:sz="4" w:space="0"/>
              <w:left w:val="single" w:color="000000" w:sz="4" w:space="0"/>
              <w:bottom w:val="nil"/>
              <w:right w:val="single" w:color="000000" w:sz="4" w:space="0"/>
            </w:tcBorders>
            <w:shd w:val="clear" w:color="auto" w:fill="auto"/>
            <w:vAlign w:val="center"/>
          </w:tcPr>
          <w:p w14:paraId="073EE9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28" w:type="pct"/>
            <w:tcBorders>
              <w:top w:val="single" w:color="000000" w:sz="4" w:space="0"/>
              <w:left w:val="single" w:color="000000" w:sz="4" w:space="0"/>
              <w:bottom w:val="nil"/>
              <w:right w:val="single" w:color="000000" w:sz="4" w:space="0"/>
            </w:tcBorders>
            <w:shd w:val="clear" w:color="auto" w:fill="auto"/>
            <w:vAlign w:val="center"/>
          </w:tcPr>
          <w:p w14:paraId="4BD35CB0">
            <w:pPr>
              <w:jc w:val="center"/>
              <w:rPr>
                <w:rFonts w:hint="eastAsia" w:ascii="宋体" w:hAnsi="宋体" w:eastAsia="宋体" w:cs="宋体"/>
                <w:i w:val="0"/>
                <w:iCs w:val="0"/>
                <w:color w:val="auto"/>
                <w:sz w:val="18"/>
                <w:szCs w:val="18"/>
                <w:u w:val="none"/>
              </w:rPr>
            </w:pPr>
          </w:p>
        </w:tc>
      </w:tr>
      <w:tr w14:paraId="0E6CD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71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7041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总分</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EC4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8359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97.04</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BCAA7">
            <w:pPr>
              <w:jc w:val="center"/>
              <w:rPr>
                <w:rFonts w:hint="eastAsia" w:ascii="宋体" w:hAnsi="宋体" w:eastAsia="宋体" w:cs="宋体"/>
                <w:i w:val="0"/>
                <w:iCs w:val="0"/>
                <w:color w:val="auto"/>
                <w:sz w:val="18"/>
                <w:szCs w:val="18"/>
                <w:u w:val="none"/>
              </w:rPr>
            </w:pPr>
          </w:p>
        </w:tc>
      </w:tr>
    </w:tbl>
    <w:p w14:paraId="63499DE4">
      <w:pPr>
        <w:widowControl/>
        <w:numPr>
          <w:ilvl w:val="0"/>
          <w:numId w:val="2"/>
        </w:numPr>
        <w:spacing w:before="240" w:after="240"/>
        <w:ind w:firstLine="382"/>
        <w:rPr>
          <w:rFonts w:hint="eastAsia" w:ascii="FangSong_GB2312" w:hAnsi="FangSong_GB2312" w:eastAsia="FangSong_GB2312" w:cs="FangSong_GB2312"/>
          <w:color w:val="auto"/>
          <w:kern w:val="0"/>
          <w:sz w:val="32"/>
          <w:szCs w:val="32"/>
          <w:u w:val="none"/>
          <w:lang w:val="en-US" w:eastAsia="zh-CN" w:bidi="ar-SA"/>
        </w:rPr>
      </w:pPr>
      <w:r>
        <w:rPr>
          <w:rFonts w:hint="eastAsia" w:ascii="FangSong_GB2312" w:hAnsi="FangSong_GB2312" w:eastAsia="FangSong_GB2312" w:cs="FangSong_GB2312"/>
          <w:color w:val="auto"/>
          <w:kern w:val="0"/>
          <w:sz w:val="32"/>
          <w:szCs w:val="32"/>
          <w:u w:val="none"/>
          <w:lang w:val="en-US" w:eastAsia="zh-CN" w:bidi="ar-SA"/>
        </w:rPr>
        <w:t>事业单位经营支出项目自评综述：根据年初设定的绩效目标，项目自评得分88.43分。全年预算数为1502万元，执行数为1029.8万元，完成预算的68.56%。项目绩效目标完成情况：完成机电类特种设备委托检验数量11943（台），完成承压类特种设备委托检验数量4507台，完成压力管道委托检验数量421千米，完成气瓶委托检验数量12172只（台），完成安全阀校验数量14239只（台），管理特种设备检验检测及配套场所面积40656.68平方米，检验检测报告差错率小于等于5%，特种设备检验技术指标验收复核合格率大于等于95%，设备验收合格率大于等于100%，提出检验申请后检验受理时间小于等于2个工作日，形成检验结论后检验报告出具时间小于等于45个工作日，日常维修护响应时间小于等于2个小时，特种设备检验相关场所及设备维护总成本小于等于78.29万元，特种设备检验检验成本951.51万元，人员培训成本小于等于329.67万元，完成年经营收入金额3215.59万元，检验合格特种设备重大安全事故发生数量等于0，特种设备使用单位安全意识稳步提高，被检验单位满意度大于等于95%。</w:t>
      </w:r>
    </w:p>
    <w:p w14:paraId="024D18D0">
      <w:pPr>
        <w:widowControl/>
        <w:numPr>
          <w:ilvl w:val="0"/>
          <w:numId w:val="0"/>
        </w:numPr>
        <w:spacing w:before="240" w:after="240"/>
        <w:ind w:firstLine="640" w:firstLineChars="200"/>
        <w:rPr>
          <w:rFonts w:hint="eastAsia" w:ascii="FangSong_GB2312" w:hAnsi="FangSong_GB2312" w:eastAsia="FangSong_GB2312" w:cs="FangSong_GB2312"/>
          <w:color w:val="auto"/>
          <w:kern w:val="0"/>
          <w:sz w:val="32"/>
          <w:szCs w:val="32"/>
          <w:u w:val="none"/>
          <w:lang w:val="en-US" w:eastAsia="zh-CN" w:bidi="ar-SA"/>
        </w:rPr>
      </w:pPr>
      <w:r>
        <w:rPr>
          <w:rFonts w:hint="eastAsia" w:ascii="FangSong_GB2312" w:hAnsi="FangSong_GB2312" w:eastAsia="FangSong_GB2312" w:cs="FangSong_GB2312"/>
          <w:color w:val="auto"/>
          <w:kern w:val="0"/>
          <w:sz w:val="32"/>
          <w:szCs w:val="32"/>
          <w:u w:val="none"/>
          <w:lang w:val="en-US" w:eastAsia="zh-CN" w:bidi="ar-SA"/>
        </w:rPr>
        <w:t xml:space="preserve">发现的问题及原因：1、气瓶、安全阀检验数量完成指标值均小于年度指标值的原因是业务量减少导致检验数量减少。2、完成年经营收入金额完成指标值小于年度指标值的原因是部分业务量减少，企业经营困难，导致经营收入减少。  </w:t>
      </w:r>
    </w:p>
    <w:p w14:paraId="5AC6D557">
      <w:pPr>
        <w:widowControl/>
        <w:numPr>
          <w:ilvl w:val="0"/>
          <w:numId w:val="0"/>
        </w:numPr>
        <w:spacing w:before="240" w:after="240"/>
        <w:ind w:firstLine="640" w:firstLineChars="200"/>
        <w:rPr>
          <w:rFonts w:hint="eastAsia" w:ascii="FangSong_GB2312" w:hAnsi="FangSong_GB2312" w:eastAsia="FangSong_GB2312" w:cs="FangSong_GB2312"/>
          <w:color w:val="auto"/>
          <w:kern w:val="0"/>
          <w:sz w:val="32"/>
          <w:szCs w:val="32"/>
          <w:u w:val="none"/>
          <w:lang w:val="en-US" w:eastAsia="zh-CN" w:bidi="ar-SA"/>
        </w:rPr>
      </w:pPr>
      <w:r>
        <w:rPr>
          <w:rFonts w:hint="eastAsia" w:ascii="FangSong_GB2312" w:hAnsi="FangSong_GB2312" w:eastAsia="FangSong_GB2312" w:cs="FangSong_GB2312"/>
          <w:color w:val="auto"/>
          <w:kern w:val="0"/>
          <w:sz w:val="32"/>
          <w:szCs w:val="32"/>
          <w:u w:val="none"/>
          <w:lang w:val="en-US" w:eastAsia="zh-CN" w:bidi="ar-SA"/>
        </w:rPr>
        <w:t>下一步改进措施：提升服务质量与响应速度，主动联系企业对接，拓展新业务，开辟增收渠道。</w:t>
      </w:r>
    </w:p>
    <w:p w14:paraId="4401325F">
      <w:pPr>
        <w:widowControl/>
        <w:numPr>
          <w:ilvl w:val="0"/>
          <w:numId w:val="0"/>
        </w:numPr>
        <w:spacing w:before="240" w:after="240"/>
        <w:ind w:firstLine="640" w:firstLineChars="200"/>
        <w:rPr>
          <w:rFonts w:hint="eastAsia" w:ascii="FangSong_GB2312" w:hAnsi="FangSong_GB2312" w:eastAsia="FangSong_GB2312" w:cs="FangSong_GB2312"/>
          <w:color w:val="auto"/>
          <w:kern w:val="0"/>
          <w:sz w:val="32"/>
          <w:szCs w:val="32"/>
          <w:u w:val="none"/>
          <w:lang w:val="en-US" w:eastAsia="en-US" w:bidi="ar-SA"/>
        </w:rPr>
      </w:pP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3"/>
        <w:gridCol w:w="555"/>
        <w:gridCol w:w="576"/>
        <w:gridCol w:w="685"/>
        <w:gridCol w:w="685"/>
        <w:gridCol w:w="692"/>
        <w:gridCol w:w="936"/>
        <w:gridCol w:w="936"/>
        <w:gridCol w:w="756"/>
        <w:gridCol w:w="685"/>
        <w:gridCol w:w="716"/>
        <w:gridCol w:w="747"/>
      </w:tblGrid>
      <w:tr w14:paraId="691D1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32EEF0A">
            <w:pPr>
              <w:keepNext w:val="0"/>
              <w:keepLines w:val="0"/>
              <w:widowControl/>
              <w:suppressLineNumbers w:val="0"/>
              <w:jc w:val="center"/>
              <w:textAlignment w:val="center"/>
              <w:rPr>
                <w:rFonts w:hint="eastAsia" w:ascii="宋体" w:hAnsi="宋体" w:eastAsia="宋体" w:cs="宋体"/>
                <w:b/>
                <w:bCs/>
                <w:i w:val="0"/>
                <w:iCs w:val="0"/>
                <w:color w:val="auto"/>
                <w:sz w:val="40"/>
                <w:szCs w:val="40"/>
                <w:u w:val="none"/>
              </w:rPr>
            </w:pPr>
            <w:r>
              <w:rPr>
                <w:rFonts w:hint="eastAsia" w:ascii="宋体" w:hAnsi="宋体" w:eastAsia="宋体" w:cs="宋体"/>
                <w:b/>
                <w:bCs/>
                <w:i w:val="0"/>
                <w:iCs w:val="0"/>
                <w:color w:val="auto"/>
                <w:kern w:val="0"/>
                <w:sz w:val="40"/>
                <w:szCs w:val="40"/>
                <w:u w:val="none"/>
                <w:lang w:val="en-US" w:eastAsia="zh-CN" w:bidi="ar"/>
              </w:rPr>
              <w:t>项目支出绩效自评表</w:t>
            </w:r>
            <w:r>
              <w:rPr>
                <w:rFonts w:hint="eastAsia" w:ascii="宋体" w:hAnsi="宋体" w:eastAsia="宋体" w:cs="宋体"/>
                <w:b/>
                <w:bCs/>
                <w:i w:val="0"/>
                <w:iCs w:val="0"/>
                <w:color w:val="auto"/>
                <w:kern w:val="0"/>
                <w:sz w:val="40"/>
                <w:szCs w:val="40"/>
                <w:u w:val="none"/>
                <w:lang w:val="en-US" w:eastAsia="zh-CN" w:bidi="ar"/>
              </w:rPr>
              <w:br w:type="textWrapping"/>
            </w:r>
            <w:r>
              <w:rPr>
                <w:rFonts w:hint="eastAsia" w:ascii="宋体" w:hAnsi="宋体" w:eastAsia="宋体" w:cs="宋体"/>
                <w:b/>
                <w:bCs/>
                <w:i w:val="0"/>
                <w:iCs w:val="0"/>
                <w:color w:val="auto"/>
                <w:kern w:val="0"/>
                <w:sz w:val="40"/>
                <w:szCs w:val="40"/>
                <w:u w:val="none"/>
                <w:lang w:val="en-US" w:eastAsia="zh-CN" w:bidi="ar"/>
              </w:rPr>
              <w:t>(2025年度）</w:t>
            </w:r>
          </w:p>
        </w:tc>
      </w:tr>
      <w:tr w14:paraId="27A75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96C660">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项目名称</w:t>
            </w:r>
          </w:p>
        </w:tc>
        <w:tc>
          <w:tcPr>
            <w:tcW w:w="428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9DAB7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事业单位经营支出</w:t>
            </w:r>
          </w:p>
        </w:tc>
      </w:tr>
      <w:tr w14:paraId="7B0E8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90877C">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主管部门</w:t>
            </w:r>
          </w:p>
        </w:tc>
        <w:tc>
          <w:tcPr>
            <w:tcW w:w="163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B66C5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内蒙古自治区市场监督管理局部门</w:t>
            </w:r>
          </w:p>
        </w:tc>
        <w:tc>
          <w:tcPr>
            <w:tcW w:w="8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3274F">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实施单位</w:t>
            </w:r>
          </w:p>
        </w:tc>
        <w:tc>
          <w:tcPr>
            <w:tcW w:w="178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E118A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内蒙古自治区特种设备检验研究院包头分院</w:t>
            </w:r>
          </w:p>
        </w:tc>
      </w:tr>
      <w:tr w14:paraId="2092C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1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5C8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项目资金</w:t>
            </w:r>
            <w:r>
              <w:rPr>
                <w:rFonts w:hint="eastAsia" w:ascii="宋体" w:hAnsi="宋体" w:eastAsia="宋体" w:cs="宋体"/>
                <w:i w:val="0"/>
                <w:iCs w:val="0"/>
                <w:color w:val="auto"/>
                <w:kern w:val="0"/>
                <w:sz w:val="18"/>
                <w:szCs w:val="18"/>
                <w:u w:val="none"/>
                <w:lang w:val="en-US" w:eastAsia="zh-CN" w:bidi="ar"/>
              </w:rPr>
              <w:br w:type="textWrapping"/>
            </w:r>
            <w:r>
              <w:rPr>
                <w:rFonts w:hint="eastAsia" w:ascii="宋体" w:hAnsi="宋体" w:eastAsia="宋体" w:cs="宋体"/>
                <w:i w:val="0"/>
                <w:iCs w:val="0"/>
                <w:color w:val="auto"/>
                <w:kern w:val="0"/>
                <w:sz w:val="18"/>
                <w:szCs w:val="18"/>
                <w:u w:val="none"/>
                <w:lang w:val="en-US" w:eastAsia="zh-CN" w:bidi="ar"/>
              </w:rPr>
              <w:t>（万元）</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510DC">
            <w:pP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B2D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年初预算数</w:t>
            </w:r>
          </w:p>
        </w:tc>
        <w:tc>
          <w:tcPr>
            <w:tcW w:w="8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EFC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全年预算数</w:t>
            </w:r>
          </w:p>
        </w:tc>
        <w:tc>
          <w:tcPr>
            <w:tcW w:w="8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B5FF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全年执行数</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2C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分值</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21D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执行率（%）</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2076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得分</w:t>
            </w:r>
          </w:p>
        </w:tc>
      </w:tr>
      <w:tr w14:paraId="42C0E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1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25F22">
            <w:pPr>
              <w:jc w:val="center"/>
              <w:rPr>
                <w:rFonts w:hint="eastAsia" w:ascii="宋体" w:hAnsi="宋体" w:eastAsia="宋体" w:cs="宋体"/>
                <w:i w:val="0"/>
                <w:iCs w:val="0"/>
                <w:color w:val="auto"/>
                <w:sz w:val="18"/>
                <w:szCs w:val="18"/>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831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年度资金总额</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8FB0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1502</w:t>
            </w:r>
          </w:p>
        </w:tc>
        <w:tc>
          <w:tcPr>
            <w:tcW w:w="8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840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1502</w:t>
            </w:r>
          </w:p>
        </w:tc>
        <w:tc>
          <w:tcPr>
            <w:tcW w:w="8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EC4F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1029.8</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1FE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75E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68.56</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76C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6.86</w:t>
            </w:r>
          </w:p>
        </w:tc>
      </w:tr>
      <w:tr w14:paraId="73A74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1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B93BB">
            <w:pPr>
              <w:jc w:val="center"/>
              <w:rPr>
                <w:rFonts w:hint="eastAsia" w:ascii="宋体" w:hAnsi="宋体" w:eastAsia="宋体" w:cs="宋体"/>
                <w:i w:val="0"/>
                <w:iCs w:val="0"/>
                <w:color w:val="auto"/>
                <w:sz w:val="18"/>
                <w:szCs w:val="18"/>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0F26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其中：财政拨款</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66F6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w:t>
            </w:r>
          </w:p>
        </w:tc>
        <w:tc>
          <w:tcPr>
            <w:tcW w:w="8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572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w:t>
            </w:r>
          </w:p>
        </w:tc>
        <w:tc>
          <w:tcPr>
            <w:tcW w:w="8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171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0F49">
            <w:pPr>
              <w:keepNext w:val="0"/>
              <w:keepLines w:val="0"/>
              <w:widowControl/>
              <w:suppressLineNumbers w:val="0"/>
              <w:jc w:val="center"/>
              <w:textAlignment w:val="center"/>
              <w:rPr>
                <w:rFonts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7EE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BB729">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2D3E1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1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813AF">
            <w:pPr>
              <w:jc w:val="center"/>
              <w:rPr>
                <w:rFonts w:hint="eastAsia" w:ascii="宋体" w:hAnsi="宋体" w:eastAsia="宋体" w:cs="宋体"/>
                <w:i w:val="0"/>
                <w:iCs w:val="0"/>
                <w:color w:val="auto"/>
                <w:sz w:val="18"/>
                <w:szCs w:val="18"/>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F2F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上年结转资金</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FA582">
            <w:pPr>
              <w:rPr>
                <w:rFonts w:hint="eastAsia" w:ascii="宋体" w:hAnsi="宋体" w:eastAsia="宋体" w:cs="宋体"/>
                <w:i w:val="0"/>
                <w:iCs w:val="0"/>
                <w:color w:val="auto"/>
                <w:sz w:val="18"/>
                <w:szCs w:val="18"/>
                <w:u w:val="none"/>
              </w:rPr>
            </w:pPr>
          </w:p>
        </w:tc>
        <w:tc>
          <w:tcPr>
            <w:tcW w:w="8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76A7DF">
            <w:pPr>
              <w:jc w:val="center"/>
              <w:rPr>
                <w:rFonts w:hint="eastAsia" w:ascii="宋体" w:hAnsi="宋体" w:eastAsia="宋体" w:cs="宋体"/>
                <w:i w:val="0"/>
                <w:iCs w:val="0"/>
                <w:color w:val="auto"/>
                <w:sz w:val="18"/>
                <w:szCs w:val="18"/>
                <w:u w:val="none"/>
              </w:rPr>
            </w:pPr>
          </w:p>
        </w:tc>
        <w:tc>
          <w:tcPr>
            <w:tcW w:w="8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13D3A">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3B26">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0AECA">
            <w:pPr>
              <w:jc w:val="center"/>
              <w:rPr>
                <w:rFonts w:hint="eastAsia" w:ascii="宋体" w:hAnsi="宋体" w:eastAsia="宋体" w:cs="宋体"/>
                <w:i w:val="0"/>
                <w:iCs w:val="0"/>
                <w:color w:val="auto"/>
                <w:sz w:val="18"/>
                <w:szCs w:val="18"/>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05B9D">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5EE76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1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20E39">
            <w:pPr>
              <w:jc w:val="center"/>
              <w:rPr>
                <w:rFonts w:hint="eastAsia" w:ascii="宋体" w:hAnsi="宋体" w:eastAsia="宋体" w:cs="宋体"/>
                <w:i w:val="0"/>
                <w:iCs w:val="0"/>
                <w:color w:val="auto"/>
                <w:sz w:val="18"/>
                <w:szCs w:val="18"/>
                <w:u w:val="none"/>
              </w:rPr>
            </w:pP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B8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其他资金</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CD10D">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1502</w:t>
            </w:r>
          </w:p>
        </w:tc>
        <w:tc>
          <w:tcPr>
            <w:tcW w:w="8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372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1502</w:t>
            </w:r>
          </w:p>
        </w:tc>
        <w:tc>
          <w:tcPr>
            <w:tcW w:w="8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5A1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1029.8</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DD0A">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c>
          <w:tcPr>
            <w:tcW w:w="8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0D8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68.56</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A70F">
            <w:pPr>
              <w:keepNext w:val="0"/>
              <w:keepLines w:val="0"/>
              <w:widowControl/>
              <w:suppressLineNumbers w:val="0"/>
              <w:jc w:val="center"/>
              <w:textAlignment w:val="center"/>
              <w:rPr>
                <w:rFonts w:hint="default" w:ascii="Arial" w:hAnsi="Arial" w:eastAsia="宋体" w:cs="Arial"/>
                <w:i w:val="0"/>
                <w:iCs w:val="0"/>
                <w:color w:val="auto"/>
                <w:sz w:val="19"/>
                <w:szCs w:val="19"/>
                <w:u w:val="none"/>
              </w:rPr>
            </w:pPr>
            <w:r>
              <w:rPr>
                <w:rFonts w:hint="default" w:ascii="Arial" w:hAnsi="Arial" w:eastAsia="宋体" w:cs="Arial"/>
                <w:i w:val="0"/>
                <w:iCs w:val="0"/>
                <w:color w:val="auto"/>
                <w:kern w:val="0"/>
                <w:sz w:val="19"/>
                <w:szCs w:val="19"/>
                <w:u w:val="none"/>
                <w:lang w:val="en-US" w:eastAsia="zh-CN" w:bidi="ar"/>
              </w:rPr>
              <w:t>——</w:t>
            </w:r>
          </w:p>
        </w:tc>
      </w:tr>
      <w:tr w14:paraId="54BC6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1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5E7A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年度总体目标</w:t>
            </w:r>
          </w:p>
        </w:tc>
        <w:tc>
          <w:tcPr>
            <w:tcW w:w="206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FF60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预期目标</w:t>
            </w:r>
          </w:p>
        </w:tc>
        <w:tc>
          <w:tcPr>
            <w:tcW w:w="221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8030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实际完成情况</w:t>
            </w:r>
          </w:p>
        </w:tc>
      </w:tr>
      <w:tr w14:paraId="590B5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71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CB28E">
            <w:pPr>
              <w:jc w:val="center"/>
              <w:rPr>
                <w:rFonts w:hint="eastAsia" w:ascii="宋体" w:hAnsi="宋体" w:eastAsia="宋体" w:cs="宋体"/>
                <w:i w:val="0"/>
                <w:iCs w:val="0"/>
                <w:color w:val="auto"/>
                <w:sz w:val="18"/>
                <w:szCs w:val="18"/>
                <w:u w:val="none"/>
              </w:rPr>
            </w:pPr>
          </w:p>
        </w:tc>
        <w:tc>
          <w:tcPr>
            <w:tcW w:w="206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23F1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目标1：根据《中华人民共和国特种设备安全法》及相关技术规范，对自治区机电类、承压类等特种设备开展委托检验并出具检验检测报告(证书），提高企业安全意识，落实企业主体责任。 目标2：加强特种设备能力建设，维护现有特种设备检验场所及设备运行，配置特种设备检验日常用设备，提高特种设备检验能力。</w:t>
            </w:r>
          </w:p>
        </w:tc>
        <w:tc>
          <w:tcPr>
            <w:tcW w:w="221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EF38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2025年对全市特种设备进行了委托检验检测并出具检验检测报告（证书），保证特种设备安全运行，有效的为特种设备安全监察提供技术支撑；对特种设备作业人员进行了培训，提高了特种设备作业人员操作技能；保障了特种设备检验科研中心、科普中心的使用，有效协助企业提高企业生产收益，基本完成了本项目的绩效目标。</w:t>
            </w:r>
          </w:p>
        </w:tc>
      </w:tr>
      <w:tr w14:paraId="14AB5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2D8E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绩效指标</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152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一级指标</w:t>
            </w:r>
          </w:p>
        </w:tc>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C23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二级指标</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80D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三级指标</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F69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指标性质</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D70D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指标方向</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7A5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年度指标值</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129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实际完成值</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0D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计量单位</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119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分值</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320A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得分</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7122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偏差原因分析及改进措施</w:t>
            </w:r>
          </w:p>
        </w:tc>
      </w:tr>
      <w:tr w14:paraId="2394C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restart"/>
            <w:tcBorders>
              <w:top w:val="single" w:color="000000" w:sz="4" w:space="0"/>
              <w:left w:val="single" w:color="000000" w:sz="4" w:space="0"/>
              <w:bottom w:val="nil"/>
              <w:right w:val="single" w:color="000000" w:sz="4" w:space="0"/>
            </w:tcBorders>
            <w:shd w:val="clear" w:color="auto" w:fill="auto"/>
            <w:vAlign w:val="center"/>
          </w:tcPr>
          <w:p w14:paraId="691395E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绩效指标</w:t>
            </w:r>
          </w:p>
        </w:tc>
        <w:tc>
          <w:tcPr>
            <w:tcW w:w="356" w:type="pct"/>
            <w:vMerge w:val="restart"/>
            <w:tcBorders>
              <w:top w:val="single" w:color="000000" w:sz="4" w:space="0"/>
              <w:left w:val="single" w:color="000000" w:sz="4" w:space="0"/>
              <w:bottom w:val="nil"/>
              <w:right w:val="single" w:color="000000" w:sz="4" w:space="0"/>
            </w:tcBorders>
            <w:shd w:val="clear" w:color="auto" w:fill="auto"/>
            <w:vAlign w:val="center"/>
          </w:tcPr>
          <w:p w14:paraId="77FCD3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产出指标</w:t>
            </w:r>
          </w:p>
        </w:tc>
        <w:tc>
          <w:tcPr>
            <w:tcW w:w="335" w:type="pct"/>
            <w:vMerge w:val="restart"/>
            <w:tcBorders>
              <w:top w:val="single" w:color="000000" w:sz="4" w:space="0"/>
              <w:left w:val="single" w:color="000000" w:sz="4" w:space="0"/>
              <w:bottom w:val="nil"/>
              <w:right w:val="single" w:color="000000" w:sz="4" w:space="0"/>
            </w:tcBorders>
            <w:shd w:val="clear" w:color="auto" w:fill="auto"/>
            <w:vAlign w:val="center"/>
          </w:tcPr>
          <w:p w14:paraId="08BF80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数量指标</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03AA02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完成机电类特种设备委托检验数量</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A4D9A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4A6635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6599C8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10367</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3196C53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11943</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05C22B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只（台）</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68401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31936A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714B4C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因部分机电类特种设备临近检验周期导致委托检验数量增加。</w:t>
            </w:r>
          </w:p>
        </w:tc>
      </w:tr>
      <w:tr w14:paraId="29FF7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3E13E1D2">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7765AE13">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3EB3F79C">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9138B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完成承压类特种设备委托检验数量</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2A060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58705B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2F8426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3471</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0F9A31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4507</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37E6351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8296E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5E08F8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10E3D9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因部分承压类特种设备临近检验周期导致委托检验数量增加。</w:t>
            </w:r>
          </w:p>
        </w:tc>
      </w:tr>
      <w:tr w14:paraId="6DA6A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5321730D">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696AE95C">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6F33FCBC">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6177C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完成压力管道委托检验数量</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AD6B4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228BE4A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7F1F2A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123</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0DCC89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421</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3A380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千米</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DF744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4D54FE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646C26E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因部分压力管道设备临近检验周期导致委托检验数量增加。</w:t>
            </w:r>
          </w:p>
        </w:tc>
      </w:tr>
      <w:tr w14:paraId="2A135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0F4E2C01">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09EE02DA">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2E188951">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73322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完成气瓶委托检验数量</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64F4A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356CFA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5910A7D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15000</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1EFBEB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12172</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2261B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只（台）</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CB51FC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7DB93A7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1.62</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04E213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业务量减少导致检验数量减少。</w:t>
            </w:r>
          </w:p>
        </w:tc>
      </w:tr>
      <w:tr w14:paraId="4D933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1D07FB84">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4C85DC36">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55597BB4">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E642EA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完成安全阀校验数量</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9F25A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4ABF4B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66C988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15000</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0D0460A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14239</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30051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只（台）</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1EEEC2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7EF041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2397585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业务量减少导致检验数量减少。</w:t>
            </w:r>
          </w:p>
        </w:tc>
      </w:tr>
      <w:tr w14:paraId="09FBF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13E31818">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370C2CAD">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2B2368B1">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8C2D2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管理特种设备检验检测及配套场所面积</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04F9F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50E58D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579C04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40657.68</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E6628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40656.68</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15E508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平方米</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EAD379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75F37A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5DD9F0D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包含已报废房屋面积为1，因此产生差异。</w:t>
            </w:r>
          </w:p>
        </w:tc>
      </w:tr>
      <w:tr w14:paraId="327D6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07E18007">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6881B9CC">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48BF084E">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6123A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新增特种设备检验日常用设备数量</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3C1FAA3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7BEAAB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42F132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50</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E96F48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71</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374FC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台套</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BDBDC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53BFA0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233414B2">
            <w:pPr>
              <w:jc w:val="center"/>
              <w:rPr>
                <w:rFonts w:hint="eastAsia" w:ascii="宋体" w:hAnsi="宋体" w:eastAsia="宋体" w:cs="宋体"/>
                <w:i w:val="0"/>
                <w:iCs w:val="0"/>
                <w:color w:val="auto"/>
                <w:sz w:val="18"/>
                <w:szCs w:val="18"/>
                <w:u w:val="none"/>
              </w:rPr>
            </w:pPr>
          </w:p>
        </w:tc>
      </w:tr>
      <w:tr w14:paraId="14ACA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22151435">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21476C1A">
            <w:pPr>
              <w:jc w:val="center"/>
              <w:rPr>
                <w:rFonts w:hint="eastAsia" w:ascii="宋体" w:hAnsi="宋体" w:eastAsia="宋体" w:cs="宋体"/>
                <w:i w:val="0"/>
                <w:iCs w:val="0"/>
                <w:color w:val="auto"/>
                <w:sz w:val="18"/>
                <w:szCs w:val="18"/>
                <w:u w:val="none"/>
              </w:rPr>
            </w:pPr>
          </w:p>
        </w:tc>
        <w:tc>
          <w:tcPr>
            <w:tcW w:w="335" w:type="pct"/>
            <w:vMerge w:val="restart"/>
            <w:tcBorders>
              <w:top w:val="single" w:color="000000" w:sz="4" w:space="0"/>
              <w:left w:val="single" w:color="000000" w:sz="4" w:space="0"/>
              <w:bottom w:val="nil"/>
              <w:right w:val="single" w:color="000000" w:sz="4" w:space="0"/>
            </w:tcBorders>
            <w:shd w:val="clear" w:color="auto" w:fill="auto"/>
            <w:vAlign w:val="center"/>
          </w:tcPr>
          <w:p w14:paraId="5C92B2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质量指标</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0E0006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检验检测报告差错率</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1DBE78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3344BE4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0D5164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0FF4C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9F6E4D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06DE31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4A79E1C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414F3091">
            <w:pPr>
              <w:jc w:val="center"/>
              <w:rPr>
                <w:rFonts w:hint="eastAsia" w:ascii="宋体" w:hAnsi="宋体" w:eastAsia="宋体" w:cs="宋体"/>
                <w:i w:val="0"/>
                <w:iCs w:val="0"/>
                <w:color w:val="auto"/>
                <w:sz w:val="18"/>
                <w:szCs w:val="18"/>
                <w:u w:val="none"/>
              </w:rPr>
            </w:pPr>
          </w:p>
        </w:tc>
      </w:tr>
      <w:tr w14:paraId="50137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098DEF2D">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093D14B2">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18FF8711">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6CAE6E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特种设备检验技术指标验收复核合格率</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09F073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4F7805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4EF87B0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8AE09B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23953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696BA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63BB289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4761EF98">
            <w:pPr>
              <w:jc w:val="center"/>
              <w:rPr>
                <w:rFonts w:hint="eastAsia" w:ascii="宋体" w:hAnsi="宋体" w:eastAsia="宋体" w:cs="宋体"/>
                <w:i w:val="0"/>
                <w:iCs w:val="0"/>
                <w:color w:val="auto"/>
                <w:sz w:val="18"/>
                <w:szCs w:val="18"/>
                <w:u w:val="none"/>
              </w:rPr>
            </w:pPr>
          </w:p>
        </w:tc>
      </w:tr>
      <w:tr w14:paraId="28B73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4C93DA2B">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62B301B2">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5886AB9E">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1AC817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设备验收合格率</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45A76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55D91D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7AFCEE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34C13C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5F441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03EF81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69F422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68E5200F">
            <w:pPr>
              <w:jc w:val="center"/>
              <w:rPr>
                <w:rFonts w:hint="eastAsia" w:ascii="宋体" w:hAnsi="宋体" w:eastAsia="宋体" w:cs="宋体"/>
                <w:i w:val="0"/>
                <w:iCs w:val="0"/>
                <w:color w:val="auto"/>
                <w:sz w:val="18"/>
                <w:szCs w:val="18"/>
                <w:u w:val="none"/>
              </w:rPr>
            </w:pPr>
          </w:p>
        </w:tc>
      </w:tr>
      <w:tr w14:paraId="48EF2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686993DC">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721C01EE">
            <w:pPr>
              <w:jc w:val="center"/>
              <w:rPr>
                <w:rFonts w:hint="eastAsia" w:ascii="宋体" w:hAnsi="宋体" w:eastAsia="宋体" w:cs="宋体"/>
                <w:i w:val="0"/>
                <w:iCs w:val="0"/>
                <w:color w:val="auto"/>
                <w:sz w:val="18"/>
                <w:szCs w:val="18"/>
                <w:u w:val="none"/>
              </w:rPr>
            </w:pPr>
          </w:p>
        </w:tc>
        <w:tc>
          <w:tcPr>
            <w:tcW w:w="335" w:type="pct"/>
            <w:vMerge w:val="restart"/>
            <w:tcBorders>
              <w:top w:val="single" w:color="000000" w:sz="4" w:space="0"/>
              <w:left w:val="single" w:color="000000" w:sz="4" w:space="0"/>
              <w:bottom w:val="nil"/>
              <w:right w:val="single" w:color="000000" w:sz="4" w:space="0"/>
            </w:tcBorders>
            <w:shd w:val="clear" w:color="auto" w:fill="auto"/>
            <w:vAlign w:val="center"/>
          </w:tcPr>
          <w:p w14:paraId="7ADE0A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时效指标</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3DB2EB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提出检验申请后检验受理时间</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31422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471191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7CA470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02D67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7FC652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工作日</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6DF20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107FCE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3F321C06">
            <w:pPr>
              <w:jc w:val="center"/>
              <w:rPr>
                <w:rFonts w:hint="eastAsia" w:ascii="宋体" w:hAnsi="宋体" w:eastAsia="宋体" w:cs="宋体"/>
                <w:i w:val="0"/>
                <w:iCs w:val="0"/>
                <w:color w:val="auto"/>
                <w:sz w:val="18"/>
                <w:szCs w:val="18"/>
                <w:u w:val="none"/>
              </w:rPr>
            </w:pPr>
          </w:p>
        </w:tc>
      </w:tr>
      <w:tr w14:paraId="2BA8E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79DBE322">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197E640B">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37750331">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FDC94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形成检验结论后检验报告出具时间</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8B968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69F242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52A89D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E16C1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45</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C7C7C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工作日</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7A0D8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0B5392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1D923DAB">
            <w:pPr>
              <w:jc w:val="center"/>
              <w:rPr>
                <w:rFonts w:hint="eastAsia" w:ascii="宋体" w:hAnsi="宋体" w:eastAsia="宋体" w:cs="宋体"/>
                <w:i w:val="0"/>
                <w:iCs w:val="0"/>
                <w:color w:val="auto"/>
                <w:sz w:val="18"/>
                <w:szCs w:val="18"/>
                <w:u w:val="none"/>
              </w:rPr>
            </w:pPr>
          </w:p>
        </w:tc>
      </w:tr>
      <w:tr w14:paraId="0125D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1FCAF755">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263E4FB2">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7FFD62D2">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02B352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日常维修护响应时间</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14D53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78513C5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606706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4226F4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03D3FB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小时</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EF7E97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742193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4DA7FB5A">
            <w:pPr>
              <w:jc w:val="center"/>
              <w:rPr>
                <w:rFonts w:hint="eastAsia" w:ascii="宋体" w:hAnsi="宋体" w:eastAsia="宋体" w:cs="宋体"/>
                <w:i w:val="0"/>
                <w:iCs w:val="0"/>
                <w:color w:val="auto"/>
                <w:sz w:val="18"/>
                <w:szCs w:val="18"/>
                <w:u w:val="none"/>
              </w:rPr>
            </w:pPr>
          </w:p>
        </w:tc>
      </w:tr>
      <w:tr w14:paraId="32825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12BB9D15">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5B0A3A48">
            <w:pPr>
              <w:jc w:val="center"/>
              <w:rPr>
                <w:rFonts w:hint="eastAsia" w:ascii="宋体" w:hAnsi="宋体" w:eastAsia="宋体" w:cs="宋体"/>
                <w:i w:val="0"/>
                <w:iCs w:val="0"/>
                <w:color w:val="auto"/>
                <w:sz w:val="18"/>
                <w:szCs w:val="18"/>
                <w:u w:val="none"/>
              </w:rPr>
            </w:pPr>
          </w:p>
        </w:tc>
        <w:tc>
          <w:tcPr>
            <w:tcW w:w="335" w:type="pct"/>
            <w:vMerge w:val="restart"/>
            <w:tcBorders>
              <w:top w:val="single" w:color="000000" w:sz="4" w:space="0"/>
              <w:left w:val="single" w:color="000000" w:sz="4" w:space="0"/>
              <w:bottom w:val="nil"/>
              <w:right w:val="single" w:color="000000" w:sz="4" w:space="0"/>
            </w:tcBorders>
            <w:shd w:val="clear" w:color="auto" w:fill="auto"/>
            <w:vAlign w:val="center"/>
          </w:tcPr>
          <w:p w14:paraId="53D030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成本指标</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F2792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特种设备检验相关场所及设备维护总成本</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10727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042797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7C9A60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130</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FACAE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78.29</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7BF80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万元</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B50036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5E3BB0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527F37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例行节约成本。</w:t>
            </w:r>
          </w:p>
        </w:tc>
      </w:tr>
      <w:tr w14:paraId="48060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0308D75F">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51EA8ADA">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6038ABB7">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8A979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特种设备检验检验成本</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97C7A3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54016A4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3D4AADB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1292</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35D0B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951.51</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0D1C1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万元</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56041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2A2A1C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3687C09B">
            <w:pPr>
              <w:jc w:val="center"/>
              <w:rPr>
                <w:rFonts w:hint="eastAsia" w:ascii="宋体" w:hAnsi="宋体" w:eastAsia="宋体" w:cs="宋体"/>
                <w:i w:val="0"/>
                <w:iCs w:val="0"/>
                <w:color w:val="auto"/>
                <w:sz w:val="18"/>
                <w:szCs w:val="18"/>
                <w:u w:val="none"/>
              </w:rPr>
            </w:pPr>
          </w:p>
        </w:tc>
      </w:tr>
      <w:tr w14:paraId="00C19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25BCC415">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335BB79E">
            <w:pPr>
              <w:jc w:val="center"/>
              <w:rPr>
                <w:rFonts w:hint="eastAsia" w:ascii="宋体" w:hAnsi="宋体" w:eastAsia="宋体" w:cs="宋体"/>
                <w:i w:val="0"/>
                <w:iCs w:val="0"/>
                <w:color w:val="auto"/>
                <w:sz w:val="18"/>
                <w:szCs w:val="18"/>
                <w:u w:val="none"/>
              </w:rPr>
            </w:pPr>
          </w:p>
        </w:tc>
        <w:tc>
          <w:tcPr>
            <w:tcW w:w="335" w:type="pct"/>
            <w:vMerge w:val="continue"/>
            <w:tcBorders>
              <w:top w:val="single" w:color="000000" w:sz="4" w:space="0"/>
              <w:left w:val="single" w:color="000000" w:sz="4" w:space="0"/>
              <w:bottom w:val="nil"/>
              <w:right w:val="single" w:color="000000" w:sz="4" w:space="0"/>
            </w:tcBorders>
            <w:shd w:val="clear" w:color="auto" w:fill="auto"/>
            <w:vAlign w:val="center"/>
          </w:tcPr>
          <w:p w14:paraId="244BFBD2">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3061EC5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人员培训成本</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51596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反向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3E8F1C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小于等于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49D052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400</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1B835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329.6</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421CCDC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元/人*天</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33B2B1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4A834E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57F45D7C">
            <w:pPr>
              <w:jc w:val="center"/>
              <w:rPr>
                <w:rFonts w:hint="eastAsia" w:ascii="宋体" w:hAnsi="宋体" w:eastAsia="宋体" w:cs="宋体"/>
                <w:i w:val="0"/>
                <w:iCs w:val="0"/>
                <w:color w:val="auto"/>
                <w:sz w:val="18"/>
                <w:szCs w:val="18"/>
                <w:u w:val="none"/>
              </w:rPr>
            </w:pPr>
          </w:p>
        </w:tc>
      </w:tr>
      <w:tr w14:paraId="30FBE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12D2832D">
            <w:pPr>
              <w:jc w:val="center"/>
              <w:rPr>
                <w:rFonts w:hint="eastAsia" w:ascii="宋体" w:hAnsi="宋体" w:eastAsia="宋体" w:cs="宋体"/>
                <w:i w:val="0"/>
                <w:iCs w:val="0"/>
                <w:color w:val="auto"/>
                <w:sz w:val="18"/>
                <w:szCs w:val="18"/>
                <w:u w:val="none"/>
              </w:rPr>
            </w:pPr>
          </w:p>
        </w:tc>
        <w:tc>
          <w:tcPr>
            <w:tcW w:w="356" w:type="pct"/>
            <w:vMerge w:val="restart"/>
            <w:tcBorders>
              <w:top w:val="single" w:color="000000" w:sz="4" w:space="0"/>
              <w:left w:val="single" w:color="000000" w:sz="4" w:space="0"/>
              <w:bottom w:val="nil"/>
              <w:right w:val="single" w:color="000000" w:sz="4" w:space="0"/>
            </w:tcBorders>
            <w:shd w:val="clear" w:color="auto" w:fill="auto"/>
            <w:vAlign w:val="center"/>
          </w:tcPr>
          <w:p w14:paraId="6EDD7B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效益指标</w:t>
            </w:r>
          </w:p>
        </w:tc>
        <w:tc>
          <w:tcPr>
            <w:tcW w:w="335" w:type="pct"/>
            <w:tcBorders>
              <w:top w:val="single" w:color="000000" w:sz="4" w:space="0"/>
              <w:left w:val="single" w:color="000000" w:sz="4" w:space="0"/>
              <w:bottom w:val="nil"/>
              <w:right w:val="single" w:color="000000" w:sz="4" w:space="0"/>
            </w:tcBorders>
            <w:shd w:val="clear" w:color="auto" w:fill="auto"/>
            <w:vAlign w:val="center"/>
          </w:tcPr>
          <w:p w14:paraId="43D2E3C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经济效益</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4C66B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完成年经营收入金额</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16E7577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2B12E3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0C0411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3300</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1B607F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3215.59</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648C8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万元</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FB49E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4DDF669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9.74</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12C956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企业经营困难，收入减少。</w:t>
            </w:r>
          </w:p>
        </w:tc>
      </w:tr>
      <w:tr w14:paraId="1AB78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4960AAE5">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09425D29">
            <w:pPr>
              <w:jc w:val="center"/>
              <w:rPr>
                <w:rFonts w:hint="eastAsia" w:ascii="宋体" w:hAnsi="宋体" w:eastAsia="宋体" w:cs="宋体"/>
                <w:i w:val="0"/>
                <w:iCs w:val="0"/>
                <w:color w:val="auto"/>
                <w:sz w:val="18"/>
                <w:szCs w:val="18"/>
                <w:u w:val="none"/>
              </w:rPr>
            </w:pPr>
          </w:p>
        </w:tc>
        <w:tc>
          <w:tcPr>
            <w:tcW w:w="335" w:type="pct"/>
            <w:tcBorders>
              <w:top w:val="single" w:color="000000" w:sz="4" w:space="0"/>
              <w:left w:val="single" w:color="000000" w:sz="4" w:space="0"/>
              <w:bottom w:val="nil"/>
              <w:right w:val="single" w:color="000000" w:sz="4" w:space="0"/>
            </w:tcBorders>
            <w:shd w:val="clear" w:color="auto" w:fill="auto"/>
            <w:vAlign w:val="center"/>
          </w:tcPr>
          <w:p w14:paraId="12E6BD9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社会效益</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776DA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检验合格特种设备重大安全事故发生数量</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15B7F0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182D24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133E6C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AD979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BF40C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起</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2B8FDE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2A24EF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0</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31FCA864">
            <w:pPr>
              <w:jc w:val="center"/>
              <w:rPr>
                <w:rFonts w:hint="eastAsia" w:ascii="宋体" w:hAnsi="宋体" w:eastAsia="宋体" w:cs="宋体"/>
                <w:i w:val="0"/>
                <w:iCs w:val="0"/>
                <w:color w:val="auto"/>
                <w:sz w:val="18"/>
                <w:szCs w:val="18"/>
                <w:u w:val="none"/>
              </w:rPr>
            </w:pPr>
          </w:p>
        </w:tc>
      </w:tr>
      <w:tr w14:paraId="5BFDA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2E0B3626">
            <w:pPr>
              <w:jc w:val="center"/>
              <w:rPr>
                <w:rFonts w:hint="eastAsia" w:ascii="宋体" w:hAnsi="宋体" w:eastAsia="宋体" w:cs="宋体"/>
                <w:i w:val="0"/>
                <w:iCs w:val="0"/>
                <w:color w:val="auto"/>
                <w:sz w:val="18"/>
                <w:szCs w:val="18"/>
                <w:u w:val="none"/>
              </w:rPr>
            </w:pPr>
          </w:p>
        </w:tc>
        <w:tc>
          <w:tcPr>
            <w:tcW w:w="356" w:type="pct"/>
            <w:vMerge w:val="continue"/>
            <w:tcBorders>
              <w:top w:val="single" w:color="000000" w:sz="4" w:space="0"/>
              <w:left w:val="single" w:color="000000" w:sz="4" w:space="0"/>
              <w:bottom w:val="nil"/>
              <w:right w:val="single" w:color="000000" w:sz="4" w:space="0"/>
            </w:tcBorders>
            <w:shd w:val="clear" w:color="auto" w:fill="auto"/>
            <w:vAlign w:val="center"/>
          </w:tcPr>
          <w:p w14:paraId="5392496A">
            <w:pPr>
              <w:jc w:val="center"/>
              <w:rPr>
                <w:rFonts w:hint="eastAsia" w:ascii="宋体" w:hAnsi="宋体" w:eastAsia="宋体" w:cs="宋体"/>
                <w:i w:val="0"/>
                <w:iCs w:val="0"/>
                <w:color w:val="auto"/>
                <w:sz w:val="18"/>
                <w:szCs w:val="18"/>
                <w:u w:val="none"/>
              </w:rPr>
            </w:pPr>
          </w:p>
        </w:tc>
        <w:tc>
          <w:tcPr>
            <w:tcW w:w="335" w:type="pct"/>
            <w:tcBorders>
              <w:top w:val="single" w:color="000000" w:sz="4" w:space="0"/>
              <w:left w:val="single" w:color="000000" w:sz="4" w:space="0"/>
              <w:bottom w:val="nil"/>
              <w:right w:val="single" w:color="000000" w:sz="4" w:space="0"/>
            </w:tcBorders>
            <w:shd w:val="clear" w:color="auto" w:fill="auto"/>
            <w:vAlign w:val="center"/>
          </w:tcPr>
          <w:p w14:paraId="015385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可持续影响</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5BD51C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特种设备使用单位安全意识</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21B15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定性</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4629A631">
            <w:pPr>
              <w:jc w:val="center"/>
              <w:rPr>
                <w:rFonts w:hint="eastAsia" w:ascii="宋体" w:hAnsi="宋体" w:eastAsia="宋体" w:cs="宋体"/>
                <w:i w:val="0"/>
                <w:iCs w:val="0"/>
                <w:color w:val="auto"/>
                <w:sz w:val="18"/>
                <w:szCs w:val="18"/>
                <w:u w:val="none"/>
              </w:rPr>
            </w:pPr>
          </w:p>
        </w:tc>
        <w:tc>
          <w:tcPr>
            <w:tcW w:w="433" w:type="pct"/>
            <w:tcBorders>
              <w:top w:val="single" w:color="000000" w:sz="4" w:space="0"/>
              <w:left w:val="single" w:color="000000" w:sz="4" w:space="0"/>
              <w:bottom w:val="nil"/>
              <w:right w:val="single" w:color="000000" w:sz="4" w:space="0"/>
            </w:tcBorders>
            <w:shd w:val="clear" w:color="auto" w:fill="auto"/>
            <w:vAlign w:val="center"/>
          </w:tcPr>
          <w:p w14:paraId="3A0785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8DDA1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稳步提高</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4D1BC18">
            <w:pPr>
              <w:jc w:val="center"/>
              <w:rPr>
                <w:rFonts w:hint="eastAsia" w:ascii="宋体" w:hAnsi="宋体" w:eastAsia="宋体" w:cs="宋体"/>
                <w:i w:val="0"/>
                <w:iCs w:val="0"/>
                <w:color w:val="auto"/>
                <w:sz w:val="18"/>
                <w:szCs w:val="18"/>
                <w:u w:val="none"/>
              </w:rPr>
            </w:pPr>
          </w:p>
        </w:tc>
        <w:tc>
          <w:tcPr>
            <w:tcW w:w="432" w:type="pct"/>
            <w:tcBorders>
              <w:top w:val="single" w:color="000000" w:sz="4" w:space="0"/>
              <w:left w:val="single" w:color="000000" w:sz="4" w:space="0"/>
              <w:bottom w:val="nil"/>
              <w:right w:val="single" w:color="000000" w:sz="4" w:space="0"/>
            </w:tcBorders>
            <w:shd w:val="clear" w:color="auto" w:fill="auto"/>
            <w:vAlign w:val="center"/>
          </w:tcPr>
          <w:p w14:paraId="5C2710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1FB6E63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7D899073">
            <w:pPr>
              <w:jc w:val="center"/>
              <w:rPr>
                <w:rFonts w:hint="eastAsia" w:ascii="宋体" w:hAnsi="宋体" w:eastAsia="宋体" w:cs="宋体"/>
                <w:i w:val="0"/>
                <w:iCs w:val="0"/>
                <w:color w:val="auto"/>
                <w:sz w:val="18"/>
                <w:szCs w:val="18"/>
                <w:u w:val="none"/>
              </w:rPr>
            </w:pPr>
          </w:p>
        </w:tc>
      </w:tr>
      <w:tr w14:paraId="5B587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5" w:type="pct"/>
            <w:vMerge w:val="continue"/>
            <w:tcBorders>
              <w:top w:val="single" w:color="000000" w:sz="4" w:space="0"/>
              <w:left w:val="single" w:color="000000" w:sz="4" w:space="0"/>
              <w:bottom w:val="nil"/>
              <w:right w:val="single" w:color="000000" w:sz="4" w:space="0"/>
            </w:tcBorders>
            <w:shd w:val="clear" w:color="auto" w:fill="auto"/>
            <w:vAlign w:val="center"/>
          </w:tcPr>
          <w:p w14:paraId="340E249E">
            <w:pPr>
              <w:jc w:val="center"/>
              <w:rPr>
                <w:rFonts w:hint="eastAsia" w:ascii="宋体" w:hAnsi="宋体" w:eastAsia="宋体" w:cs="宋体"/>
                <w:i w:val="0"/>
                <w:iCs w:val="0"/>
                <w:color w:val="auto"/>
                <w:sz w:val="18"/>
                <w:szCs w:val="18"/>
                <w:u w:val="none"/>
              </w:rPr>
            </w:pPr>
          </w:p>
        </w:tc>
        <w:tc>
          <w:tcPr>
            <w:tcW w:w="356" w:type="pct"/>
            <w:tcBorders>
              <w:top w:val="single" w:color="000000" w:sz="4" w:space="0"/>
              <w:left w:val="single" w:color="000000" w:sz="4" w:space="0"/>
              <w:bottom w:val="nil"/>
              <w:right w:val="single" w:color="000000" w:sz="4" w:space="0"/>
            </w:tcBorders>
            <w:shd w:val="clear" w:color="auto" w:fill="auto"/>
            <w:vAlign w:val="center"/>
          </w:tcPr>
          <w:p w14:paraId="50874A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满意度指标</w:t>
            </w:r>
          </w:p>
        </w:tc>
        <w:tc>
          <w:tcPr>
            <w:tcW w:w="335" w:type="pct"/>
            <w:tcBorders>
              <w:top w:val="single" w:color="000000" w:sz="4" w:space="0"/>
              <w:left w:val="single" w:color="000000" w:sz="4" w:space="0"/>
              <w:bottom w:val="nil"/>
              <w:right w:val="single" w:color="000000" w:sz="4" w:space="0"/>
            </w:tcBorders>
            <w:shd w:val="clear" w:color="auto" w:fill="auto"/>
            <w:vAlign w:val="center"/>
          </w:tcPr>
          <w:p w14:paraId="30F433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服务对象满意度</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11C2D54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被检验单位满意度</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E4053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正向</w:t>
            </w:r>
          </w:p>
        </w:tc>
        <w:tc>
          <w:tcPr>
            <w:tcW w:w="434" w:type="pct"/>
            <w:tcBorders>
              <w:top w:val="single" w:color="000000" w:sz="4" w:space="0"/>
              <w:left w:val="single" w:color="000000" w:sz="4" w:space="0"/>
              <w:bottom w:val="nil"/>
              <w:right w:val="single" w:color="000000" w:sz="4" w:space="0"/>
            </w:tcBorders>
            <w:shd w:val="clear" w:color="auto" w:fill="auto"/>
            <w:vAlign w:val="center"/>
          </w:tcPr>
          <w:p w14:paraId="023DD52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大于等于</w:t>
            </w:r>
          </w:p>
        </w:tc>
        <w:tc>
          <w:tcPr>
            <w:tcW w:w="433" w:type="pct"/>
            <w:tcBorders>
              <w:top w:val="single" w:color="000000" w:sz="4" w:space="0"/>
              <w:left w:val="single" w:color="000000" w:sz="4" w:space="0"/>
              <w:bottom w:val="nil"/>
              <w:right w:val="single" w:color="000000" w:sz="4" w:space="0"/>
            </w:tcBorders>
            <w:shd w:val="clear" w:color="auto" w:fill="auto"/>
            <w:vAlign w:val="center"/>
          </w:tcPr>
          <w:p w14:paraId="02DDB1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9D1ED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95</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65681D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32" w:type="pct"/>
            <w:tcBorders>
              <w:top w:val="single" w:color="000000" w:sz="4" w:space="0"/>
              <w:left w:val="single" w:color="000000" w:sz="4" w:space="0"/>
              <w:bottom w:val="nil"/>
              <w:right w:val="single" w:color="000000" w:sz="4" w:space="0"/>
            </w:tcBorders>
            <w:shd w:val="clear" w:color="auto" w:fill="auto"/>
            <w:vAlign w:val="center"/>
          </w:tcPr>
          <w:p w14:paraId="78397E9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49" w:type="pct"/>
            <w:tcBorders>
              <w:top w:val="single" w:color="000000" w:sz="4" w:space="0"/>
              <w:left w:val="single" w:color="000000" w:sz="4" w:space="0"/>
              <w:bottom w:val="nil"/>
              <w:right w:val="single" w:color="000000" w:sz="4" w:space="0"/>
            </w:tcBorders>
            <w:shd w:val="clear" w:color="auto" w:fill="auto"/>
            <w:vAlign w:val="center"/>
          </w:tcPr>
          <w:p w14:paraId="5A2B0B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470" w:type="pct"/>
            <w:tcBorders>
              <w:top w:val="single" w:color="000000" w:sz="4" w:space="0"/>
              <w:left w:val="single" w:color="000000" w:sz="4" w:space="0"/>
              <w:bottom w:val="nil"/>
              <w:right w:val="single" w:color="000000" w:sz="4" w:space="0"/>
            </w:tcBorders>
            <w:shd w:val="clear" w:color="auto" w:fill="auto"/>
            <w:vAlign w:val="center"/>
          </w:tcPr>
          <w:p w14:paraId="54E3E699">
            <w:pPr>
              <w:jc w:val="center"/>
              <w:rPr>
                <w:rFonts w:hint="eastAsia" w:ascii="宋体" w:hAnsi="宋体" w:eastAsia="宋体" w:cs="宋体"/>
                <w:i w:val="0"/>
                <w:iCs w:val="0"/>
                <w:color w:val="auto"/>
                <w:sz w:val="18"/>
                <w:szCs w:val="18"/>
                <w:u w:val="none"/>
              </w:rPr>
            </w:pPr>
          </w:p>
        </w:tc>
      </w:tr>
      <w:tr w14:paraId="41BB8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647"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A064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总分</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0BC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390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86.12</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DF6B9">
            <w:pPr>
              <w:jc w:val="center"/>
              <w:rPr>
                <w:rFonts w:hint="eastAsia" w:ascii="宋体" w:hAnsi="宋体" w:eastAsia="宋体" w:cs="宋体"/>
                <w:i w:val="0"/>
                <w:iCs w:val="0"/>
                <w:color w:val="auto"/>
                <w:sz w:val="18"/>
                <w:szCs w:val="18"/>
                <w:u w:val="none"/>
              </w:rPr>
            </w:pPr>
          </w:p>
        </w:tc>
      </w:tr>
    </w:tbl>
    <w:p w14:paraId="369B1C23">
      <w:pPr>
        <w:pStyle w:val="28"/>
        <w:widowControl/>
        <w:spacing w:before="240" w:after="240"/>
        <w:ind w:firstLine="643"/>
        <w:jc w:val="left"/>
        <w:rPr>
          <w:rFonts w:ascii="Times New Roman" w:hAnsi="Times New Roman" w:eastAsia="Times New Roman" w:cs="Times New Roman"/>
          <w:color w:val="auto"/>
          <w:kern w:val="0"/>
          <w:sz w:val="24"/>
          <w:u w:val="none"/>
        </w:rPr>
      </w:pPr>
      <w:r>
        <w:rPr>
          <w:rFonts w:ascii="楷体" w:hAnsi="楷体" w:eastAsia="楷体" w:cs="楷体"/>
          <w:b/>
          <w:bCs/>
          <w:color w:val="auto"/>
          <w:kern w:val="0"/>
          <w:sz w:val="32"/>
          <w:szCs w:val="32"/>
          <w:u w:val="none"/>
        </w:rPr>
        <w:t>（三）部门项目绩效评价结果。</w:t>
      </w:r>
    </w:p>
    <w:p w14:paraId="679B0DAD">
      <w:pPr>
        <w:widowControl/>
        <w:spacing w:before="240" w:after="240"/>
        <w:ind w:firstLine="382"/>
        <w:rPr>
          <w:rFonts w:hint="eastAsia" w:ascii="FangSong_GB2312" w:hAnsi="FangSong_GB2312" w:eastAsia="FangSong_GB2312" w:cs="FangSong_GB2312"/>
          <w:color w:val="auto"/>
          <w:kern w:val="0"/>
          <w:sz w:val="32"/>
          <w:szCs w:val="32"/>
          <w:u w:val="none"/>
          <w:lang w:val="en-US" w:eastAsia="zh-CN" w:bidi="ar-SA"/>
        </w:rPr>
      </w:pPr>
      <w:r>
        <w:rPr>
          <w:rFonts w:hint="eastAsia" w:ascii="FangSong_GB2312" w:hAnsi="FangSong_GB2312" w:eastAsia="FangSong_GB2312" w:cs="FangSong_GB2312"/>
          <w:color w:val="auto"/>
          <w:kern w:val="0"/>
          <w:sz w:val="32"/>
          <w:szCs w:val="32"/>
          <w:u w:val="none"/>
          <w:lang w:val="en-US" w:eastAsia="zh-CN" w:bidi="ar-SA"/>
        </w:rPr>
        <w:t>我院作为内蒙古自治区特种设备检验研究院分支机构，由总院进行部门评价，评价内容及结果等情况详见内蒙古自治区特种设备检验研究院决算公开。</w:t>
      </w:r>
    </w:p>
    <w:p w14:paraId="349E55FE">
      <w:pPr>
        <w:widowControl/>
        <w:spacing w:before="240" w:after="240"/>
        <w:jc w:val="left"/>
        <w:rPr>
          <w:rFonts w:ascii="楷体" w:hAnsi="楷体" w:eastAsia="楷体" w:cs="楷体"/>
          <w:b/>
          <w:bCs/>
          <w:color w:val="auto"/>
          <w:kern w:val="0"/>
          <w:sz w:val="32"/>
          <w:szCs w:val="32"/>
          <w:u w:val="none"/>
          <w:lang w:val="en-US" w:eastAsia="zh-CN" w:bidi="ar-SA"/>
        </w:rPr>
      </w:pPr>
      <w:r>
        <w:rPr>
          <w:rFonts w:hint="eastAsia" w:ascii="楷体" w:hAnsi="楷体" w:eastAsia="楷体" w:cs="楷体"/>
          <w:b/>
          <w:bCs/>
          <w:color w:val="auto"/>
          <w:kern w:val="0"/>
          <w:sz w:val="32"/>
          <w:szCs w:val="32"/>
          <w:u w:val="none"/>
          <w:lang w:val="en-US" w:eastAsia="zh-CN" w:bidi="ar-SA"/>
        </w:rPr>
        <w:t>（四）单位预算绩效管理制度和核心绩效指标标准体系建设情况。</w:t>
      </w:r>
    </w:p>
    <w:p w14:paraId="1581B45C">
      <w:pPr>
        <w:pStyle w:val="3"/>
        <w:keepNext w:val="0"/>
        <w:keepLines w:val="0"/>
        <w:widowControl/>
        <w:spacing w:before="0" w:after="0" w:line="360" w:lineRule="auto"/>
        <w:ind w:left="0" w:right="0"/>
        <w:jc w:val="center"/>
        <w:rPr>
          <w:rFonts w:ascii="Times New Roman" w:hAnsi="Times New Roman" w:eastAsia="Times New Roman" w:cs="Times New Roman"/>
          <w:b/>
          <w:bCs/>
          <w:color w:val="auto"/>
          <w:kern w:val="0"/>
          <w:sz w:val="36"/>
          <w:szCs w:val="36"/>
          <w:u w:val="none"/>
        </w:rPr>
      </w:pPr>
      <w:r>
        <w:rPr>
          <w:rFonts w:ascii="方正小标宋简体" w:hAnsi="方正小标宋简体" w:eastAsia="方正小标宋简体" w:cs="方正小标宋简体"/>
          <w:color w:val="auto"/>
          <w:kern w:val="0"/>
          <w:sz w:val="36"/>
          <w:szCs w:val="36"/>
          <w:u w:val="none"/>
        </w:rPr>
        <w:t>第三部分</w:t>
      </w:r>
      <w:r>
        <w:rPr>
          <w:rFonts w:ascii="Times New Roman" w:hAnsi="Times New Roman" w:eastAsia="Times New Roman" w:cs="Times New Roman"/>
          <w:color w:val="auto"/>
          <w:kern w:val="0"/>
          <w:sz w:val="36"/>
          <w:szCs w:val="36"/>
          <w:u w:val="none"/>
        </w:rPr>
        <w:t> </w:t>
      </w:r>
      <w:r>
        <w:rPr>
          <w:rFonts w:ascii="方正小标宋简体" w:hAnsi="方正小标宋简体" w:eastAsia="方正小标宋简体" w:cs="方正小标宋简体"/>
          <w:b w:val="0"/>
          <w:bCs w:val="0"/>
          <w:color w:val="auto"/>
          <w:kern w:val="0"/>
          <w:sz w:val="36"/>
          <w:szCs w:val="36"/>
          <w:u w:val="none"/>
        </w:rPr>
        <w:t xml:space="preserve"> </w:t>
      </w:r>
      <w:r>
        <w:rPr>
          <w:rFonts w:ascii="方正小标宋简体" w:hAnsi="方正小标宋简体" w:eastAsia="方正小标宋简体" w:cs="方正小标宋简体"/>
          <w:color w:val="auto"/>
          <w:kern w:val="0"/>
          <w:sz w:val="36"/>
          <w:szCs w:val="36"/>
          <w:u w:val="none"/>
        </w:rPr>
        <w:t>名词解释</w:t>
      </w:r>
    </w:p>
    <w:p w14:paraId="521557C8">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一、财政拨款收入：</w:t>
      </w:r>
      <w:r>
        <w:rPr>
          <w:rFonts w:ascii="FangSong_GB2312" w:hAnsi="FangSong_GB2312" w:eastAsia="FangSong_GB2312" w:cs="FangSong_GB2312"/>
          <w:color w:val="auto"/>
          <w:kern w:val="0"/>
          <w:sz w:val="32"/>
          <w:szCs w:val="32"/>
          <w:u w:val="none"/>
        </w:rPr>
        <w:t>从同级财政部门取得的各类财政拨款，包括一般公共预算财政拨款、政府性基金预算财政拨款、国有资本经营预算财政拨款。</w:t>
      </w:r>
    </w:p>
    <w:p w14:paraId="46BD5BE1">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二、上级补助收入：</w:t>
      </w:r>
      <w:r>
        <w:rPr>
          <w:rFonts w:ascii="FangSong_GB2312" w:hAnsi="FangSong_GB2312" w:eastAsia="FangSong_GB2312" w:cs="FangSong_GB2312"/>
          <w:color w:val="auto"/>
          <w:kern w:val="0"/>
          <w:sz w:val="32"/>
          <w:szCs w:val="32"/>
          <w:u w:val="none"/>
        </w:rPr>
        <w:t>指事业单位从主管部门和上级单位取得的非财政补助收入。</w:t>
      </w:r>
    </w:p>
    <w:p w14:paraId="55F5313E">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三、事业收入：</w:t>
      </w:r>
      <w:r>
        <w:rPr>
          <w:rFonts w:ascii="FangSong_GB2312" w:hAnsi="FangSong_GB2312" w:eastAsia="FangSong_GB2312" w:cs="FangSong_GB2312"/>
          <w:color w:val="auto"/>
          <w:kern w:val="0"/>
          <w:sz w:val="32"/>
          <w:szCs w:val="32"/>
          <w:u w:val="none"/>
        </w:rPr>
        <w:t>指事业单位开展专业业务活动及其辅助活动取得的收入。</w:t>
      </w:r>
    </w:p>
    <w:p w14:paraId="6358831C">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四、经营收入：</w:t>
      </w:r>
      <w:r>
        <w:rPr>
          <w:rFonts w:ascii="FangSong_GB2312" w:hAnsi="FangSong_GB2312" w:eastAsia="FangSong_GB2312" w:cs="FangSong_GB2312"/>
          <w:color w:val="auto"/>
          <w:kern w:val="0"/>
          <w:sz w:val="32"/>
          <w:szCs w:val="32"/>
          <w:u w:val="none"/>
        </w:rPr>
        <w:t>指事业单位在专业业务活动及其辅助活动之外开展非独立核算经营活动取得的收入。</w:t>
      </w:r>
    </w:p>
    <w:p w14:paraId="536A71D7">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五、附属单位上缴收入：</w:t>
      </w:r>
      <w:r>
        <w:rPr>
          <w:rFonts w:ascii="FangSong_GB2312" w:hAnsi="FangSong_GB2312" w:eastAsia="FangSong_GB2312" w:cs="FangSong_GB2312"/>
          <w:color w:val="auto"/>
          <w:kern w:val="0"/>
          <w:sz w:val="32"/>
          <w:szCs w:val="32"/>
          <w:u w:val="none"/>
        </w:rPr>
        <w:t>指事业单位取得附属独立核算单位按照有关规定上缴的收入。</w:t>
      </w:r>
    </w:p>
    <w:p w14:paraId="1A9B9EFF">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六、其他收入：</w:t>
      </w:r>
      <w:r>
        <w:rPr>
          <w:rFonts w:ascii="FangSong_GB2312" w:hAnsi="FangSong_GB2312" w:eastAsia="FangSong_GB2312" w:cs="FangSong_GB2312"/>
          <w:color w:val="auto"/>
          <w:kern w:val="0"/>
          <w:sz w:val="32"/>
          <w:szCs w:val="32"/>
          <w:u w:val="none"/>
        </w:rPr>
        <w:t>取得的除上述财政拨款收入、上级补助收入、事业收入、经营收入、附属单位上缴收入等以外的各项收入。</w:t>
      </w:r>
    </w:p>
    <w:p w14:paraId="6B7E1610">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七、使用非财政拨款结余（含专用结余）：</w:t>
      </w:r>
      <w:r>
        <w:rPr>
          <w:rFonts w:ascii="FangSong_GB2312" w:hAnsi="FangSong_GB2312" w:eastAsia="FangSong_GB2312" w:cs="FangSong_GB2312"/>
          <w:color w:val="auto"/>
          <w:kern w:val="0"/>
          <w:sz w:val="32"/>
          <w:szCs w:val="32"/>
          <w:u w:val="none"/>
        </w:rPr>
        <w:t>指事业单位按照预算管理要求使用非财政拨款结余弥补收支差额的金额，以及使用专用结余安排支出的金额。</w:t>
      </w:r>
    </w:p>
    <w:p w14:paraId="2FF26414">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八、年初结转和结余：</w:t>
      </w:r>
      <w:r>
        <w:rPr>
          <w:rFonts w:ascii="FangSong_GB2312" w:hAnsi="FangSong_GB2312" w:eastAsia="FangSong_GB2312" w:cs="FangSong_GB2312"/>
          <w:color w:val="auto"/>
          <w:kern w:val="0"/>
          <w:sz w:val="32"/>
          <w:szCs w:val="32"/>
          <w:u w:val="none"/>
        </w:rPr>
        <w:t>指单位上年结转本年使用的基本支出结转、项目支出结转和结余、经营结余。</w:t>
      </w:r>
    </w:p>
    <w:p w14:paraId="544075D0">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九、结余分配：</w:t>
      </w:r>
      <w:r>
        <w:rPr>
          <w:rFonts w:ascii="FangSong_GB2312" w:hAnsi="FangSong_GB2312" w:eastAsia="FangSong_GB2312" w:cs="FangSong_GB2312"/>
          <w:color w:val="auto"/>
          <w:kern w:val="0"/>
          <w:sz w:val="32"/>
          <w:szCs w:val="32"/>
          <w:u w:val="none"/>
        </w:rPr>
        <w:t>指单位按规定缴纳企业所得税以及从非财政拨款结余或经营结余中提取各类结余的情况。</w:t>
      </w:r>
    </w:p>
    <w:p w14:paraId="0E295BD8">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十、年末结转和结余资金：</w:t>
      </w:r>
      <w:r>
        <w:rPr>
          <w:rFonts w:ascii="FangSong_GB2312" w:hAnsi="FangSong_GB2312" w:eastAsia="FangSong_GB2312" w:cs="FangSong_GB2312"/>
          <w:color w:val="auto"/>
          <w:kern w:val="0"/>
          <w:sz w:val="32"/>
          <w:szCs w:val="32"/>
          <w:u w:val="none"/>
        </w:rPr>
        <w:t>指单位结转下年的基本支出结转、项目支出结转和结余、经营结余。</w:t>
      </w:r>
    </w:p>
    <w:p w14:paraId="2B846A16">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十一、基本支出：</w:t>
      </w:r>
      <w:r>
        <w:rPr>
          <w:rFonts w:ascii="FangSong_GB2312" w:hAnsi="FangSong_GB2312" w:eastAsia="FangSong_GB2312" w:cs="FangSong_GB2312"/>
          <w:color w:val="auto"/>
          <w:kern w:val="0"/>
          <w:sz w:val="32"/>
          <w:szCs w:val="32"/>
          <w:u w:val="none"/>
        </w:rPr>
        <w:t>指为保障机构正常运转、完成日常工作任务所发生的支出，包括人员经费和公用经费。</w:t>
      </w:r>
    </w:p>
    <w:p w14:paraId="677F5BD8">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十二、项目支出：</w:t>
      </w:r>
      <w:r>
        <w:rPr>
          <w:rFonts w:ascii="FangSong_GB2312" w:hAnsi="FangSong_GB2312" w:eastAsia="FangSong_GB2312" w:cs="FangSong_GB2312"/>
          <w:color w:val="auto"/>
          <w:kern w:val="0"/>
          <w:sz w:val="32"/>
          <w:szCs w:val="32"/>
          <w:u w:val="none"/>
        </w:rPr>
        <w:t>指单位为完成特定的行政工作任务或事业发展目标，在基本支出之外发生的各项支出。</w:t>
      </w:r>
    </w:p>
    <w:p w14:paraId="12C5AADC">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十三、上缴上级支出：</w:t>
      </w:r>
      <w:r>
        <w:rPr>
          <w:rFonts w:ascii="FangSong_GB2312" w:hAnsi="FangSong_GB2312" w:eastAsia="FangSong_GB2312" w:cs="FangSong_GB2312"/>
          <w:color w:val="auto"/>
          <w:kern w:val="0"/>
          <w:sz w:val="32"/>
          <w:szCs w:val="32"/>
          <w:u w:val="none"/>
        </w:rPr>
        <w:t>指事业单位按照财政部门和主管部门的规定上缴上级单位的支出。</w:t>
      </w:r>
    </w:p>
    <w:p w14:paraId="45220CF3">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十四、经营支出：</w:t>
      </w:r>
      <w:r>
        <w:rPr>
          <w:rFonts w:ascii="FangSong_GB2312" w:hAnsi="FangSong_GB2312" w:eastAsia="FangSong_GB2312" w:cs="FangSong_GB2312"/>
          <w:color w:val="auto"/>
          <w:kern w:val="0"/>
          <w:sz w:val="32"/>
          <w:szCs w:val="32"/>
          <w:u w:val="none"/>
        </w:rPr>
        <w:t>指事业单位在专业业务活动及其辅助活动之外开展非独立核算经营活动发生的支出。</w:t>
      </w:r>
    </w:p>
    <w:p w14:paraId="2706A0DD">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十五、对附属单位补助支出：</w:t>
      </w:r>
      <w:r>
        <w:rPr>
          <w:rFonts w:ascii="FangSong_GB2312" w:hAnsi="FangSong_GB2312" w:eastAsia="FangSong_GB2312" w:cs="FangSong_GB2312"/>
          <w:color w:val="auto"/>
          <w:kern w:val="0"/>
          <w:sz w:val="32"/>
          <w:szCs w:val="32"/>
          <w:u w:val="none"/>
        </w:rPr>
        <w:t>指事业单位用财政拨款收入之外的收入对附属单位补助发生的支出。</w:t>
      </w:r>
    </w:p>
    <w:p w14:paraId="52656961">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十六、“三公”经费：</w:t>
      </w:r>
      <w:r>
        <w:rPr>
          <w:rFonts w:ascii="FangSong_GB2312" w:hAnsi="FangSong_GB2312" w:eastAsia="FangSong_GB2312" w:cs="FangSong_GB2312"/>
          <w:color w:val="auto"/>
          <w:kern w:val="0"/>
          <w:sz w:val="32"/>
          <w:szCs w:val="32"/>
          <w:u w:val="none"/>
        </w:rPr>
        <w:t>指</w:t>
      </w:r>
      <w:r>
        <w:rPr>
          <w:rFonts w:hint="eastAsia" w:ascii="FangSong_GB2312" w:hAnsi="FangSong_GB2312" w:eastAsia="FangSong_GB2312" w:cs="FangSong_GB2312"/>
          <w:color w:val="auto"/>
          <w:kern w:val="0"/>
          <w:sz w:val="32"/>
          <w:szCs w:val="32"/>
          <w:u w:val="none"/>
          <w:lang w:eastAsia="zh-CN"/>
        </w:rPr>
        <w:t>单位</w:t>
      </w:r>
      <w:r>
        <w:rPr>
          <w:rFonts w:ascii="FangSong_GB2312" w:hAnsi="FangSong_GB2312" w:eastAsia="FangSong_GB2312" w:cs="FangSong_GB2312"/>
          <w:color w:val="auto"/>
          <w:kern w:val="0"/>
          <w:sz w:val="32"/>
          <w:szCs w:val="32"/>
          <w:u w:val="none"/>
        </w:rPr>
        <w:t>用财政拨款安排的因公出国（境）费、公务用车购置及运行维护费和公务接待费。其中，因公出国（境）费反映</w:t>
      </w:r>
      <w:r>
        <w:rPr>
          <w:rFonts w:hint="eastAsia" w:ascii="FangSong_GB2312" w:hAnsi="FangSong_GB2312" w:eastAsia="FangSong_GB2312" w:cs="FangSong_GB2312"/>
          <w:color w:val="auto"/>
          <w:kern w:val="0"/>
          <w:sz w:val="32"/>
          <w:szCs w:val="32"/>
          <w:u w:val="none"/>
          <w:lang w:eastAsia="zh-CN"/>
        </w:rPr>
        <w:t>单位</w:t>
      </w:r>
      <w:r>
        <w:rPr>
          <w:rFonts w:ascii="FangSong_GB2312" w:hAnsi="FangSong_GB2312" w:eastAsia="FangSong_GB2312" w:cs="FangSong_GB2312"/>
          <w:color w:val="auto"/>
          <w:kern w:val="0"/>
          <w:sz w:val="32"/>
          <w:szCs w:val="32"/>
          <w:u w:val="none"/>
        </w:rPr>
        <w:t>公务出国（境）的国际旅费、国外城市间交通费、住宿费、伙食费、培训费、公杂费等支出；公务用车购置及运行维护费反映</w:t>
      </w:r>
      <w:r>
        <w:rPr>
          <w:rFonts w:hint="eastAsia" w:ascii="FangSong_GB2312" w:hAnsi="FangSong_GB2312" w:eastAsia="FangSong_GB2312" w:cs="FangSong_GB2312"/>
          <w:color w:val="auto"/>
          <w:kern w:val="0"/>
          <w:sz w:val="32"/>
          <w:szCs w:val="32"/>
          <w:u w:val="none"/>
          <w:lang w:eastAsia="zh-CN"/>
        </w:rPr>
        <w:t>单位</w:t>
      </w:r>
      <w:r>
        <w:rPr>
          <w:rFonts w:ascii="FangSong_GB2312" w:hAnsi="FangSong_GB2312" w:eastAsia="FangSong_GB2312" w:cs="FangSong_GB2312"/>
          <w:color w:val="auto"/>
          <w:kern w:val="0"/>
          <w:sz w:val="32"/>
          <w:szCs w:val="32"/>
          <w:u w:val="none"/>
        </w:rPr>
        <w:t>公务用车购置支出（含车辆购置税、牌照费）以及按规定保留的公务用车燃料费、新能源汽车充电费、维修费、过路过桥费、保险费、安全奖励费用等支出；公务接待费反映</w:t>
      </w:r>
      <w:r>
        <w:rPr>
          <w:rFonts w:hint="eastAsia" w:ascii="FangSong_GB2312" w:hAnsi="FangSong_GB2312" w:eastAsia="FangSong_GB2312" w:cs="FangSong_GB2312"/>
          <w:color w:val="auto"/>
          <w:kern w:val="0"/>
          <w:sz w:val="32"/>
          <w:szCs w:val="32"/>
          <w:u w:val="none"/>
          <w:lang w:eastAsia="zh-CN"/>
        </w:rPr>
        <w:t>单位</w:t>
      </w:r>
      <w:r>
        <w:rPr>
          <w:rFonts w:ascii="FangSong_GB2312" w:hAnsi="FangSong_GB2312" w:eastAsia="FangSong_GB2312" w:cs="FangSong_GB2312"/>
          <w:color w:val="auto"/>
          <w:kern w:val="0"/>
          <w:sz w:val="32"/>
          <w:szCs w:val="32"/>
          <w:u w:val="none"/>
        </w:rPr>
        <w:t>按规定开支的各类公务接待（含外宾接待）费用。</w:t>
      </w:r>
    </w:p>
    <w:p w14:paraId="7BDF530F">
      <w:pPr>
        <w:pStyle w:val="28"/>
        <w:widowControl/>
        <w:spacing w:before="240" w:after="240" w:line="560" w:lineRule="atLeast"/>
        <w:ind w:firstLine="643"/>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b/>
          <w:bCs/>
          <w:color w:val="auto"/>
          <w:kern w:val="0"/>
          <w:sz w:val="32"/>
          <w:szCs w:val="32"/>
          <w:u w:val="none"/>
        </w:rPr>
        <w:t>十七、机关运行经费：</w:t>
      </w:r>
      <w:r>
        <w:rPr>
          <w:rFonts w:ascii="FangSong_GB2312" w:hAnsi="FangSong_GB2312" w:eastAsia="FangSong_GB2312" w:cs="FangSong_GB2312"/>
          <w:color w:val="auto"/>
          <w:kern w:val="0"/>
          <w:sz w:val="32"/>
          <w:szCs w:val="32"/>
          <w:u w:val="none"/>
        </w:rPr>
        <w:t>指行政单位和参照公务员法管理的事业单位财政拨款基本支出中的公用经费支出。</w:t>
      </w:r>
    </w:p>
    <w:p w14:paraId="310DFD14">
      <w:pPr>
        <w:widowControl/>
        <w:spacing w:before="240" w:after="240"/>
        <w:jc w:val="left"/>
        <w:rPr>
          <w:rFonts w:ascii="Times New Roman" w:hAnsi="Times New Roman" w:eastAsia="Times New Roman" w:cs="Times New Roman"/>
          <w:color w:val="auto"/>
          <w:kern w:val="0"/>
          <w:sz w:val="24"/>
          <w:u w:val="none"/>
        </w:rPr>
      </w:pPr>
    </w:p>
    <w:p w14:paraId="738FDA44">
      <w:pPr>
        <w:pStyle w:val="3"/>
        <w:keepNext w:val="0"/>
        <w:keepLines w:val="0"/>
        <w:widowControl/>
        <w:spacing w:before="299" w:after="299" w:line="240" w:lineRule="auto"/>
        <w:jc w:val="center"/>
        <w:rPr>
          <w:rFonts w:ascii="Times New Roman" w:hAnsi="Times New Roman" w:eastAsia="Times New Roman" w:cs="Times New Roman"/>
          <w:b/>
          <w:bCs/>
          <w:color w:val="auto"/>
          <w:kern w:val="0"/>
          <w:sz w:val="36"/>
          <w:szCs w:val="36"/>
          <w:u w:val="none"/>
        </w:rPr>
      </w:pPr>
      <w:r>
        <w:rPr>
          <w:rFonts w:ascii="fang_zheng_xiao_biao_song_ti" w:hAnsi="fang_zheng_xiao_biao_song_ti" w:eastAsia="fang_zheng_xiao_biao_song_ti" w:cs="fang_zheng_xiao_biao_song_ti"/>
          <w:color w:val="auto"/>
          <w:kern w:val="0"/>
          <w:sz w:val="36"/>
          <w:szCs w:val="36"/>
          <w:u w:val="none"/>
        </w:rPr>
        <w:t>第四部分</w:t>
      </w:r>
      <w:r>
        <w:rPr>
          <w:rFonts w:ascii="Times New Roman" w:hAnsi="Times New Roman" w:eastAsia="Times New Roman" w:cs="Times New Roman"/>
          <w:color w:val="auto"/>
          <w:kern w:val="0"/>
          <w:sz w:val="36"/>
          <w:szCs w:val="36"/>
          <w:u w:val="none"/>
        </w:rPr>
        <w:t> </w:t>
      </w:r>
      <w:r>
        <w:rPr>
          <w:rFonts w:ascii="fang_zheng_xiao_biao_song_ti" w:hAnsi="fang_zheng_xiao_biao_song_ti" w:eastAsia="fang_zheng_xiao_biao_song_ti" w:cs="fang_zheng_xiao_biao_song_ti"/>
          <w:b w:val="0"/>
          <w:bCs w:val="0"/>
          <w:color w:val="auto"/>
          <w:kern w:val="0"/>
          <w:sz w:val="36"/>
          <w:szCs w:val="36"/>
          <w:u w:val="none"/>
        </w:rPr>
        <w:t xml:space="preserve"> </w:t>
      </w:r>
      <w:r>
        <w:rPr>
          <w:rFonts w:ascii="fang_zheng_xiao_biao_song_ti" w:hAnsi="fang_zheng_xiao_biao_song_ti" w:eastAsia="fang_zheng_xiao_biao_song_ti" w:cs="fang_zheng_xiao_biao_song_ti"/>
          <w:color w:val="auto"/>
          <w:kern w:val="0"/>
          <w:sz w:val="36"/>
          <w:szCs w:val="36"/>
          <w:u w:val="none"/>
        </w:rPr>
        <w:t>决算公开联系方式及信息反馈渠道</w:t>
      </w:r>
    </w:p>
    <w:p w14:paraId="202C4892">
      <w:pPr>
        <w:widowControl/>
        <w:spacing w:before="240" w:after="240"/>
        <w:jc w:val="left"/>
        <w:rPr>
          <w:rFonts w:ascii="Times New Roman" w:hAnsi="Times New Roman" w:eastAsia="Times New Roman" w:cs="Times New Roman"/>
          <w:color w:val="auto"/>
          <w:kern w:val="0"/>
          <w:sz w:val="24"/>
          <w:u w:val="none"/>
        </w:rPr>
      </w:pPr>
    </w:p>
    <w:p w14:paraId="5A7E6183">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本单位决算公开信息反馈和联系方式：</w:t>
      </w:r>
    </w:p>
    <w:p w14:paraId="586EFDC9">
      <w:pPr>
        <w:pStyle w:val="28"/>
        <w:widowControl/>
        <w:spacing w:before="240" w:after="240" w:line="560" w:lineRule="atLeast"/>
        <w:ind w:firstLine="640"/>
        <w:jc w:val="left"/>
        <w:rPr>
          <w:rFonts w:ascii="Times New Roman" w:hAnsi="Times New Roman" w:eastAsia="Times New Roman" w:cs="Times New Roman"/>
          <w:color w:val="auto"/>
          <w:kern w:val="0"/>
          <w:sz w:val="24"/>
          <w:u w:val="none"/>
        </w:rPr>
      </w:pPr>
      <w:r>
        <w:rPr>
          <w:rFonts w:ascii="FangSong_GB2312" w:hAnsi="FangSong_GB2312" w:eastAsia="FangSong_GB2312" w:cs="FangSong_GB2312"/>
          <w:color w:val="auto"/>
          <w:kern w:val="0"/>
          <w:sz w:val="32"/>
          <w:szCs w:val="32"/>
          <w:u w:val="none"/>
        </w:rPr>
        <w:t>联系人：</w:t>
      </w:r>
      <w:r>
        <w:rPr>
          <w:rFonts w:hint="eastAsia" w:ascii="FangSong_GB2312" w:hAnsi="FangSong_GB2312" w:eastAsia="FangSong_GB2312" w:cs="FangSong_GB2312"/>
          <w:color w:val="auto"/>
          <w:kern w:val="0"/>
          <w:sz w:val="32"/>
          <w:szCs w:val="32"/>
          <w:u w:val="none"/>
          <w:lang w:val="en-US" w:eastAsia="zh-CN"/>
        </w:rPr>
        <w:t>花园</w:t>
      </w:r>
      <w:r>
        <w:rPr>
          <w:rFonts w:ascii="Times New Roman" w:hAnsi="Times New Roman" w:eastAsia="Times New Roman" w:cs="Times New Roman"/>
          <w:color w:val="auto"/>
          <w:kern w:val="0"/>
          <w:sz w:val="32"/>
          <w:szCs w:val="32"/>
          <w:u w:val="none"/>
          <w:lang w:eastAsia="en-US"/>
        </w:rPr>
        <w:t>             </w:t>
      </w:r>
      <w:r>
        <w:rPr>
          <w:rFonts w:ascii="FangSong_GB2312" w:hAnsi="FangSong_GB2312" w:eastAsia="FangSong_GB2312" w:cs="FangSong_GB2312"/>
          <w:color w:val="auto"/>
          <w:kern w:val="0"/>
          <w:sz w:val="32"/>
          <w:szCs w:val="32"/>
          <w:u w:val="none"/>
        </w:rPr>
        <w:t>联系电话：</w:t>
      </w:r>
      <w:r>
        <w:rPr>
          <w:rFonts w:ascii="FangSong_GB2312" w:hAnsi="FangSong_GB2312" w:eastAsia="FangSong_GB2312" w:cs="FangSong_GB2312"/>
          <w:color w:val="auto"/>
          <w:kern w:val="0"/>
          <w:sz w:val="32"/>
          <w:szCs w:val="32"/>
          <w:u w:val="none"/>
          <w:lang w:eastAsia="en-US"/>
        </w:rPr>
        <w:t>0472-5996108</w:t>
      </w:r>
    </w:p>
    <w:p w14:paraId="2B9AFC5C">
      <w:pPr>
        <w:widowControl/>
        <w:spacing w:before="240" w:after="240"/>
        <w:jc w:val="left"/>
        <w:rPr>
          <w:rFonts w:ascii="Times New Roman" w:hAnsi="Times New Roman" w:eastAsia="Times New Roman" w:cs="Times New Roman"/>
          <w:color w:val="auto"/>
          <w:kern w:val="0"/>
          <w:sz w:val="24"/>
          <w:u w:val="none"/>
        </w:rPr>
      </w:pPr>
    </w:p>
    <w:p w14:paraId="05F15C11">
      <w:pPr>
        <w:pStyle w:val="3"/>
        <w:keepNext w:val="0"/>
        <w:keepLines w:val="0"/>
        <w:widowControl/>
        <w:spacing w:before="299" w:after="299" w:line="240" w:lineRule="auto"/>
        <w:jc w:val="center"/>
        <w:rPr>
          <w:rFonts w:ascii="Times New Roman" w:hAnsi="Times New Roman" w:eastAsia="Times New Roman" w:cs="Times New Roman"/>
          <w:b/>
          <w:bCs/>
          <w:color w:val="auto"/>
          <w:kern w:val="0"/>
          <w:sz w:val="36"/>
          <w:szCs w:val="36"/>
          <w:u w:val="none"/>
        </w:rPr>
      </w:pPr>
      <w:r>
        <w:rPr>
          <w:rFonts w:ascii="fang_zheng_xiao_biao_song_ti" w:hAnsi="fang_zheng_xiao_biao_song_ti" w:eastAsia="fang_zheng_xiao_biao_song_ti" w:cs="fang_zheng_xiao_biao_song_ti"/>
          <w:color w:val="auto"/>
          <w:kern w:val="0"/>
          <w:sz w:val="36"/>
          <w:szCs w:val="36"/>
          <w:u w:val="none"/>
        </w:rPr>
        <w:t>第五部分</w:t>
      </w:r>
      <w:r>
        <w:rPr>
          <w:rFonts w:ascii="Times New Roman" w:hAnsi="Times New Roman" w:eastAsia="Times New Roman" w:cs="Times New Roman"/>
          <w:color w:val="auto"/>
          <w:kern w:val="0"/>
          <w:sz w:val="36"/>
          <w:szCs w:val="36"/>
          <w:u w:val="none"/>
        </w:rPr>
        <w:t> </w:t>
      </w:r>
      <w:r>
        <w:rPr>
          <w:rFonts w:ascii="方正小标宋简体" w:hAnsi="方正小标宋简体" w:eastAsia="方正小标宋简体" w:cs="方正小标宋简体"/>
          <w:b w:val="0"/>
          <w:bCs w:val="0"/>
          <w:color w:val="auto"/>
          <w:kern w:val="0"/>
          <w:sz w:val="36"/>
          <w:szCs w:val="36"/>
          <w:u w:val="none"/>
        </w:rPr>
        <w:t xml:space="preserve"> </w:t>
      </w:r>
      <w:r>
        <w:rPr>
          <w:rFonts w:ascii="fang_zheng_xiao_biao_song_ti" w:hAnsi="fang_zheng_xiao_biao_song_ti" w:eastAsia="fang_zheng_xiao_biao_song_ti" w:cs="fang_zheng_xiao_biao_song_ti"/>
          <w:color w:val="auto"/>
          <w:kern w:val="0"/>
          <w:sz w:val="36"/>
          <w:szCs w:val="36"/>
          <w:u w:val="none"/>
        </w:rPr>
        <w:t>单位决算表</w:t>
      </w:r>
    </w:p>
    <w:bookmarkEnd w:id="0"/>
    <w:p w14:paraId="5120A472">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见附件：</w:t>
      </w:r>
    </w:p>
    <w:p w14:paraId="127DC330">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一、收入支出决算总表</w:t>
      </w:r>
    </w:p>
    <w:p w14:paraId="28A72B7D">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二、收入决算表</w:t>
      </w:r>
    </w:p>
    <w:p w14:paraId="3A81E982">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三、支出决算表</w:t>
      </w:r>
    </w:p>
    <w:p w14:paraId="4AC8EE8E">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四、财政拨款收入支出决算总表</w:t>
      </w:r>
    </w:p>
    <w:p w14:paraId="08407719">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五、一般公共预算财政拨款支出决算表</w:t>
      </w:r>
    </w:p>
    <w:p w14:paraId="2D07B740">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六、一般公共预算财政拨款基本支出决算明细表</w:t>
      </w:r>
    </w:p>
    <w:p w14:paraId="17A11452">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七、一般公共预算财政拨款项目支出决算明细表</w:t>
      </w:r>
    </w:p>
    <w:p w14:paraId="3245F9F5">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八、政府性基金预算财政拨款收入支出决算表</w:t>
      </w:r>
    </w:p>
    <w:p w14:paraId="75B495C0">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九、国有资本经营预算财政拨款支出决算表</w:t>
      </w:r>
    </w:p>
    <w:p w14:paraId="4895D28E">
      <w:pPr>
        <w:pStyle w:val="28"/>
        <w:widowControl/>
        <w:spacing w:before="240" w:after="240" w:line="560" w:lineRule="atLeast"/>
        <w:ind w:firstLine="640"/>
        <w:jc w:val="left"/>
        <w:rPr>
          <w:rFonts w:hint="eastAsia"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十、财政拨款“三公”经费支出决算表</w:t>
      </w:r>
    </w:p>
    <w:p w14:paraId="64067B64">
      <w:pPr>
        <w:pStyle w:val="28"/>
        <w:widowControl/>
        <w:spacing w:before="240" w:after="240" w:line="560" w:lineRule="atLeast"/>
        <w:ind w:firstLine="640"/>
        <w:jc w:val="left"/>
        <w:rPr>
          <w:rFonts w:ascii="FangSong_GB2312" w:hAnsi="FangSong_GB2312" w:eastAsia="FangSong_GB2312" w:cs="FangSong_GB2312"/>
          <w:color w:val="auto"/>
          <w:kern w:val="0"/>
          <w:sz w:val="32"/>
          <w:szCs w:val="32"/>
          <w:u w:val="none"/>
        </w:rPr>
      </w:pPr>
      <w:r>
        <w:rPr>
          <w:rFonts w:hint="eastAsia" w:ascii="FangSong_GB2312" w:hAnsi="FangSong_GB2312" w:eastAsia="FangSong_GB2312" w:cs="FangSong_GB2312"/>
          <w:color w:val="auto"/>
          <w:kern w:val="0"/>
          <w:sz w:val="32"/>
          <w:szCs w:val="32"/>
          <w:u w:val="none"/>
        </w:rPr>
        <w:t>十一、机关运行经费支出、国有资产占用情况及政府采购支出信息表</w:t>
      </w:r>
    </w:p>
    <w:p w14:paraId="16B721BE">
      <w:pPr>
        <w:adjustRightInd w:val="0"/>
        <w:snapToGrid w:val="0"/>
        <w:rPr>
          <w:rFonts w:ascii="宋体" w:hAnsi="宋体"/>
          <w:b/>
          <w:color w:val="auto"/>
          <w:sz w:val="32"/>
          <w:szCs w:val="32"/>
          <w:u w:val="none"/>
        </w:rPr>
      </w:pPr>
    </w:p>
    <w:p w14:paraId="064DC7E7">
      <w:pPr>
        <w:tabs>
          <w:tab w:val="left" w:pos="8415"/>
        </w:tabs>
        <w:rPr>
          <w:color w:val="auto"/>
          <w:u w:val="none"/>
        </w:rPr>
      </w:pPr>
    </w:p>
    <w:sectPr>
      <w:footerReference r:id="rId4" w:type="default"/>
      <w:pgSz w:w="11906" w:h="16838"/>
      <w:pgMar w:top="1440" w:right="1800" w:bottom="1440" w:left="1800"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times_new_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fang_zheng_xiao_biao_song_ti">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1739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5CA5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641185"/>
    <w:multiLevelType w:val="singleLevel"/>
    <w:tmpl w:val="D8641185"/>
    <w:lvl w:ilvl="0" w:tentative="0">
      <w:start w:val="4"/>
      <w:numFmt w:val="decimal"/>
      <w:lvlText w:val="%1."/>
      <w:lvlJc w:val="left"/>
      <w:pPr>
        <w:tabs>
          <w:tab w:val="left" w:pos="312"/>
        </w:tabs>
      </w:pPr>
    </w:lvl>
  </w:abstractNum>
  <w:abstractNum w:abstractNumId="1">
    <w:nsid w:val="E20AF39D"/>
    <w:multiLevelType w:val="singleLevel"/>
    <w:tmpl w:val="E20AF39D"/>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617F2"/>
    <w:rsid w:val="05C56ED2"/>
    <w:rsid w:val="08445BBA"/>
    <w:rsid w:val="10970717"/>
    <w:rsid w:val="1215193F"/>
    <w:rsid w:val="13F03373"/>
    <w:rsid w:val="13F13CA2"/>
    <w:rsid w:val="160550C9"/>
    <w:rsid w:val="1A8E38DF"/>
    <w:rsid w:val="1F3C1B5B"/>
    <w:rsid w:val="20963186"/>
    <w:rsid w:val="20980035"/>
    <w:rsid w:val="242E1C8E"/>
    <w:rsid w:val="244063B1"/>
    <w:rsid w:val="269404CF"/>
    <w:rsid w:val="31291A07"/>
    <w:rsid w:val="334A003D"/>
    <w:rsid w:val="371E3D71"/>
    <w:rsid w:val="401E0492"/>
    <w:rsid w:val="406A572D"/>
    <w:rsid w:val="41410DFB"/>
    <w:rsid w:val="438F40A0"/>
    <w:rsid w:val="479223B1"/>
    <w:rsid w:val="4D010DE9"/>
    <w:rsid w:val="52CD24EF"/>
    <w:rsid w:val="59320A9B"/>
    <w:rsid w:val="5EEF20A7"/>
    <w:rsid w:val="65FC4D5F"/>
    <w:rsid w:val="6F6A3147"/>
    <w:rsid w:val="745B21FB"/>
    <w:rsid w:val="75BC2223"/>
    <w:rsid w:val="7AC1208A"/>
    <w:rsid w:val="7B010195"/>
    <w:rsid w:val="7F6559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autoRedefine/>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autoRedefine/>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autoRedefine/>
    <w:qFormat/>
    <w:uiPriority w:val="0"/>
    <w:pPr>
      <w:ind w:left="630"/>
      <w:jc w:val="left"/>
    </w:pPr>
    <w:rPr>
      <w:sz w:val="20"/>
      <w:szCs w:val="20"/>
    </w:rPr>
  </w:style>
  <w:style w:type="paragraph" w:styleId="15">
    <w:name w:val="toc 6"/>
    <w:basedOn w:val="1"/>
    <w:next w:val="1"/>
    <w:autoRedefine/>
    <w:qFormat/>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autoRedefine/>
    <w:qFormat/>
    <w:uiPriority w:val="0"/>
    <w:pPr>
      <w:ind w:left="1680"/>
      <w:jc w:val="left"/>
    </w:pPr>
    <w:rPr>
      <w:sz w:val="20"/>
      <w:szCs w:val="20"/>
    </w:rPr>
  </w:style>
  <w:style w:type="character" w:styleId="20">
    <w:name w:val="page number"/>
    <w:basedOn w:val="19"/>
    <w:qFormat/>
    <w:uiPriority w:val="0"/>
  </w:style>
  <w:style w:type="character" w:styleId="21">
    <w:name w:val="Hyperlink"/>
    <w:basedOn w:val="19"/>
    <w:qFormat/>
    <w:uiPriority w:val="0"/>
    <w:rPr>
      <w:color w:val="0000FF"/>
      <w:u w:val="single"/>
    </w:rPr>
  </w:style>
  <w:style w:type="character" w:customStyle="1" w:styleId="22">
    <w:name w:val="标题 4 Char"/>
    <w:basedOn w:val="19"/>
    <w:link w:val="5"/>
    <w:qFormat/>
    <w:uiPriority w:val="0"/>
    <w:rPr>
      <w:rFonts w:ascii="Cambria" w:hAnsi="Cambria"/>
      <w:b/>
      <w:bCs/>
      <w:kern w:val="2"/>
      <w:sz w:val="28"/>
      <w:szCs w:val="28"/>
    </w:rPr>
  </w:style>
  <w:style w:type="paragraph"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Char"/>
    <w:link w:val="23"/>
    <w:qFormat/>
    <w:locked/>
    <w:uiPriority w:val="0"/>
    <w:rPr>
      <w:rFonts w:eastAsia="仿宋_GB2312"/>
      <w:sz w:val="30"/>
      <w:szCs w:val="22"/>
      <w:lang w:bidi="ar-SA"/>
    </w:rPr>
  </w:style>
  <w:style w:type="character" w:customStyle="1" w:styleId="25">
    <w:name w:val="页脚 Char"/>
    <w:basedOn w:val="19"/>
    <w:link w:val="11"/>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Char"/>
    <w:basedOn w:val="19"/>
    <w:link w:val="4"/>
    <w:qFormat/>
    <w:uiPriority w:val="0"/>
    <w:rPr>
      <w:b/>
      <w:bCs/>
      <w:kern w:val="2"/>
      <w:sz w:val="32"/>
      <w:szCs w:val="32"/>
    </w:rPr>
  </w:style>
  <w:style w:type="paragraph" w:customStyle="1" w:styleId="28">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atin typeface="宋体" panose="02010600030101010101" charset="-122"/>
                <a:ea typeface="宋体" panose="02010600030101010101" charset="-122"/>
              </a:rPr>
              <a:t>收入决算图</a:t>
            </a:r>
            <a:endParaRPr>
              <a:latin typeface="宋体" panose="02010600030101010101" charset="-122"/>
              <a:ea typeface="宋体" panose="02010600030101010101" charset="-122"/>
            </a:endParaRPr>
          </a:p>
        </c:rich>
      </c:tx>
      <c:layout/>
      <c:overlay val="0"/>
      <c:spPr>
        <a:noFill/>
        <a:ln>
          <a:noFill/>
        </a:ln>
        <a:effectLst/>
      </c:spPr>
    </c:title>
    <c:autoTitleDeleted val="0"/>
    <c:plotArea>
      <c:layout/>
      <c:pieChart>
        <c:varyColors val="1"/>
        <c:ser>
          <c:idx val="0"/>
          <c:order val="0"/>
          <c:tx>
            <c:strRef>
              <c:f>收入决算构成分析图</c:f>
              <c:strCache>
                <c:ptCount val="1"/>
                <c:pt idx="0">
                  <c:v>收入决算构成分析图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经营收入</c:v>
                </c:pt>
              </c:strCache>
            </c:strRef>
          </c:cat>
          <c:val>
            <c:numRef>
              <c:f>Sheet1!$B$2:$B$3</c:f>
              <c:numCache>
                <c:formatCode>General</c:formatCode>
                <c:ptCount val="2"/>
                <c:pt idx="0">
                  <c:v>4075.99</c:v>
                </c:pt>
                <c:pt idx="1">
                  <c:v>3215.59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ae4a123-e56e-4b3a-969b-c6734102dda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atin typeface="宋体" panose="02010600030101010101" charset="-122"/>
                <a:ea typeface="宋体" panose="02010600030101010101" charset="-122"/>
              </a:rPr>
              <a:t>支出决算图</a:t>
            </a:r>
            <a:endParaRPr>
              <a:latin typeface="宋体" panose="02010600030101010101" charset="-122"/>
              <a:ea typeface="宋体" panose="02010600030101010101" charset="-122"/>
            </a:endParaRPr>
          </a:p>
        </c:rich>
      </c:tx>
      <c:layout/>
      <c:overlay val="0"/>
      <c:spPr>
        <a:noFill/>
        <a:ln>
          <a:noFill/>
        </a:ln>
        <a:effectLst/>
      </c:spPr>
    </c:title>
    <c:autoTitleDeleted val="0"/>
    <c:plotArea>
      <c:layout/>
      <c:pieChart>
        <c:varyColors val="1"/>
        <c:ser>
          <c:idx val="0"/>
          <c:order val="0"/>
          <c:tx>
            <c:strRef>
              <c:f>支出决算构成分析图</c:f>
              <c:strCache>
                <c:ptCount val="1"/>
                <c:pt idx="0">
                  <c:v>支出决算构成分析图</c:v>
                </c:pt>
              </c:strCache>
            </c:strRef>
          </c:tx>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基本支出</c:v>
                </c:pt>
                <c:pt idx="1">
                  <c:v>项目支出</c:v>
                </c:pt>
                <c:pt idx="2">
                  <c:v>经营支出</c:v>
                </c:pt>
              </c:strCache>
            </c:strRef>
          </c:cat>
          <c:val>
            <c:numRef>
              <c:f>Sheet1!$B$2:$B$4</c:f>
              <c:numCache>
                <c:formatCode>General</c:formatCode>
                <c:ptCount val="3"/>
                <c:pt idx="0">
                  <c:v>2348.32</c:v>
                </c:pt>
                <c:pt idx="1">
                  <c:v>2307.71</c:v>
                </c:pt>
                <c:pt idx="2">
                  <c:v>2955.19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01ccd57-3136-44a8-8235-1896cb39f90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42</Pages>
  <Words>13870</Words>
  <Characters>15658</Characters>
  <Lines>1</Lines>
  <Paragraphs>1</Paragraphs>
  <TotalTime>50</TotalTime>
  <ScaleCrop>false</ScaleCrop>
  <LinksUpToDate>false</LinksUpToDate>
  <CharactersWithSpaces>15864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方佳乐</cp:lastModifiedBy>
  <cp:lastPrinted>2026-08-26T03:03:33Z</cp:lastPrinted>
  <dcterms:modified xsi:type="dcterms:W3CDTF">2026-08-26T03:10:55Z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7CB6E5A62EEC4BA6A20427DCB698648A_13</vt:lpwstr>
  </property>
  <property fmtid="{D5CDD505-2E9C-101B-9397-08002B2CF9AE}" pid="3" name="KSOProductBuildVer">
    <vt:lpwstr>2052-12.1.0.28043</vt:lpwstr>
  </property>
  <property fmtid="{D5CDD505-2E9C-101B-9397-08002B2CF9AE}" pid="4" name="KSOTemplateDocerSaveRecord">
    <vt:lpwstr>eyJoZGlkIjoiZTE3NTcyM2I1ZWZiODcwMjRkZmZmN2QxYWQwMDY2MDIiLCJ1c2VySWQiOiIxODY4NjEzMDc2In0=</vt:lpwstr>
  </property>
</Properties>
</file>