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42815D58">
      <w:pPr>
        <w:spacing w:line="360" w:lineRule="auto"/>
        <w:jc w:val="center"/>
        <w:rPr>
          <w:rFonts w:ascii="宋体" w:hAnsi="宋体"/>
          <w:b/>
          <w:bCs/>
          <w:sz w:val="52"/>
          <w:szCs w:val="52"/>
        </w:rPr>
      </w:pPr>
      <w:r>
        <w:rPr>
          <w:rFonts w:ascii="宋体" w:hAnsi="宋体"/>
          <w:b/>
          <w:bCs/>
          <w:sz w:val="52"/>
          <w:szCs w:val="52"/>
        </w:rPr>
        <w:t>2025</w:t>
      </w:r>
      <w:r>
        <w:rPr>
          <w:rFonts w:hint="eastAsia" w:ascii="宋体" w:hAnsi="宋体"/>
          <w:b/>
          <w:bCs/>
          <w:sz w:val="52"/>
          <w:szCs w:val="52"/>
        </w:rPr>
        <w:t>年度内蒙古自治区特种设备检验研究院阿拉善分院</w:t>
      </w:r>
    </w:p>
    <w:p w14:paraId="77E6C3D2">
      <w:pPr>
        <w:spacing w:line="360" w:lineRule="auto"/>
        <w:jc w:val="center"/>
        <w:rPr>
          <w:rFonts w:ascii="宋体" w:hAnsi="宋体"/>
          <w:b/>
          <w:bCs/>
          <w:sz w:val="52"/>
          <w:szCs w:val="52"/>
        </w:rPr>
      </w:pPr>
      <w:r>
        <w:rPr>
          <w:rFonts w:hint="eastAsia" w:ascii="宋体" w:hAnsi="宋体"/>
          <w:b/>
          <w:bCs/>
          <w:sz w:val="52"/>
          <w:szCs w:val="52"/>
        </w:rPr>
        <w:t>公开报告</w:t>
      </w:r>
    </w:p>
    <w:p w14:paraId="6AF33ABC">
      <w:pPr>
        <w:spacing w:line="360" w:lineRule="auto"/>
        <w:jc w:val="center"/>
        <w:rPr>
          <w:rFonts w:ascii="宋体" w:hAnsi="宋体"/>
          <w:b/>
          <w:bCs/>
          <w:sz w:val="52"/>
          <w:szCs w:val="52"/>
        </w:rPr>
      </w:pPr>
    </w:p>
    <w:p w14:paraId="10212A6C">
      <w:pPr>
        <w:spacing w:line="360" w:lineRule="auto"/>
        <w:jc w:val="center"/>
        <w:rPr>
          <w:rFonts w:ascii="宋体" w:hAnsi="宋体"/>
          <w:b/>
          <w:bCs/>
          <w:sz w:val="52"/>
          <w:szCs w:val="52"/>
        </w:rPr>
      </w:pPr>
    </w:p>
    <w:p w14:paraId="636528E7">
      <w:pPr>
        <w:spacing w:line="360" w:lineRule="auto"/>
        <w:jc w:val="center"/>
        <w:rPr>
          <w:rFonts w:ascii="宋体" w:hAnsi="宋体"/>
          <w:b/>
          <w:bCs/>
          <w:sz w:val="52"/>
          <w:szCs w:val="52"/>
        </w:rPr>
      </w:pPr>
    </w:p>
    <w:p w14:paraId="3ADF248C">
      <w:pPr>
        <w:spacing w:line="360" w:lineRule="auto"/>
        <w:jc w:val="center"/>
        <w:rPr>
          <w:rFonts w:ascii="宋体" w:hAnsi="宋体"/>
          <w:b/>
          <w:bCs/>
          <w:sz w:val="52"/>
          <w:szCs w:val="52"/>
        </w:rPr>
      </w:pPr>
    </w:p>
    <w:p w14:paraId="1D89E7A7">
      <w:pPr>
        <w:spacing w:line="360" w:lineRule="auto"/>
        <w:jc w:val="center"/>
        <w:rPr>
          <w:rFonts w:ascii="宋体" w:hAnsi="宋体"/>
          <w:b/>
          <w:bCs/>
          <w:sz w:val="52"/>
          <w:szCs w:val="52"/>
        </w:rPr>
      </w:pPr>
    </w:p>
    <w:p w14:paraId="454CAC92">
      <w:pPr>
        <w:ind w:firstLine="2249" w:firstLineChars="700"/>
        <w:rPr>
          <w:rFonts w:ascii="仿宋" w:hAnsi="仿宋" w:eastAsia="仿宋"/>
          <w:b/>
          <w:sz w:val="32"/>
          <w:szCs w:val="32"/>
        </w:rPr>
        <w:sectPr>
          <w:footerReference r:id="rId3" w:type="default"/>
          <w:pgSz w:w="11906" w:h="16838"/>
          <w:pgMar w:top="1440" w:right="1800" w:bottom="1440" w:left="1800" w:header="0" w:footer="720" w:gutter="0"/>
          <w:cols w:space="425" w:num="1"/>
          <w:docGrid w:type="lines" w:linePitch="312" w:charSpace="0"/>
        </w:sectPr>
      </w:pPr>
    </w:p>
    <w:p w14:paraId="1C9A9517">
      <w:pPr>
        <w:pStyle w:val="30"/>
        <w:widowControl/>
        <w:spacing w:after="240"/>
        <w:jc w:val="center"/>
        <w:rPr>
          <w:rFonts w:ascii="Times New Roman" w:hAnsi="Times New Roman" w:eastAsia="Times New Roman" w:cs="Times New Roman"/>
          <w:kern w:val="0"/>
          <w:sz w:val="24"/>
        </w:rPr>
      </w:pPr>
      <w:bookmarkStart w:id="0" w:name="a000"/>
      <w:r>
        <w:rPr>
          <w:rFonts w:ascii="FangSong_GB2312" w:hAnsi="FangSong_GB2312" w:eastAsia="FangSong_GB2312" w:cs="FangSong_GB2312"/>
          <w:b/>
          <w:bCs/>
          <w:kern w:val="0"/>
          <w:sz w:val="48"/>
          <w:szCs w:val="48"/>
        </w:rPr>
        <w:t>目录</w:t>
      </w:r>
    </w:p>
    <w:p w14:paraId="072D5D7F">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15865DBB">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部门（单位）概况</w:t>
      </w:r>
    </w:p>
    <w:p w14:paraId="24B4B898">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一、主要职能、职责</w:t>
      </w:r>
    </w:p>
    <w:p w14:paraId="64B689E2">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二、部门（单位）机构设置及决算单位构成情况</w:t>
      </w:r>
    </w:p>
    <w:p w14:paraId="178D0A66">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w:t>
      </w:r>
      <w:r>
        <w:rPr>
          <w:rFonts w:eastAsia="Times New Roman"/>
          <w:kern w:val="0"/>
          <w:sz w:val="32"/>
          <w:szCs w:val="32"/>
          <w:lang w:eastAsia="en-US"/>
        </w:rPr>
        <w:t>2025</w:t>
      </w:r>
      <w:r>
        <w:rPr>
          <w:rFonts w:ascii="FangSong_GB2312" w:hAnsi="FangSong_GB2312" w:eastAsia="FangSong_GB2312" w:cs="FangSong_GB2312"/>
          <w:kern w:val="0"/>
          <w:sz w:val="32"/>
          <w:szCs w:val="32"/>
        </w:rPr>
        <w:t>年度部门（单位）主要工作完成情况</w:t>
      </w:r>
    </w:p>
    <w:p w14:paraId="692DD94C">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部门（单位）决算情况说明</w:t>
      </w:r>
    </w:p>
    <w:p w14:paraId="5DFAAFB4">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一、收入支出决算总体情况说明</w:t>
      </w:r>
    </w:p>
    <w:p w14:paraId="7C07ECC9">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二、收入决算情况说明</w:t>
      </w:r>
    </w:p>
    <w:p w14:paraId="25734AB7">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三、支出决算情况说明</w:t>
      </w:r>
    </w:p>
    <w:p w14:paraId="160A5048">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四、财政拨款收入支出决算总体情况说明</w:t>
      </w:r>
    </w:p>
    <w:p w14:paraId="59AB5A9C">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五、一般公共预算财政拨款支出决算情况说明</w:t>
      </w:r>
    </w:p>
    <w:p w14:paraId="19E42255">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六、一般公共预算财政拨款基本支出决算情况说明</w:t>
      </w:r>
    </w:p>
    <w:p w14:paraId="343D38C1">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七、一般公共预算财政拨款项目支出决算情况说明</w:t>
      </w:r>
    </w:p>
    <w:p w14:paraId="2ED3155B">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八、财政拨款“三公”经费支出决算情况说明</w:t>
      </w:r>
    </w:p>
    <w:p w14:paraId="47145A2F">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九、政府性基金预算财政拨款支出决算情况说明</w:t>
      </w:r>
    </w:p>
    <w:p w14:paraId="296BB516">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十、国有资本经营预算财政拨款支出决算情况说明</w:t>
      </w:r>
    </w:p>
    <w:p w14:paraId="6E34C234">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十一、机关运行经费（公用经费）支出决算情况说明</w:t>
      </w:r>
    </w:p>
    <w:p w14:paraId="300CE81F">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十二、政府采购支出决算情况说明</w:t>
      </w:r>
    </w:p>
    <w:p w14:paraId="7A9E7854">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十三、国有资产占用情况说明</w:t>
      </w:r>
    </w:p>
    <w:p w14:paraId="6E849943">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十四、预算绩效情况说明</w:t>
      </w:r>
    </w:p>
    <w:p w14:paraId="4DCCA680">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14:paraId="173A2B4F">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14:paraId="04F7F54A">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部门（单位）决算表</w:t>
      </w:r>
    </w:p>
    <w:p w14:paraId="3F2B988A">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一、收入支出决算总表</w:t>
      </w:r>
    </w:p>
    <w:p w14:paraId="031B7E3C">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二、收入决算表</w:t>
      </w:r>
    </w:p>
    <w:p w14:paraId="7FB27AF7">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三、支出决算表</w:t>
      </w:r>
    </w:p>
    <w:p w14:paraId="2122EE41">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四、财政拨款收入支出决算总表</w:t>
      </w:r>
    </w:p>
    <w:p w14:paraId="03E95D15">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五、一般公共预算财政拨款支出决算表</w:t>
      </w:r>
    </w:p>
    <w:p w14:paraId="295DC088">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六、一般公共预算财政拨款基本支出决算明细表</w:t>
      </w:r>
    </w:p>
    <w:p w14:paraId="26963EAE">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七、一般公共预算财政拨款项目支出决算明细表</w:t>
      </w:r>
    </w:p>
    <w:p w14:paraId="24CFB2B1">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八、政府性基金预算财政拨款收入支出决算表</w:t>
      </w:r>
    </w:p>
    <w:p w14:paraId="33E7B251">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九、国有资本经营预算财政拨款收入支出决算表</w:t>
      </w:r>
    </w:p>
    <w:p w14:paraId="07A28B85">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十、财政拨款“三公”经费支出决算表</w:t>
      </w:r>
    </w:p>
    <w:p w14:paraId="528FFF5F">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十一、机关运行经费支出、国有资产占用情况及政府采购支出信息表</w:t>
      </w:r>
    </w:p>
    <w:p w14:paraId="0FAF8C28">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64EC14BE">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0D199745">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47554965">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282367A2">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491D86CE">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76876193">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6DA1DE8A">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4362BD79">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1AABAD7E">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4645DA3B">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6AB660DA">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123BFA70">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61A12475">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6CE9A8DC">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3CB382CD">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581080D2">
      <w:pPr>
        <w:pStyle w:val="5"/>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14:paraId="2CA035CF">
      <w:pPr>
        <w:pStyle w:val="5"/>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ascii="方正小标宋简体" w:hAnsi="方正小标宋简体" w:eastAsia="方正小标宋简体" w:cs="方正小标宋简体"/>
          <w:b w:val="0"/>
          <w:bCs w:val="0"/>
          <w:kern w:val="0"/>
          <w:sz w:val="36"/>
          <w:szCs w:val="36"/>
        </w:rPr>
        <w:t>部门（单位）概况</w:t>
      </w:r>
    </w:p>
    <w:p w14:paraId="6710B775">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14:paraId="168A0814">
      <w:pPr>
        <w:pStyle w:val="30"/>
        <w:widowControl/>
        <w:spacing w:before="240" w:after="240" w:line="600" w:lineRule="atLeast"/>
        <w:ind w:firstLine="640"/>
        <w:jc w:val="left"/>
        <w:rPr>
          <w:rFonts w:ascii="Times New Roman" w:hAnsi="Times New Roman" w:eastAsia="Times New Roman" w:cs="Times New Roman"/>
          <w:kern w:val="0"/>
          <w:sz w:val="24"/>
        </w:rPr>
      </w:pPr>
      <w:r>
        <w:rPr>
          <w:rFonts w:hint="eastAsia" w:ascii="仿宋_GB2312" w:hAnsi="仿宋_GB2312" w:eastAsia="仿宋_GB2312" w:cs="仿宋_GB2312"/>
          <w:sz w:val="32"/>
          <w:szCs w:val="32"/>
          <w:u w:val="none"/>
        </w:rPr>
        <w:t>内蒙古自治区特种设备检验研究院阿拉善分院承担本地区锅炉、压力容器、压力管道及特种设备检验，开展技术咨询和技术服务。</w:t>
      </w:r>
    </w:p>
    <w:p w14:paraId="195B4150">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二、部门（单位）机构设置及决算单位构成情况</w:t>
      </w:r>
    </w:p>
    <w:p w14:paraId="7049E0F4">
      <w:pPr>
        <w:pStyle w:val="30"/>
        <w:widowControl/>
        <w:spacing w:before="240" w:after="240" w:line="600" w:lineRule="atLeast"/>
        <w:ind w:firstLine="640"/>
        <w:jc w:val="lef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1.本单位为内蒙古自治区市场监督管理局所属三级预算单位，单位性质为财政补助事业单位，执行政府会计制度。单位人员编制数：事业编制20</w:t>
      </w:r>
      <w:r>
        <w:rPr>
          <w:rFonts w:hint="eastAsia" w:ascii="仿宋_GB2312" w:hAnsi="仿宋_GB2312" w:eastAsia="仿宋_GB2312" w:cs="仿宋_GB2312"/>
          <w:sz w:val="32"/>
          <w:szCs w:val="32"/>
          <w:highlight w:val="none"/>
          <w:u w:val="none"/>
          <w:lang w:val="en-US" w:eastAsia="zh-CN"/>
        </w:rPr>
        <w:t>人，年末实有在职人数19人。年末特种设备检验检测项目人员及后勤人员24人。本单</w:t>
      </w:r>
      <w:r>
        <w:rPr>
          <w:rFonts w:hint="eastAsia" w:ascii="仿宋_GB2312" w:hAnsi="仿宋_GB2312" w:eastAsia="仿宋_GB2312" w:cs="仿宋_GB2312"/>
          <w:sz w:val="32"/>
          <w:szCs w:val="32"/>
          <w:u w:val="none"/>
          <w:lang w:val="en-US" w:eastAsia="zh-CN"/>
        </w:rPr>
        <w:t>位无下属单位。</w:t>
      </w:r>
    </w:p>
    <w:p w14:paraId="6A110F9B">
      <w:pPr>
        <w:pStyle w:val="30"/>
        <w:widowControl/>
        <w:spacing w:before="240" w:after="240" w:line="60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从决算单位构成看，纳入本部门（单位）决算编制范围的预算单位共计</w:t>
      </w:r>
      <w:r>
        <w:rPr>
          <w:rFonts w:hint="eastAsia"/>
          <w:kern w:val="0"/>
          <w:sz w:val="32"/>
          <w:szCs w:val="32"/>
          <w:u w:val="single"/>
          <w:lang w:val="en-US" w:eastAsia="zh-CN"/>
        </w:rPr>
        <w:t>1</w:t>
      </w:r>
      <w:r>
        <w:rPr>
          <w:rFonts w:ascii="FangSong_GB2312" w:hAnsi="FangSong_GB2312" w:eastAsia="FangSong_GB2312" w:cs="FangSong_GB2312"/>
          <w:kern w:val="0"/>
          <w:sz w:val="32"/>
          <w:szCs w:val="32"/>
        </w:rPr>
        <w:t>家，具体包括：</w:t>
      </w:r>
      <w:r>
        <w:rPr>
          <w:rFonts w:hint="eastAsia" w:ascii="仿宋_GB2312" w:hAnsi="仿宋_GB2312" w:eastAsia="仿宋_GB2312" w:cs="仿宋_GB2312"/>
          <w:sz w:val="32"/>
          <w:szCs w:val="32"/>
          <w:u w:val="none"/>
        </w:rPr>
        <w:t>内蒙古自治区特种设备检验研究院阿拉善分院</w:t>
      </w:r>
      <w:r>
        <w:rPr>
          <w:rFonts w:ascii="FangSong_GB2312" w:hAnsi="FangSong_GB2312" w:eastAsia="FangSong_GB2312" w:cs="FangSong_GB2312"/>
          <w:kern w:val="0"/>
          <w:sz w:val="32"/>
          <w:szCs w:val="32"/>
        </w:rPr>
        <w:t>。详细情况见表：</w:t>
      </w:r>
    </w:p>
    <w:tbl>
      <w:tblPr>
        <w:tblStyle w:val="20"/>
        <w:tblW w:w="7080" w:type="dxa"/>
        <w:jc w:val="center"/>
        <w:tblLayout w:type="fixed"/>
        <w:tblCellMar>
          <w:top w:w="15" w:type="dxa"/>
          <w:left w:w="15" w:type="dxa"/>
          <w:bottom w:w="15" w:type="dxa"/>
          <w:right w:w="15" w:type="dxa"/>
        </w:tblCellMar>
      </w:tblPr>
      <w:tblGrid>
        <w:gridCol w:w="583"/>
        <w:gridCol w:w="2724"/>
        <w:gridCol w:w="3773"/>
      </w:tblGrid>
      <w:tr w14:paraId="7BBDEE68">
        <w:tblPrEx>
          <w:tblCellMar>
            <w:top w:w="15" w:type="dxa"/>
            <w:left w:w="15" w:type="dxa"/>
            <w:bottom w:w="15" w:type="dxa"/>
            <w:right w:w="15" w:type="dxa"/>
          </w:tblCellMar>
        </w:tblPrEx>
        <w:trPr>
          <w:trHeight w:val="459" w:hRule="atLeast"/>
          <w:tblHeader/>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110C50F">
            <w:pPr>
              <w:widowControl/>
              <w:jc w:val="center"/>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序号</w:t>
            </w:r>
          </w:p>
        </w:tc>
        <w:tc>
          <w:tcPr>
            <w:tcW w:w="272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2D2FDB4">
            <w:pPr>
              <w:widowControl/>
              <w:jc w:val="center"/>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单位名称</w:t>
            </w:r>
          </w:p>
        </w:tc>
        <w:tc>
          <w:tcPr>
            <w:tcW w:w="377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BE16F60">
            <w:pPr>
              <w:widowControl/>
              <w:jc w:val="center"/>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单位性质</w:t>
            </w:r>
          </w:p>
        </w:tc>
      </w:tr>
      <w:tr w14:paraId="22378430">
        <w:tblPrEx>
          <w:tblCellMar>
            <w:top w:w="15" w:type="dxa"/>
            <w:left w:w="15" w:type="dxa"/>
            <w:bottom w:w="15" w:type="dxa"/>
            <w:right w:w="15" w:type="dxa"/>
          </w:tblCellMar>
        </w:tblPrEx>
        <w:trPr>
          <w:trHeight w:val="369"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64968E0">
            <w:pPr>
              <w:widowControl/>
              <w:jc w:val="center"/>
              <w:rPr>
                <w:rFonts w:hint="eastAsia" w:ascii="Times New Roman" w:hAnsi="Times New Roman" w:eastAsia="宋体" w:cs="Times New Roman"/>
                <w:b w:val="0"/>
                <w:bCs w:val="0"/>
                <w:i w:val="0"/>
                <w:iCs w:val="0"/>
                <w:smallCaps w:val="0"/>
                <w:color w:val="000000"/>
                <w:kern w:val="0"/>
                <w:sz w:val="24"/>
                <w:lang w:eastAsia="zh-CN"/>
              </w:rPr>
            </w:pPr>
            <w:r>
              <w:rPr>
                <w:rFonts w:hint="eastAsia"/>
                <w:b w:val="0"/>
                <w:bCs w:val="0"/>
                <w:i w:val="0"/>
                <w:iCs w:val="0"/>
                <w:smallCaps w:val="0"/>
                <w:color w:val="000000"/>
                <w:kern w:val="0"/>
                <w:sz w:val="24"/>
                <w:lang w:val="en-US" w:eastAsia="zh-CN"/>
              </w:rPr>
              <w:t>1</w:t>
            </w:r>
          </w:p>
        </w:tc>
        <w:tc>
          <w:tcPr>
            <w:tcW w:w="272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2BA714C6">
            <w:pPr>
              <w:widowControl/>
              <w:jc w:val="left"/>
              <w:rPr>
                <w:rFonts w:ascii="Times New Roman" w:hAnsi="Times New Roman" w:eastAsia="Times New Roman" w:cs="Times New Roman"/>
                <w:b w:val="0"/>
                <w:bCs w:val="0"/>
                <w:i w:val="0"/>
                <w:iCs w:val="0"/>
                <w:smallCaps w:val="0"/>
                <w:color w:val="000000"/>
                <w:kern w:val="0"/>
                <w:sz w:val="24"/>
              </w:rPr>
            </w:pPr>
            <w:r>
              <w:rPr>
                <w:rFonts w:hint="eastAsia" w:ascii="FangSong_GB2312" w:hAnsi="FangSong_GB2312" w:eastAsia="FangSong_GB2312" w:cs="FangSong_GB2312"/>
                <w:b w:val="0"/>
                <w:bCs w:val="0"/>
                <w:i w:val="0"/>
                <w:iCs w:val="0"/>
                <w:smallCaps w:val="0"/>
                <w:color w:val="000000"/>
                <w:kern w:val="0"/>
                <w:sz w:val="24"/>
              </w:rPr>
              <w:t>内蒙古自治区特种设备检验研究院阿拉善分院</w:t>
            </w:r>
          </w:p>
        </w:tc>
        <w:tc>
          <w:tcPr>
            <w:tcW w:w="377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C559F81">
            <w:pPr>
              <w:widowControl/>
              <w:jc w:val="left"/>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公益二类事业单位</w:t>
            </w:r>
          </w:p>
        </w:tc>
      </w:tr>
    </w:tbl>
    <w:p w14:paraId="00FB7CA3">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年度部门（单位）主要工作完成情况</w:t>
      </w:r>
    </w:p>
    <w:p w14:paraId="2F9FCF63">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是加强思想政治建设。严格落实“第一议题”制度，运用“周学、月查、季考”等理论学习督导机制，按照区院党委学习计划安排，着力用习近平新时代中国特色社会主义思想凝心铸魂，为党员购置《习近平谈治国理政》第五卷等学习资料，先后组织50次集中学习，理论考试4次，组织研讨交流9次。贯穿铸牢中华民族共同体意识工作主线，坚守意识形态主阵地，弘扬特检正能量，在各类媒体采用信息宣传稿件112篇，教育引导党员干部始终“感党恩、听党话、跟党走”。</w:t>
      </w:r>
    </w:p>
    <w:p w14:paraId="1986A161">
      <w:pPr>
        <w:pStyle w:val="2"/>
        <w:rPr>
          <w:rFonts w:hint="eastAsia" w:ascii="仿宋_GB2312" w:hAnsi="Times New Roman" w:eastAsia="仿宋_GB2312" w:cs="Times New Roman"/>
          <w:sz w:val="32"/>
          <w:szCs w:val="32"/>
        </w:rPr>
      </w:pPr>
      <w:r>
        <w:rPr>
          <w:rFonts w:hint="eastAsia" w:ascii="仿宋_GB2312" w:eastAsia="仿宋_GB2312" w:cs="Times New Roman"/>
          <w:sz w:val="32"/>
          <w:szCs w:val="32"/>
          <w:lang w:val="en-US" w:eastAsia="zh-CN"/>
        </w:rPr>
        <w:t>二</w:t>
      </w:r>
      <w:r>
        <w:rPr>
          <w:rFonts w:hint="eastAsia" w:ascii="仿宋_GB2312" w:hAnsi="Times New Roman" w:eastAsia="仿宋_GB2312" w:cs="Times New Roman"/>
          <w:sz w:val="32"/>
          <w:szCs w:val="32"/>
        </w:rPr>
        <w:t>是坚持“应检尽检”“应收尽收”，业务工作得到持续增长。</w:t>
      </w:r>
      <w:r>
        <w:rPr>
          <w:rFonts w:hint="eastAsia" w:ascii="仿宋_GB2312" w:hAnsi="Times New Roman" w:eastAsia="仿宋_GB2312" w:cs="Times New Roman"/>
          <w:sz w:val="32"/>
          <w:szCs w:val="32"/>
          <w:lang w:val="en-US" w:eastAsia="zh-CN"/>
        </w:rPr>
        <w:t>2025年，</w:t>
      </w:r>
      <w:r>
        <w:rPr>
          <w:rFonts w:hint="eastAsia" w:ascii="仿宋_GB2312" w:hAnsi="Times New Roman" w:eastAsia="仿宋_GB2312" w:cs="Times New Roman"/>
          <w:sz w:val="32"/>
          <w:szCs w:val="32"/>
        </w:rPr>
        <w:t>检验各类特种设备15434台（套），其中承压类设备12965台（套），机电类设备2469台（套）；校验气瓶、维修安全阀8788只；检验压力管道533.56km。法定检验率99.59%（位居全区前列），出具各类检验报告21461份。</w:t>
      </w:r>
      <w:r>
        <w:rPr>
          <w:rFonts w:hint="eastAsia" w:ascii="仿宋_GB2312" w:hAnsi="仿宋_GB2312" w:eastAsia="仿宋_GB2312" w:cs="仿宋_GB2312"/>
          <w:sz w:val="32"/>
          <w:szCs w:val="32"/>
          <w:lang w:val="en-US" w:eastAsia="zh-CN"/>
        </w:rPr>
        <w:t>2025年度预算收入目标2300万元（非税1200万元、经营1100万元），2025年底，实际完成2481.12万元，收入进度107.87%；其中非税1373.32万元，收入进度114.44%；经营收入1107.8万元，收入进度100.71%。</w:t>
      </w:r>
      <w:r>
        <w:rPr>
          <w:rFonts w:hint="eastAsia" w:ascii="仿宋_GB2312" w:hAnsi="Times New Roman" w:eastAsia="仿宋_GB2312" w:cs="Times New Roman"/>
          <w:sz w:val="32"/>
          <w:szCs w:val="32"/>
        </w:rPr>
        <w:t>积极拓展业务，职业卫生、安全生产及防爆电器签订合同66家，合计166.39万元。同时，通过“打包式”服务，签订“一揽子”协议64份，协议金额共计2085.44万元，有效稳固了检验市场。</w:t>
      </w:r>
    </w:p>
    <w:p w14:paraId="029552E0">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三</w:t>
      </w:r>
      <w:r>
        <w:rPr>
          <w:rFonts w:hint="eastAsia" w:ascii="仿宋_GB2312" w:hAnsi="Times New Roman" w:eastAsia="仿宋_GB2312" w:cs="Times New Roman"/>
          <w:sz w:val="32"/>
          <w:szCs w:val="32"/>
        </w:rPr>
        <w:t>是坚持合作共赢，综合检验服务站建设初见成效。在区院领导</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阿拉善盟市场局</w:t>
      </w:r>
      <w:r>
        <w:rPr>
          <w:rFonts w:hint="eastAsia" w:ascii="仿宋_GB2312" w:hAnsi="Times New Roman" w:eastAsia="仿宋_GB2312" w:cs="Times New Roman"/>
          <w:sz w:val="32"/>
          <w:szCs w:val="32"/>
        </w:rPr>
        <w:t>的大力推动和积极协调下，5月下旬，与阿拉善高新区管委会签订了建设综合检验服务站的共建协议，弥补了我院长期以来检验场地缺乏的短板，这一项目已列入自治区“十五五”规划重点建设项目。目前，已完成液氯钢瓶检验线、安全阀校验改建工作，原有仪器设备已搬迁，新采购设备进入验收、安装、调试阶段。待固定检测场所变更评审通过后开展业务，</w:t>
      </w:r>
      <w:r>
        <w:rPr>
          <w:rFonts w:hint="eastAsia" w:ascii="仿宋_GB2312" w:hAnsi="Times New Roman" w:eastAsia="仿宋_GB2312" w:cs="Times New Roman"/>
          <w:sz w:val="32"/>
          <w:szCs w:val="32"/>
          <w:lang w:val="en-US" w:eastAsia="zh-CN"/>
        </w:rPr>
        <w:t>此项业务（</w:t>
      </w:r>
      <w:r>
        <w:rPr>
          <w:rFonts w:hint="eastAsia" w:ascii="仿宋_GB2312" w:hAnsi="Times New Roman" w:eastAsia="仿宋_GB2312" w:cs="Times New Roman"/>
          <w:sz w:val="32"/>
          <w:szCs w:val="32"/>
        </w:rPr>
        <w:t>液氯钢瓶检验</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不仅满足本辖区的检验检测需求外，还可辐射鄂尔多斯、乌海、银川等周边地区。</w:t>
      </w:r>
    </w:p>
    <w:p w14:paraId="40CEE7CD">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四</w:t>
      </w:r>
      <w:r>
        <w:rPr>
          <w:rFonts w:hint="eastAsia" w:ascii="仿宋_GB2312" w:hAnsi="Times New Roman" w:eastAsia="仿宋_GB2312" w:cs="Times New Roman"/>
          <w:sz w:val="32"/>
          <w:szCs w:val="32"/>
        </w:rPr>
        <w:t>是坚持“五统一”工作机制，内部管理秩序日趋正规。强化责任制落实，签订了安全责任状和目标绩效责任状。依据区院绩效工资方案《通知》要求，对绩效方案</w:t>
      </w:r>
      <w:r>
        <w:rPr>
          <w:rFonts w:hint="eastAsia" w:ascii="仿宋_GB2312" w:hAnsi="Times New Roman" w:eastAsia="仿宋_GB2312" w:cs="Times New Roman"/>
          <w:sz w:val="32"/>
          <w:szCs w:val="32"/>
          <w:lang w:val="en-US" w:eastAsia="zh-CN"/>
        </w:rPr>
        <w:t>进行了</w:t>
      </w:r>
      <w:r>
        <w:rPr>
          <w:rFonts w:hint="eastAsia" w:ascii="仿宋_GB2312" w:hAnsi="Times New Roman" w:eastAsia="仿宋_GB2312" w:cs="Times New Roman"/>
          <w:sz w:val="32"/>
          <w:szCs w:val="32"/>
        </w:rPr>
        <w:t>修订。协助区院完成了新增长输管道内检测项目资质取证现场配合工作。修订完善考勤、休假等管理制度，加强公务用车管理，把公务车辆纳入信息化管理平台，完善</w:t>
      </w:r>
      <w:r>
        <w:rPr>
          <w:rFonts w:hint="eastAsia" w:ascii="仿宋_GB2312" w:hAnsi="Times New Roman" w:eastAsia="仿宋_GB2312" w:cs="Times New Roman"/>
          <w:sz w:val="32"/>
          <w:szCs w:val="32"/>
          <w:lang w:eastAsia="zh-CN"/>
        </w:rPr>
        <w:t>了</w:t>
      </w:r>
      <w:r>
        <w:rPr>
          <w:rFonts w:hint="eastAsia" w:ascii="仿宋_GB2312" w:hAnsi="Times New Roman" w:eastAsia="仿宋_GB2312" w:cs="Times New Roman"/>
          <w:sz w:val="32"/>
          <w:szCs w:val="32"/>
        </w:rPr>
        <w:t>用车审批流程</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完成固定资产清查盘点工作，申报处置原值18.36万元54项待报废资产。</w:t>
      </w:r>
    </w:p>
    <w:p w14:paraId="55E1CD5C">
      <w:pPr>
        <w:pStyle w:val="2"/>
      </w:pPr>
    </w:p>
    <w:p w14:paraId="4E347641">
      <w:pPr>
        <w:pStyle w:val="5"/>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部门（单位）决算情况说明</w:t>
      </w:r>
    </w:p>
    <w:p w14:paraId="15D948C7">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14:paraId="006643D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内蒙古自治区特种设备检验研究院阿拉善分院 </w:t>
      </w:r>
      <w:r>
        <w:rPr>
          <w:rFonts w:eastAsia="Times New Roman"/>
          <w:kern w:val="0"/>
          <w:sz w:val="32"/>
          <w:szCs w:val="32"/>
          <w:lang w:eastAsia="en-US"/>
        </w:rPr>
        <w:t>2025</w:t>
      </w:r>
      <w:r>
        <w:rPr>
          <w:rFonts w:ascii="FangSong_GB2312" w:hAnsi="FangSong_GB2312" w:eastAsia="FangSong_GB2312" w:cs="FangSong_GB2312"/>
          <w:kern w:val="0"/>
          <w:sz w:val="32"/>
          <w:szCs w:val="32"/>
        </w:rPr>
        <w:t>年度收入、支出决算总计均为</w:t>
      </w:r>
      <w:r>
        <w:rPr>
          <w:rFonts w:eastAsia="Times New Roman"/>
          <w:kern w:val="0"/>
          <w:sz w:val="32"/>
          <w:szCs w:val="32"/>
          <w:u w:val="single"/>
          <w:lang w:eastAsia="en-US"/>
        </w:rPr>
        <w:t xml:space="preserve"> 2222.92</w:t>
      </w:r>
      <w:r>
        <w:rPr>
          <w:rFonts w:ascii="FangSong_GB2312" w:hAnsi="FangSong_GB2312" w:eastAsia="FangSong_GB2312" w:cs="FangSong_GB2312"/>
          <w:kern w:val="0"/>
          <w:sz w:val="32"/>
          <w:szCs w:val="32"/>
        </w:rPr>
        <w:t>万元。与年初预算相比，收、支总计各增加</w:t>
      </w:r>
      <w:r>
        <w:rPr>
          <w:rFonts w:eastAsia="Times New Roman"/>
          <w:kern w:val="0"/>
          <w:sz w:val="32"/>
          <w:szCs w:val="32"/>
          <w:u w:val="single"/>
          <w:lang w:eastAsia="en-US"/>
        </w:rPr>
        <w:t xml:space="preserve"> 16.28</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0.74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lang w:val="en-US" w:eastAsia="zh-CN"/>
        </w:rPr>
        <w:t>一是年中追加财政拨款15.07万元，二是经营收入较年初预算增长8万元，三是使用非财政拨款结余资金较年初减少6.79万元</w:t>
      </w:r>
      <w:r>
        <w:rPr>
          <w:rFonts w:ascii="FangSong_GB2312" w:hAnsi="FangSong_GB2312" w:eastAsia="FangSong_GB2312" w:cs="FangSong_GB2312"/>
          <w:kern w:val="0"/>
          <w:sz w:val="32"/>
          <w:szCs w:val="32"/>
        </w:rPr>
        <w:t>；与上年决算相比，收、支总计各增加</w:t>
      </w:r>
      <w:r>
        <w:rPr>
          <w:rFonts w:eastAsia="Times New Roman"/>
          <w:kern w:val="0"/>
          <w:sz w:val="32"/>
          <w:szCs w:val="32"/>
          <w:u w:val="single"/>
          <w:lang w:eastAsia="en-US"/>
        </w:rPr>
        <w:t>32.65</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1.49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793BB6B3">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2222.92</w:t>
      </w:r>
      <w:r>
        <w:rPr>
          <w:rFonts w:ascii="楷体" w:hAnsi="楷体" w:eastAsia="楷体" w:cs="楷体"/>
          <w:b/>
          <w:bCs/>
          <w:kern w:val="0"/>
          <w:sz w:val="32"/>
          <w:szCs w:val="32"/>
        </w:rPr>
        <w:t>万元。包括：</w:t>
      </w:r>
    </w:p>
    <w:p w14:paraId="7E1F7412">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本年收入决算合计</w:t>
      </w:r>
      <w:r>
        <w:rPr>
          <w:rFonts w:eastAsia="Times New Roman"/>
          <w:kern w:val="0"/>
          <w:sz w:val="32"/>
          <w:szCs w:val="32"/>
          <w:u w:val="single"/>
          <w:lang w:eastAsia="en-US"/>
        </w:rPr>
        <w:t xml:space="preserve"> 2162.65</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139.77</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6.91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一是本年年中追加财政拨款，财政拨款收入较上年增加17.45万元，二是经营收入较上年增加122.32万元</w:t>
      </w:r>
      <w:r>
        <w:rPr>
          <w:rFonts w:ascii="FangSong_GB2312" w:hAnsi="FangSong_GB2312" w:eastAsia="FangSong_GB2312" w:cs="FangSong_GB2312"/>
          <w:kern w:val="0"/>
          <w:sz w:val="32"/>
          <w:szCs w:val="32"/>
        </w:rPr>
        <w:t>。</w:t>
      </w:r>
    </w:p>
    <w:p w14:paraId="6A498B94">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使用非财政拨款结余（含专用结余）</w:t>
      </w:r>
      <w:r>
        <w:rPr>
          <w:rFonts w:eastAsia="Times New Roman"/>
          <w:kern w:val="0"/>
          <w:sz w:val="32"/>
          <w:szCs w:val="32"/>
          <w:u w:val="single"/>
          <w:lang w:eastAsia="en-US"/>
        </w:rPr>
        <w:t xml:space="preserve"> 60.27</w:t>
      </w:r>
      <w:r>
        <w:rPr>
          <w:rFonts w:ascii="FangSong_GB2312" w:hAnsi="FangSong_GB2312" w:eastAsia="FangSong_GB2312" w:cs="FangSong_GB2312"/>
          <w:kern w:val="0"/>
          <w:sz w:val="32"/>
          <w:szCs w:val="32"/>
        </w:rPr>
        <w:t>万元。与上年决算相比，减少</w:t>
      </w:r>
      <w:r>
        <w:rPr>
          <w:rFonts w:eastAsia="Times New Roman"/>
          <w:kern w:val="0"/>
          <w:sz w:val="32"/>
          <w:szCs w:val="32"/>
          <w:u w:val="single"/>
          <w:lang w:eastAsia="en-US"/>
        </w:rPr>
        <w:t>107.12</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63.99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本年由于经营支出预算较上年增加，上年使用非财政拨款结余资金支付委托业务费，本年使用经营支出预算支付</w:t>
      </w:r>
      <w:r>
        <w:rPr>
          <w:rFonts w:ascii="FangSong_GB2312" w:hAnsi="FangSong_GB2312" w:eastAsia="FangSong_GB2312" w:cs="FangSong_GB2312"/>
          <w:kern w:val="0"/>
          <w:sz w:val="32"/>
          <w:szCs w:val="32"/>
        </w:rPr>
        <w:t>。</w:t>
      </w:r>
    </w:p>
    <w:p w14:paraId="5194B361">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年初结转和结余</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w:t>
      </w:r>
      <w:r>
        <w:rPr>
          <w:rFonts w:hint="eastAsia" w:ascii="FangSong_GB2312" w:hAnsi="FangSong_GB2312" w:eastAsia="FangSong_GB2312" w:cs="FangSong_GB2312"/>
          <w:kern w:val="0"/>
          <w:sz w:val="32"/>
          <w:szCs w:val="32"/>
          <w:lang w:val="en-US" w:eastAsia="zh-CN"/>
        </w:rPr>
        <w:t>无增减变动</w:t>
      </w:r>
      <w:r>
        <w:rPr>
          <w:rFonts w:ascii="FangSong_GB2312" w:hAnsi="FangSong_GB2312" w:eastAsia="FangSong_GB2312" w:cs="FangSong_GB2312"/>
          <w:kern w:val="0"/>
          <w:sz w:val="32"/>
          <w:szCs w:val="32"/>
        </w:rPr>
        <w:t>。</w:t>
      </w:r>
    </w:p>
    <w:p w14:paraId="593D1056">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 xml:space="preserve"> 2222.92</w:t>
      </w:r>
      <w:r>
        <w:rPr>
          <w:rFonts w:ascii="楷体" w:hAnsi="楷体" w:eastAsia="楷体" w:cs="楷体"/>
          <w:b/>
          <w:bCs/>
          <w:kern w:val="0"/>
          <w:sz w:val="32"/>
          <w:szCs w:val="32"/>
        </w:rPr>
        <w:t>万元。包括：</w:t>
      </w:r>
    </w:p>
    <w:p w14:paraId="7C8CDCA5">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本年支出决算合计</w:t>
      </w:r>
      <w:r>
        <w:rPr>
          <w:rFonts w:eastAsia="Times New Roman"/>
          <w:kern w:val="0"/>
          <w:sz w:val="32"/>
          <w:szCs w:val="32"/>
          <w:u w:val="single"/>
          <w:lang w:eastAsia="en-US"/>
        </w:rPr>
        <w:t xml:space="preserve"> 2047.78</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7.07</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0.35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一般公共服务支出减少72.18万元，社会保障和就业支出增加45.17万元，卫生健康支出增加12.6万元，住房保障支出增加21.47万元</w:t>
      </w:r>
      <w:r>
        <w:rPr>
          <w:rFonts w:ascii="FangSong_GB2312" w:hAnsi="FangSong_GB2312" w:eastAsia="FangSong_GB2312" w:cs="FangSong_GB2312"/>
          <w:kern w:val="0"/>
          <w:sz w:val="32"/>
          <w:szCs w:val="32"/>
        </w:rPr>
        <w:t>。</w:t>
      </w:r>
    </w:p>
    <w:p w14:paraId="4D83F698">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结余分配</w:t>
      </w:r>
      <w:r>
        <w:rPr>
          <w:rFonts w:eastAsia="Times New Roman"/>
          <w:kern w:val="0"/>
          <w:sz w:val="32"/>
          <w:szCs w:val="32"/>
          <w:u w:val="single"/>
          <w:lang w:eastAsia="en-US"/>
        </w:rPr>
        <w:t xml:space="preserve"> 175.14</w:t>
      </w:r>
      <w:r>
        <w:rPr>
          <w:rFonts w:ascii="FangSong_GB2312" w:hAnsi="FangSong_GB2312" w:eastAsia="FangSong_GB2312" w:cs="FangSong_GB2312"/>
          <w:kern w:val="0"/>
          <w:sz w:val="32"/>
          <w:szCs w:val="32"/>
        </w:rPr>
        <w:t>万元。结余分配事项：</w:t>
      </w:r>
      <w:r>
        <w:rPr>
          <w:rFonts w:hint="eastAsia" w:ascii="FangSong_GB2312" w:hAnsi="FangSong_GB2312" w:eastAsia="FangSong_GB2312" w:cs="FangSong_GB2312"/>
          <w:kern w:val="0"/>
          <w:sz w:val="32"/>
          <w:szCs w:val="32"/>
          <w:lang w:val="en-US" w:eastAsia="zh-CN"/>
        </w:rPr>
        <w:t>本年经营收支结余</w:t>
      </w:r>
      <w:r>
        <w:rPr>
          <w:rFonts w:ascii="FangSong_GB2312" w:hAnsi="FangSong_GB2312" w:eastAsia="FangSong_GB2312" w:cs="FangSong_GB2312"/>
          <w:kern w:val="0"/>
          <w:sz w:val="32"/>
          <w:szCs w:val="32"/>
        </w:rPr>
        <w:t>。与上年决算相比，增加</w:t>
      </w:r>
      <w:r>
        <w:rPr>
          <w:rFonts w:eastAsia="Times New Roman"/>
          <w:kern w:val="0"/>
          <w:sz w:val="32"/>
          <w:szCs w:val="32"/>
          <w:u w:val="single"/>
          <w:lang w:eastAsia="en-US"/>
        </w:rPr>
        <w:t xml:space="preserve"> 25.58</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17.10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本年经营收入较上年增加122.32万元，经营支出较上年增加96.74万元，经营收支结余增加25.58万元</w:t>
      </w:r>
      <w:r>
        <w:rPr>
          <w:rFonts w:ascii="FangSong_GB2312" w:hAnsi="FangSong_GB2312" w:eastAsia="FangSong_GB2312" w:cs="FangSong_GB2312"/>
          <w:kern w:val="0"/>
          <w:sz w:val="32"/>
          <w:szCs w:val="32"/>
        </w:rPr>
        <w:t>。</w:t>
      </w:r>
    </w:p>
    <w:p w14:paraId="7626CC01">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年末结转和结余</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万元。结转和结余事项：</w:t>
      </w:r>
      <w:r>
        <w:rPr>
          <w:rFonts w:hint="eastAsia" w:ascii="FangSong_GB2312" w:hAnsi="FangSong_GB2312" w:eastAsia="FangSong_GB2312" w:cs="FangSong_GB2312"/>
          <w:kern w:val="0"/>
          <w:sz w:val="32"/>
          <w:szCs w:val="32"/>
          <w:lang w:val="en-US" w:eastAsia="zh-CN"/>
        </w:rPr>
        <w:t>无</w:t>
      </w:r>
      <w:r>
        <w:rPr>
          <w:rFonts w:ascii="FangSong_GB2312" w:hAnsi="FangSong_GB2312" w:eastAsia="FangSong_GB2312" w:cs="FangSong_GB2312"/>
          <w:kern w:val="0"/>
          <w:sz w:val="32"/>
          <w:szCs w:val="32"/>
        </w:rPr>
        <w:t>。与上年决算相比，增加（减少）</w:t>
      </w:r>
      <w:r>
        <w:rPr>
          <w:rFonts w:eastAsia="Times New Roman"/>
          <w:kern w:val="0"/>
          <w:sz w:val="32"/>
          <w:szCs w:val="32"/>
          <w:u w:val="single"/>
        </w:rPr>
        <w:t xml:space="preserve"> 0</w:t>
      </w:r>
      <w:r>
        <w:rPr>
          <w:rFonts w:ascii="FangSong_GB2312" w:hAnsi="FangSong_GB2312" w:eastAsia="FangSong_GB2312" w:cs="FangSong_GB2312"/>
          <w:kern w:val="0"/>
          <w:sz w:val="32"/>
          <w:szCs w:val="32"/>
        </w:rPr>
        <w:t>万元，增长（下降）</w:t>
      </w:r>
      <w:r>
        <w:rPr>
          <w:rFonts w:eastAsia="Times New Roman"/>
          <w:kern w:val="0"/>
          <w:sz w:val="32"/>
          <w:szCs w:val="32"/>
          <w:u w:val="single"/>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不存在此项变动</w:t>
      </w:r>
      <w:r>
        <w:rPr>
          <w:rFonts w:ascii="FangSong_GB2312" w:hAnsi="FangSong_GB2312" w:eastAsia="FangSong_GB2312" w:cs="FangSong_GB2312"/>
          <w:kern w:val="0"/>
          <w:sz w:val="32"/>
          <w:szCs w:val="32"/>
        </w:rPr>
        <w:t>。</w:t>
      </w:r>
    </w:p>
    <w:p w14:paraId="5DFC79C7">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14:paraId="464B8A5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内蒙古自治区特种设备检验研究院阿拉善分院 </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年度本年收入决算合计</w:t>
      </w:r>
      <w:r>
        <w:rPr>
          <w:rFonts w:eastAsia="Times New Roman"/>
          <w:kern w:val="0"/>
          <w:sz w:val="32"/>
          <w:szCs w:val="32"/>
          <w:u w:val="single"/>
          <w:lang w:eastAsia="en-US"/>
        </w:rPr>
        <w:t xml:space="preserve"> 2162.65</w:t>
      </w:r>
      <w:r>
        <w:rPr>
          <w:rFonts w:ascii="FangSong_GB2312" w:hAnsi="FangSong_GB2312" w:eastAsia="FangSong_GB2312" w:cs="FangSong_GB2312"/>
          <w:kern w:val="0"/>
          <w:sz w:val="32"/>
          <w:szCs w:val="32"/>
        </w:rPr>
        <w:t>万元，其中：</w:t>
      </w:r>
    </w:p>
    <w:p w14:paraId="2210B15B">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一般公共预算财政拨款收入</w:t>
      </w:r>
      <w:r>
        <w:rPr>
          <w:rFonts w:eastAsia="Times New Roman"/>
          <w:kern w:val="0"/>
          <w:sz w:val="32"/>
          <w:szCs w:val="32"/>
          <w:u w:val="single"/>
          <w:lang w:eastAsia="en-US"/>
        </w:rPr>
        <w:t xml:space="preserve"> 1054.65</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48.77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929313B">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政府性基金预算财政拨款收入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9C5C647">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国有资本经营预算财政拨款收入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471BB4F2">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上级补助收入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CAB5D1C">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事业收入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7799F193">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经营收入</w:t>
      </w:r>
      <w:r>
        <w:rPr>
          <w:rFonts w:eastAsia="Times New Roman"/>
          <w:kern w:val="0"/>
          <w:sz w:val="32"/>
          <w:szCs w:val="32"/>
          <w:u w:val="single"/>
          <w:lang w:eastAsia="en-US"/>
        </w:rPr>
        <w:t xml:space="preserve"> 1108.00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51.23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4BFB8F25">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附属单位上缴收入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569E9B6D">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其他收入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71A4A62A">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5" o:spt="75" type="#_x0000_t75" style="height:375pt;width:600pt;" filled="f" o:preferrelative="t" stroked="f" coordsize="21600,21600">
            <v:path/>
            <v:fill on="f" focussize="0,0"/>
            <v:stroke on="f" joinstyle="miter"/>
            <v:imagedata r:id="rId6" o:title=""/>
            <o:lock v:ext="edit" aspectratio="t"/>
            <w10:wrap type="none"/>
            <w10:anchorlock/>
          </v:shape>
        </w:pict>
      </w:r>
      <w:r>
        <w:rPr>
          <w:rFonts w:ascii="Times New Roman" w:hAnsi="Times New Roman" w:eastAsia="Times New Roman" w:cs="Times New Roman"/>
          <w:kern w:val="0"/>
          <w:sz w:val="24"/>
        </w:rPr>
        <w:t xml:space="preserve">   </w:t>
      </w:r>
    </w:p>
    <w:p w14:paraId="79DD029C">
      <w:pPr>
        <w:widowControl/>
        <w:spacing w:before="240" w:after="240"/>
        <w:jc w:val="center"/>
        <w:rPr>
          <w:rFonts w:ascii="Times New Roman" w:hAnsi="Times New Roman" w:eastAsia="Times New Roman" w:cs="Times New Roman"/>
          <w:kern w:val="0"/>
          <w:sz w:val="24"/>
        </w:rPr>
      </w:pPr>
      <w:r>
        <w:rPr>
          <w:rFonts w:ascii="FangSong_GB2312" w:hAnsi="FangSong_GB2312" w:eastAsia="FangSong_GB2312" w:cs="FangSong_GB2312"/>
          <w:kern w:val="0"/>
          <w:sz w:val="27"/>
          <w:szCs w:val="27"/>
        </w:rPr>
        <w:t>图</w:t>
      </w:r>
      <w:r>
        <w:rPr>
          <w:rFonts w:ascii="times_new_roman" w:hAnsi="times_new_roman" w:eastAsia="times_new_roman" w:cs="times_new_roman"/>
          <w:kern w:val="0"/>
          <w:sz w:val="27"/>
          <w:szCs w:val="27"/>
        </w:rPr>
        <w:t>1</w:t>
      </w:r>
      <w:r>
        <w:rPr>
          <w:rFonts w:ascii="FangSong_GB2312" w:hAnsi="FangSong_GB2312" w:eastAsia="FangSong_GB2312" w:cs="FangSong_GB2312"/>
          <w:kern w:val="0"/>
          <w:sz w:val="27"/>
          <w:szCs w:val="27"/>
        </w:rPr>
        <w:t>.收入决算图</w:t>
      </w:r>
    </w:p>
    <w:p w14:paraId="2DD51497">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14:paraId="7370E17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年度本年支出决算合计</w:t>
      </w:r>
      <w:r>
        <w:rPr>
          <w:rFonts w:eastAsia="Times New Roman"/>
          <w:kern w:val="0"/>
          <w:sz w:val="32"/>
          <w:szCs w:val="32"/>
          <w:u w:val="single"/>
          <w:lang w:eastAsia="en-US"/>
        </w:rPr>
        <w:t xml:space="preserve"> 2047.78</w:t>
      </w:r>
      <w:r>
        <w:rPr>
          <w:rFonts w:ascii="FangSong_GB2312" w:hAnsi="FangSong_GB2312" w:eastAsia="FangSong_GB2312" w:cs="FangSong_GB2312"/>
          <w:kern w:val="0"/>
          <w:sz w:val="32"/>
          <w:szCs w:val="32"/>
        </w:rPr>
        <w:t>万元，其中：</w:t>
      </w:r>
    </w:p>
    <w:p w14:paraId="4622D2BE">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基本支出</w:t>
      </w:r>
      <w:r>
        <w:rPr>
          <w:rFonts w:eastAsia="Times New Roman"/>
          <w:kern w:val="0"/>
          <w:sz w:val="32"/>
          <w:szCs w:val="32"/>
          <w:u w:val="single"/>
          <w:lang w:eastAsia="en-US"/>
        </w:rPr>
        <w:t xml:space="preserve"> 767.65</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37.49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580AA71D">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项目支出</w:t>
      </w:r>
      <w:r>
        <w:rPr>
          <w:rFonts w:eastAsia="Times New Roman"/>
          <w:kern w:val="0"/>
          <w:sz w:val="32"/>
          <w:szCs w:val="32"/>
          <w:u w:val="single"/>
          <w:lang w:eastAsia="en-US"/>
        </w:rPr>
        <w:t xml:space="preserve"> 347.27</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16.96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57AFABB5">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上缴上级支出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5FB7B1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经营支出</w:t>
      </w:r>
      <w:r>
        <w:rPr>
          <w:rFonts w:eastAsia="Times New Roman"/>
          <w:kern w:val="0"/>
          <w:sz w:val="32"/>
          <w:szCs w:val="32"/>
          <w:u w:val="single"/>
          <w:lang w:eastAsia="en-US"/>
        </w:rPr>
        <w:t xml:space="preserve"> 932.85</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45.55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5158AC85">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对附属单位补助支出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4AF12BB3">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6" o:spt="75" type="#_x0000_t75" style="height:375pt;width:600pt;" filled="f" o:preferrelative="t" stroked="f" coordsize="21600,21600">
            <v:path/>
            <v:fill on="f" focussize="0,0"/>
            <v:stroke on="f" joinstyle="miter"/>
            <v:imagedata r:id="rId7" o:title=""/>
            <o:lock v:ext="edit" aspectratio="t"/>
            <w10:wrap type="none"/>
            <w10:anchorlock/>
          </v:shape>
        </w:pict>
      </w:r>
      <w:r>
        <w:rPr>
          <w:rFonts w:ascii="Times New Roman" w:hAnsi="Times New Roman" w:eastAsia="Times New Roman" w:cs="Times New Roman"/>
          <w:kern w:val="0"/>
          <w:sz w:val="24"/>
        </w:rPr>
        <w:t xml:space="preserve">   </w:t>
      </w:r>
    </w:p>
    <w:p w14:paraId="162FFB4F">
      <w:pPr>
        <w:widowControl/>
        <w:spacing w:before="240" w:after="240"/>
        <w:jc w:val="center"/>
        <w:rPr>
          <w:rFonts w:ascii="Times New Roman" w:hAnsi="Times New Roman" w:eastAsia="Times New Roman" w:cs="Times New Roman"/>
          <w:kern w:val="0"/>
          <w:sz w:val="24"/>
        </w:rPr>
      </w:pPr>
      <w:r>
        <w:rPr>
          <w:rFonts w:ascii="FangSong_GB2312" w:hAnsi="FangSong_GB2312" w:eastAsia="FangSong_GB2312" w:cs="FangSong_GB2312"/>
          <w:kern w:val="0"/>
          <w:sz w:val="27"/>
          <w:szCs w:val="27"/>
        </w:rPr>
        <w:t>图2.支出决算图</w:t>
      </w:r>
    </w:p>
    <w:p w14:paraId="3268F7A1">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14:paraId="63070F9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年度财政拨款收入、支出决算总计均为</w:t>
      </w:r>
      <w:r>
        <w:rPr>
          <w:rFonts w:eastAsia="Times New Roman"/>
          <w:kern w:val="0"/>
          <w:sz w:val="32"/>
          <w:szCs w:val="32"/>
          <w:u w:val="single"/>
          <w:lang w:eastAsia="en-US"/>
        </w:rPr>
        <w:t xml:space="preserve"> 1054.65</w:t>
      </w:r>
      <w:r>
        <w:rPr>
          <w:rFonts w:ascii="FangSong_GB2312" w:hAnsi="FangSong_GB2312" w:eastAsia="FangSong_GB2312" w:cs="FangSong_GB2312"/>
          <w:kern w:val="0"/>
          <w:sz w:val="32"/>
          <w:szCs w:val="32"/>
        </w:rPr>
        <w:t>万元，与年初预算相比，收、支总计各增加</w:t>
      </w:r>
      <w:r>
        <w:rPr>
          <w:rFonts w:eastAsia="Times New Roman"/>
          <w:kern w:val="0"/>
          <w:sz w:val="32"/>
          <w:szCs w:val="32"/>
          <w:u w:val="single"/>
          <w:lang w:eastAsia="en-US"/>
        </w:rPr>
        <w:t xml:space="preserve"> 15.07</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1.45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年中财政追加人员经费15.07万元</w:t>
      </w:r>
      <w:r>
        <w:rPr>
          <w:rFonts w:ascii="FangSong_GB2312" w:hAnsi="FangSong_GB2312" w:eastAsia="FangSong_GB2312" w:cs="FangSong_GB2312"/>
          <w:kern w:val="0"/>
          <w:sz w:val="32"/>
          <w:szCs w:val="32"/>
        </w:rPr>
        <w:t>；与上年决算相比，收、支总计各增加</w:t>
      </w:r>
      <w:r>
        <w:rPr>
          <w:rFonts w:eastAsia="Times New Roman"/>
          <w:kern w:val="0"/>
          <w:sz w:val="32"/>
          <w:szCs w:val="32"/>
          <w:u w:val="single"/>
          <w:lang w:eastAsia="en-US"/>
        </w:rPr>
        <w:t xml:space="preserve"> 17.45</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1.68</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rPr>
        <w:t>一般公共服务支出</w:t>
      </w:r>
      <w:r>
        <w:rPr>
          <w:rFonts w:hint="eastAsia" w:ascii="FangSong_GB2312" w:hAnsi="FangSong_GB2312" w:eastAsia="FangSong_GB2312" w:cs="FangSong_GB2312"/>
          <w:kern w:val="0"/>
          <w:sz w:val="32"/>
          <w:szCs w:val="32"/>
          <w:lang w:val="en-US" w:eastAsia="zh-CN"/>
        </w:rPr>
        <w:t>较上年增加4.9万元，社会保障和就业支出较上年增加3.03万元，卫生健康支出较上年增加5.82万元，住房保障支出较上年增加4.53万元</w:t>
      </w:r>
      <w:r>
        <w:rPr>
          <w:rFonts w:ascii="FangSong_GB2312" w:hAnsi="FangSong_GB2312" w:eastAsia="FangSong_GB2312" w:cs="FangSong_GB2312"/>
          <w:kern w:val="0"/>
          <w:sz w:val="32"/>
          <w:szCs w:val="32"/>
        </w:rPr>
        <w:t>。</w:t>
      </w:r>
    </w:p>
    <w:p w14:paraId="218A30E8">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14:paraId="350539BD">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年度一般公共预算财政拨款支出决算</w:t>
      </w:r>
      <w:r>
        <w:rPr>
          <w:rFonts w:eastAsia="Times New Roman"/>
          <w:kern w:val="0"/>
          <w:sz w:val="32"/>
          <w:szCs w:val="32"/>
          <w:u w:val="single"/>
          <w:lang w:eastAsia="en-US"/>
        </w:rPr>
        <w:t xml:space="preserve"> 1054.65</w:t>
      </w:r>
      <w:r>
        <w:rPr>
          <w:rFonts w:ascii="FangSong_GB2312" w:hAnsi="FangSong_GB2312" w:eastAsia="FangSong_GB2312" w:cs="FangSong_GB2312"/>
          <w:kern w:val="0"/>
          <w:sz w:val="32"/>
          <w:szCs w:val="32"/>
        </w:rPr>
        <w:t>万元。与年初预算</w:t>
      </w:r>
      <w:r>
        <w:rPr>
          <w:rFonts w:eastAsia="Times New Roman"/>
          <w:kern w:val="0"/>
          <w:sz w:val="32"/>
          <w:szCs w:val="32"/>
          <w:u w:val="single"/>
          <w:lang w:eastAsia="en-US"/>
        </w:rPr>
        <w:t xml:space="preserve"> 1039.58</w:t>
      </w:r>
      <w:r>
        <w:rPr>
          <w:rFonts w:ascii="FangSong_GB2312" w:hAnsi="FangSong_GB2312" w:eastAsia="FangSong_GB2312" w:cs="FangSong_GB2312"/>
          <w:kern w:val="0"/>
          <w:sz w:val="32"/>
          <w:szCs w:val="32"/>
        </w:rPr>
        <w:t>万元相比，完成年初预算的</w:t>
      </w:r>
      <w:r>
        <w:rPr>
          <w:rFonts w:eastAsia="Times New Roman"/>
          <w:kern w:val="0"/>
          <w:sz w:val="32"/>
          <w:szCs w:val="32"/>
          <w:u w:val="single"/>
          <w:lang w:eastAsia="en-US"/>
        </w:rPr>
        <w:t xml:space="preserve"> 101.45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6FBFBE88">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（一）一般公共服务（类）</w:t>
      </w:r>
    </w:p>
    <w:p w14:paraId="36A24CBA">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一般公共服务（类）决算数为</w:t>
      </w:r>
      <w:r>
        <w:rPr>
          <w:rFonts w:eastAsia="Times New Roman"/>
          <w:kern w:val="0"/>
          <w:sz w:val="32"/>
          <w:szCs w:val="32"/>
          <w:u w:val="single"/>
          <w:lang w:eastAsia="en-US"/>
        </w:rPr>
        <w:t xml:space="preserve"> 968.83</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xml:space="preserve"> 12.86</w:t>
      </w:r>
      <w:r>
        <w:rPr>
          <w:rFonts w:ascii="FangSong_GB2312" w:hAnsi="FangSong_GB2312" w:eastAsia="FangSong_GB2312" w:cs="FangSong_GB2312"/>
          <w:kern w:val="0"/>
          <w:sz w:val="32"/>
          <w:szCs w:val="32"/>
        </w:rPr>
        <w:t>万元。其中：</w:t>
      </w:r>
    </w:p>
    <w:p w14:paraId="40FAA6B4">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rPr>
        <w:t>．人大事务（款）行政运行（项）。年初预算</w:t>
      </w:r>
      <w:r>
        <w:rPr>
          <w:rFonts w:hint="eastAsia" w:eastAsia="宋体"/>
          <w:kern w:val="0"/>
          <w:sz w:val="32"/>
          <w:szCs w:val="32"/>
          <w:u w:val="single"/>
          <w:lang w:val="en-US" w:eastAsia="zh-CN"/>
        </w:rPr>
        <w:t>955.97</w:t>
      </w:r>
      <w:r>
        <w:rPr>
          <w:rFonts w:ascii="FangSong_GB2312" w:hAnsi="FangSong_GB2312" w:eastAsia="FangSong_GB2312" w:cs="FangSong_GB2312"/>
          <w:kern w:val="0"/>
          <w:sz w:val="32"/>
          <w:szCs w:val="32"/>
        </w:rPr>
        <w:t>万元，支出决算</w:t>
      </w:r>
      <w:r>
        <w:rPr>
          <w:rFonts w:hint="eastAsia" w:eastAsia="宋体"/>
          <w:kern w:val="0"/>
          <w:sz w:val="32"/>
          <w:szCs w:val="32"/>
          <w:u w:val="single"/>
          <w:lang w:val="en-US" w:eastAsia="zh-CN"/>
        </w:rPr>
        <w:t>968.83</w:t>
      </w:r>
      <w:r>
        <w:rPr>
          <w:rFonts w:ascii="FangSong_GB2312" w:hAnsi="FangSong_GB2312" w:eastAsia="FangSong_GB2312" w:cs="FangSong_GB2312"/>
          <w:kern w:val="0"/>
          <w:sz w:val="32"/>
          <w:szCs w:val="32"/>
        </w:rPr>
        <w:t>万元，完成年初预算的</w:t>
      </w:r>
      <w:r>
        <w:rPr>
          <w:rFonts w:hint="eastAsia" w:eastAsia="宋体"/>
          <w:kern w:val="0"/>
          <w:sz w:val="32"/>
          <w:szCs w:val="32"/>
          <w:u w:val="single"/>
          <w:lang w:val="en-US" w:eastAsia="zh-CN"/>
        </w:rPr>
        <w:t>101.35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由于调整人员基本工资，财政年中追加基本工资12.86万元</w:t>
      </w:r>
      <w:r>
        <w:rPr>
          <w:rFonts w:ascii="FangSong_GB2312" w:hAnsi="FangSong_GB2312" w:eastAsia="FangSong_GB2312" w:cs="FangSong_GB2312"/>
          <w:kern w:val="0"/>
          <w:sz w:val="32"/>
          <w:szCs w:val="32"/>
        </w:rPr>
        <w:t>。</w:t>
      </w:r>
    </w:p>
    <w:p w14:paraId="11597E80">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二</w:t>
      </w:r>
      <w:r>
        <w:rPr>
          <w:rFonts w:ascii="楷体" w:hAnsi="楷体" w:eastAsia="楷体" w:cs="楷体"/>
          <w:b/>
          <w:bCs/>
          <w:kern w:val="0"/>
          <w:sz w:val="32"/>
          <w:szCs w:val="32"/>
        </w:rPr>
        <w:t>）社会保障和就业支出（类）</w:t>
      </w:r>
    </w:p>
    <w:p w14:paraId="0F603832">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社会保障和就业支出（类）决算数为</w:t>
      </w:r>
      <w:r>
        <w:rPr>
          <w:rFonts w:eastAsia="Times New Roman"/>
          <w:kern w:val="0"/>
          <w:sz w:val="32"/>
          <w:szCs w:val="32"/>
          <w:u w:val="single"/>
          <w:lang w:eastAsia="en-US"/>
        </w:rPr>
        <w:t xml:space="preserve"> 46.72</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1.11</w:t>
      </w:r>
      <w:r>
        <w:rPr>
          <w:rFonts w:ascii="FangSong_GB2312" w:hAnsi="FangSong_GB2312" w:eastAsia="FangSong_GB2312" w:cs="FangSong_GB2312"/>
          <w:kern w:val="0"/>
          <w:sz w:val="32"/>
          <w:szCs w:val="32"/>
        </w:rPr>
        <w:t>万元。其中：</w:t>
      </w:r>
    </w:p>
    <w:p w14:paraId="3414EB16">
      <w:pPr>
        <w:pStyle w:val="30"/>
        <w:widowControl/>
        <w:spacing w:before="240" w:after="240" w:line="560" w:lineRule="atLeast"/>
        <w:ind w:firstLine="640"/>
        <w:jc w:val="left"/>
        <w:rPr>
          <w:rFonts w:ascii="Times New Roman" w:hAnsi="Times New Roman" w:eastAsia="Times New Roman" w:cs="Times New Roman"/>
          <w:kern w:val="0"/>
          <w:sz w:val="24"/>
        </w:rPr>
      </w:pPr>
      <w:r>
        <w:rPr>
          <w:rFonts w:hint="eastAsia" w:ascii="FangSong_GB2312" w:hAnsi="FangSong_GB2312" w:eastAsia="FangSong_GB2312" w:cs="FangSong_GB2312"/>
          <w:kern w:val="0"/>
          <w:sz w:val="32"/>
          <w:szCs w:val="32"/>
          <w:lang w:val="en-US" w:eastAsia="zh-CN"/>
        </w:rPr>
        <w:t>1</w:t>
      </w:r>
      <w:r>
        <w:rPr>
          <w:rFonts w:ascii="FangSong_GB2312" w:hAnsi="FangSong_GB2312" w:eastAsia="FangSong_GB2312" w:cs="FangSong_GB2312"/>
          <w:kern w:val="0"/>
          <w:sz w:val="32"/>
          <w:szCs w:val="32"/>
        </w:rPr>
        <w:t>．行政事业单位养老支出（款）事业单位离退休（项）。年初预算</w:t>
      </w:r>
      <w:r>
        <w:rPr>
          <w:rFonts w:hint="eastAsia" w:eastAsia="宋体"/>
          <w:kern w:val="0"/>
          <w:sz w:val="32"/>
          <w:szCs w:val="32"/>
          <w:u w:val="single"/>
          <w:lang w:val="en-US" w:eastAsia="zh-CN"/>
        </w:rPr>
        <w:t>6.01</w:t>
      </w:r>
      <w:r>
        <w:rPr>
          <w:rFonts w:ascii="FangSong_GB2312" w:hAnsi="FangSong_GB2312" w:eastAsia="FangSong_GB2312" w:cs="FangSong_GB2312"/>
          <w:kern w:val="0"/>
          <w:sz w:val="32"/>
          <w:szCs w:val="32"/>
        </w:rPr>
        <w:t>万元，支出决算</w:t>
      </w:r>
      <w:r>
        <w:rPr>
          <w:rFonts w:hint="eastAsia" w:eastAsia="宋体"/>
          <w:kern w:val="0"/>
          <w:sz w:val="32"/>
          <w:szCs w:val="32"/>
          <w:u w:val="single"/>
          <w:lang w:val="en-US" w:eastAsia="zh-CN"/>
        </w:rPr>
        <w:t>6.01</w:t>
      </w:r>
      <w:r>
        <w:rPr>
          <w:rFonts w:ascii="FangSong_GB2312" w:hAnsi="FangSong_GB2312" w:eastAsia="FangSong_GB2312" w:cs="FangSong_GB2312"/>
          <w:kern w:val="0"/>
          <w:sz w:val="32"/>
          <w:szCs w:val="32"/>
        </w:rPr>
        <w:t>万元，完成年初预算的</w:t>
      </w:r>
      <w:r>
        <w:rPr>
          <w:rFonts w:hint="eastAsia" w:eastAsia="宋体"/>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Times New Roman" w:hAnsi="Times New Roman" w:eastAsia="仿宋_GB2312" w:cs="Times New Roman"/>
          <w:sz w:val="32"/>
          <w:szCs w:val="32"/>
          <w:u w:val="none"/>
          <w:lang w:val="en-US" w:eastAsia="zh-CN"/>
        </w:rPr>
        <w:t>不存在此项变动</w:t>
      </w:r>
      <w:r>
        <w:rPr>
          <w:rFonts w:ascii="FangSong_GB2312" w:hAnsi="FangSong_GB2312" w:eastAsia="FangSong_GB2312" w:cs="FangSong_GB2312"/>
          <w:kern w:val="0"/>
          <w:sz w:val="32"/>
          <w:szCs w:val="32"/>
        </w:rPr>
        <w:t>。</w:t>
      </w:r>
    </w:p>
    <w:p w14:paraId="779E872F">
      <w:pPr>
        <w:pStyle w:val="30"/>
        <w:widowControl/>
        <w:spacing w:before="240" w:after="240" w:line="560" w:lineRule="atLeast"/>
        <w:ind w:firstLine="640"/>
        <w:jc w:val="left"/>
        <w:rPr>
          <w:rFonts w:ascii="Times New Roman" w:hAnsi="Times New Roman" w:eastAsia="Times New Roman" w:cs="Times New Roman"/>
          <w:kern w:val="0"/>
          <w:sz w:val="24"/>
        </w:rPr>
      </w:pPr>
      <w:r>
        <w:rPr>
          <w:rFonts w:hint="eastAsia" w:eastAsia="宋体"/>
          <w:kern w:val="0"/>
          <w:sz w:val="32"/>
          <w:szCs w:val="32"/>
          <w:lang w:val="en-US" w:eastAsia="zh-CN"/>
        </w:rPr>
        <w:t>2</w:t>
      </w:r>
      <w:r>
        <w:rPr>
          <w:rFonts w:ascii="FangSong_GB2312" w:hAnsi="FangSong_GB2312" w:eastAsia="FangSong_GB2312" w:cs="FangSong_GB2312"/>
          <w:kern w:val="0"/>
          <w:sz w:val="32"/>
          <w:szCs w:val="32"/>
        </w:rPr>
        <w:t>．行政事业单位养老支出（款）机关事业单位基本养老保险缴费支出（项）。年初预算</w:t>
      </w:r>
      <w:r>
        <w:rPr>
          <w:rFonts w:hint="eastAsia" w:eastAsia="宋体"/>
          <w:kern w:val="0"/>
          <w:sz w:val="32"/>
          <w:szCs w:val="32"/>
          <w:u w:val="single"/>
          <w:lang w:val="en-US" w:eastAsia="zh-CN"/>
        </w:rPr>
        <w:t>25.6</w:t>
      </w:r>
      <w:r>
        <w:rPr>
          <w:rFonts w:ascii="FangSong_GB2312" w:hAnsi="FangSong_GB2312" w:eastAsia="FangSong_GB2312" w:cs="FangSong_GB2312"/>
          <w:kern w:val="0"/>
          <w:sz w:val="32"/>
          <w:szCs w:val="32"/>
        </w:rPr>
        <w:t>万元，支出决算</w:t>
      </w:r>
      <w:r>
        <w:rPr>
          <w:rFonts w:hint="eastAsia" w:ascii="FangSong_GB2312" w:hAnsi="FangSong_GB2312" w:eastAsia="FangSong_GB2312" w:cs="FangSong_GB2312"/>
          <w:kern w:val="0"/>
          <w:sz w:val="32"/>
          <w:szCs w:val="32"/>
          <w:lang w:val="en-US" w:eastAsia="zh-CN"/>
        </w:rPr>
        <w:t>26.34</w:t>
      </w:r>
      <w:r>
        <w:rPr>
          <w:rFonts w:ascii="FangSong_GB2312" w:hAnsi="FangSong_GB2312" w:eastAsia="FangSong_GB2312" w:cs="FangSong_GB2312"/>
          <w:kern w:val="0"/>
          <w:sz w:val="32"/>
          <w:szCs w:val="32"/>
        </w:rPr>
        <w:t>万元，完成年初预算的</w:t>
      </w:r>
      <w:r>
        <w:rPr>
          <w:rFonts w:hint="eastAsia" w:eastAsia="宋体"/>
          <w:kern w:val="0"/>
          <w:sz w:val="32"/>
          <w:szCs w:val="32"/>
          <w:u w:val="single"/>
          <w:lang w:val="en-US" w:eastAsia="zh-CN"/>
        </w:rPr>
        <w:t>102.89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由于追加基本工资，年中财政追加</w:t>
      </w:r>
      <w:r>
        <w:rPr>
          <w:rFonts w:ascii="FangSong_GB2312" w:hAnsi="FangSong_GB2312" w:eastAsia="FangSong_GB2312" w:cs="FangSong_GB2312"/>
          <w:kern w:val="0"/>
          <w:sz w:val="32"/>
          <w:szCs w:val="32"/>
        </w:rPr>
        <w:t>机关事业单位基本养老保险缴费支出</w:t>
      </w:r>
      <w:r>
        <w:rPr>
          <w:rFonts w:hint="eastAsia" w:ascii="FangSong_GB2312" w:hAnsi="FangSong_GB2312" w:eastAsia="FangSong_GB2312" w:cs="FangSong_GB2312"/>
          <w:kern w:val="0"/>
          <w:sz w:val="32"/>
          <w:szCs w:val="32"/>
          <w:lang w:val="en-US" w:eastAsia="zh-CN"/>
        </w:rPr>
        <w:t>0.74万元</w:t>
      </w:r>
      <w:r>
        <w:rPr>
          <w:rFonts w:ascii="FangSong_GB2312" w:hAnsi="FangSong_GB2312" w:eastAsia="FangSong_GB2312" w:cs="FangSong_GB2312"/>
          <w:kern w:val="0"/>
          <w:sz w:val="32"/>
          <w:szCs w:val="32"/>
        </w:rPr>
        <w:t>。</w:t>
      </w:r>
    </w:p>
    <w:p w14:paraId="0ADE0C2E">
      <w:pPr>
        <w:pStyle w:val="30"/>
        <w:widowControl/>
        <w:spacing w:before="240" w:after="240" w:line="560" w:lineRule="atLeast"/>
        <w:ind w:firstLine="640"/>
        <w:jc w:val="left"/>
        <w:rPr>
          <w:rFonts w:ascii="Times New Roman" w:hAnsi="Times New Roman" w:eastAsia="Times New Roman" w:cs="Times New Roman"/>
          <w:kern w:val="0"/>
          <w:sz w:val="24"/>
        </w:rPr>
      </w:pPr>
      <w:r>
        <w:rPr>
          <w:rFonts w:hint="eastAsia" w:ascii="FangSong_GB2312" w:hAnsi="FangSong_GB2312" w:eastAsia="FangSong_GB2312" w:cs="FangSong_GB2312"/>
          <w:kern w:val="0"/>
          <w:sz w:val="32"/>
          <w:szCs w:val="32"/>
          <w:lang w:val="en-US" w:eastAsia="zh-CN"/>
        </w:rPr>
        <w:t>3</w:t>
      </w:r>
      <w:r>
        <w:rPr>
          <w:rFonts w:ascii="FangSong_GB2312" w:hAnsi="FangSong_GB2312" w:eastAsia="FangSong_GB2312" w:cs="FangSong_GB2312"/>
          <w:kern w:val="0"/>
          <w:sz w:val="32"/>
          <w:szCs w:val="32"/>
        </w:rPr>
        <w:t>．行政事业单位养老支出（款）机关事业单位职业年金缴费支出（项）。年初预算</w:t>
      </w:r>
      <w:r>
        <w:rPr>
          <w:rFonts w:hint="eastAsia" w:eastAsia="宋体"/>
          <w:kern w:val="0"/>
          <w:sz w:val="32"/>
          <w:szCs w:val="32"/>
          <w:u w:val="single"/>
          <w:lang w:val="en-US" w:eastAsia="zh-CN"/>
        </w:rPr>
        <w:t>14</w:t>
      </w:r>
      <w:r>
        <w:rPr>
          <w:rFonts w:ascii="FangSong_GB2312" w:hAnsi="FangSong_GB2312" w:eastAsia="FangSong_GB2312" w:cs="FangSong_GB2312"/>
          <w:kern w:val="0"/>
          <w:sz w:val="32"/>
          <w:szCs w:val="32"/>
        </w:rPr>
        <w:t>万元，支出决算</w:t>
      </w:r>
      <w:r>
        <w:rPr>
          <w:rFonts w:hint="eastAsia" w:eastAsia="宋体"/>
          <w:kern w:val="0"/>
          <w:sz w:val="32"/>
          <w:szCs w:val="32"/>
          <w:u w:val="single"/>
          <w:lang w:val="en-US" w:eastAsia="zh-CN"/>
        </w:rPr>
        <w:t>14.37</w:t>
      </w:r>
      <w:r>
        <w:rPr>
          <w:rFonts w:ascii="FangSong_GB2312" w:hAnsi="FangSong_GB2312" w:eastAsia="FangSong_GB2312" w:cs="FangSong_GB2312"/>
          <w:kern w:val="0"/>
          <w:sz w:val="32"/>
          <w:szCs w:val="32"/>
        </w:rPr>
        <w:t>万元，完成年初预算的</w:t>
      </w:r>
      <w:r>
        <w:rPr>
          <w:rFonts w:hint="eastAsia" w:eastAsia="宋体"/>
          <w:kern w:val="0"/>
          <w:sz w:val="32"/>
          <w:szCs w:val="32"/>
          <w:u w:val="single"/>
          <w:lang w:val="en-US" w:eastAsia="zh-CN"/>
        </w:rPr>
        <w:t>102.64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由于追加基本工资，年中财政追加</w:t>
      </w:r>
      <w:r>
        <w:rPr>
          <w:rFonts w:ascii="FangSong_GB2312" w:hAnsi="FangSong_GB2312" w:eastAsia="FangSong_GB2312" w:cs="FangSong_GB2312"/>
          <w:kern w:val="0"/>
          <w:sz w:val="32"/>
          <w:szCs w:val="32"/>
        </w:rPr>
        <w:t>机关事业单位职业年金缴费支出</w:t>
      </w:r>
      <w:r>
        <w:rPr>
          <w:rFonts w:hint="eastAsia" w:ascii="FangSong_GB2312" w:hAnsi="FangSong_GB2312" w:eastAsia="FangSong_GB2312" w:cs="FangSong_GB2312"/>
          <w:kern w:val="0"/>
          <w:sz w:val="32"/>
          <w:szCs w:val="32"/>
          <w:lang w:val="en-US" w:eastAsia="zh-CN"/>
        </w:rPr>
        <w:t>0.37万元</w:t>
      </w:r>
      <w:r>
        <w:rPr>
          <w:rFonts w:ascii="FangSong_GB2312" w:hAnsi="FangSong_GB2312" w:eastAsia="FangSong_GB2312" w:cs="FangSong_GB2312"/>
          <w:kern w:val="0"/>
          <w:sz w:val="32"/>
          <w:szCs w:val="32"/>
        </w:rPr>
        <w:t>。</w:t>
      </w:r>
    </w:p>
    <w:p w14:paraId="61E856BA">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三</w:t>
      </w:r>
      <w:r>
        <w:rPr>
          <w:rFonts w:ascii="楷体" w:hAnsi="楷体" w:eastAsia="楷体" w:cs="楷体"/>
          <w:b/>
          <w:bCs/>
          <w:kern w:val="0"/>
          <w:sz w:val="32"/>
          <w:szCs w:val="32"/>
        </w:rPr>
        <w:t>）卫生健康支出（类）</w:t>
      </w:r>
    </w:p>
    <w:p w14:paraId="52F2040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卫生健康支出（类）决算数为</w:t>
      </w:r>
      <w:r>
        <w:rPr>
          <w:rFonts w:eastAsia="Times New Roman"/>
          <w:kern w:val="0"/>
          <w:sz w:val="32"/>
          <w:szCs w:val="32"/>
          <w:u w:val="single"/>
          <w:lang w:eastAsia="en-US"/>
        </w:rPr>
        <w:t xml:space="preserve"> 13.54</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0.54</w:t>
      </w:r>
      <w:r>
        <w:rPr>
          <w:rFonts w:ascii="FangSong_GB2312" w:hAnsi="FangSong_GB2312" w:eastAsia="FangSong_GB2312" w:cs="FangSong_GB2312"/>
          <w:kern w:val="0"/>
          <w:sz w:val="32"/>
          <w:szCs w:val="32"/>
        </w:rPr>
        <w:t>万元。其中：</w:t>
      </w:r>
    </w:p>
    <w:p w14:paraId="4A2DDB05">
      <w:pPr>
        <w:pStyle w:val="30"/>
        <w:widowControl/>
        <w:spacing w:before="240" w:after="240" w:line="560" w:lineRule="atLeast"/>
        <w:ind w:firstLine="640"/>
        <w:jc w:val="left"/>
        <w:rPr>
          <w:rFonts w:ascii="Times New Roman" w:hAnsi="Times New Roman" w:eastAsia="Times New Roman" w:cs="Times New Roman"/>
          <w:kern w:val="0"/>
          <w:sz w:val="24"/>
        </w:rPr>
      </w:pPr>
      <w:r>
        <w:rPr>
          <w:rFonts w:hint="eastAsia" w:eastAsia="宋体"/>
          <w:kern w:val="0"/>
          <w:sz w:val="32"/>
          <w:szCs w:val="32"/>
          <w:lang w:val="en-US" w:eastAsia="zh-CN"/>
        </w:rPr>
        <w:t>1</w:t>
      </w:r>
      <w:r>
        <w:rPr>
          <w:rFonts w:ascii="FangSong_GB2312" w:hAnsi="FangSong_GB2312" w:eastAsia="FangSong_GB2312" w:cs="FangSong_GB2312"/>
          <w:kern w:val="0"/>
          <w:sz w:val="32"/>
          <w:szCs w:val="32"/>
        </w:rPr>
        <w:t>．行政事业单位医疗（款）事业单位医疗（项）。年初预算</w:t>
      </w:r>
      <w:r>
        <w:rPr>
          <w:rFonts w:hint="eastAsia" w:eastAsia="宋体"/>
          <w:kern w:val="0"/>
          <w:sz w:val="32"/>
          <w:szCs w:val="32"/>
          <w:u w:val="single"/>
          <w:lang w:val="en-US" w:eastAsia="zh-CN"/>
        </w:rPr>
        <w:t>13</w:t>
      </w:r>
      <w:r>
        <w:rPr>
          <w:rFonts w:ascii="FangSong_GB2312" w:hAnsi="FangSong_GB2312" w:eastAsia="FangSong_GB2312" w:cs="FangSong_GB2312"/>
          <w:kern w:val="0"/>
          <w:sz w:val="32"/>
          <w:szCs w:val="32"/>
        </w:rPr>
        <w:t>万元，支出决算</w:t>
      </w:r>
      <w:r>
        <w:rPr>
          <w:rFonts w:hint="eastAsia" w:eastAsia="宋体"/>
          <w:kern w:val="0"/>
          <w:sz w:val="32"/>
          <w:szCs w:val="32"/>
          <w:u w:val="single"/>
          <w:lang w:val="en-US" w:eastAsia="zh-CN"/>
        </w:rPr>
        <w:t>13.54</w:t>
      </w:r>
      <w:r>
        <w:rPr>
          <w:rFonts w:ascii="FangSong_GB2312" w:hAnsi="FangSong_GB2312" w:eastAsia="FangSong_GB2312" w:cs="FangSong_GB2312"/>
          <w:kern w:val="0"/>
          <w:sz w:val="32"/>
          <w:szCs w:val="32"/>
        </w:rPr>
        <w:t>万元，完成年初预算的</w:t>
      </w:r>
      <w:r>
        <w:rPr>
          <w:rFonts w:hint="eastAsia" w:eastAsia="宋体"/>
          <w:kern w:val="0"/>
          <w:sz w:val="32"/>
          <w:szCs w:val="32"/>
          <w:u w:val="single"/>
          <w:lang w:val="en-US" w:eastAsia="zh-CN"/>
        </w:rPr>
        <w:t>104.15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由于追加基本工资，年中财政追加</w:t>
      </w:r>
      <w:r>
        <w:rPr>
          <w:rFonts w:ascii="FangSong_GB2312" w:hAnsi="FangSong_GB2312" w:eastAsia="FangSong_GB2312" w:cs="FangSong_GB2312"/>
          <w:kern w:val="0"/>
          <w:sz w:val="32"/>
          <w:szCs w:val="32"/>
        </w:rPr>
        <w:t>事业单位医疗</w:t>
      </w:r>
      <w:r>
        <w:rPr>
          <w:rFonts w:hint="eastAsia" w:ascii="FangSong_GB2312" w:hAnsi="FangSong_GB2312" w:eastAsia="FangSong_GB2312" w:cs="FangSong_GB2312"/>
          <w:kern w:val="0"/>
          <w:sz w:val="32"/>
          <w:szCs w:val="32"/>
          <w:lang w:val="en-US" w:eastAsia="zh-CN"/>
        </w:rPr>
        <w:t>0.54万元</w:t>
      </w:r>
      <w:r>
        <w:rPr>
          <w:rFonts w:ascii="FangSong_GB2312" w:hAnsi="FangSong_GB2312" w:eastAsia="FangSong_GB2312" w:cs="FangSong_GB2312"/>
          <w:kern w:val="0"/>
          <w:sz w:val="32"/>
          <w:szCs w:val="32"/>
        </w:rPr>
        <w:t>。</w:t>
      </w:r>
    </w:p>
    <w:p w14:paraId="3A887F1E">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四</w:t>
      </w:r>
      <w:r>
        <w:rPr>
          <w:rFonts w:ascii="楷体" w:hAnsi="楷体" w:eastAsia="楷体" w:cs="楷体"/>
          <w:b/>
          <w:bCs/>
          <w:kern w:val="0"/>
          <w:sz w:val="32"/>
          <w:szCs w:val="32"/>
        </w:rPr>
        <w:t>）住房保障支出（类）</w:t>
      </w:r>
    </w:p>
    <w:p w14:paraId="04EB66F9">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住房保障支出（类）决算数为</w:t>
      </w:r>
      <w:r>
        <w:rPr>
          <w:rFonts w:eastAsia="Times New Roman"/>
          <w:kern w:val="0"/>
          <w:sz w:val="32"/>
          <w:szCs w:val="32"/>
          <w:u w:val="single"/>
          <w:lang w:eastAsia="en-US"/>
        </w:rPr>
        <w:t xml:space="preserve"> 25.56</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0.56</w:t>
      </w:r>
      <w:r>
        <w:rPr>
          <w:rFonts w:ascii="FangSong_GB2312" w:hAnsi="FangSong_GB2312" w:eastAsia="FangSong_GB2312" w:cs="FangSong_GB2312"/>
          <w:kern w:val="0"/>
          <w:sz w:val="32"/>
          <w:szCs w:val="32"/>
        </w:rPr>
        <w:t>万元。其中：</w:t>
      </w:r>
    </w:p>
    <w:p w14:paraId="70845444">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rPr>
        <w:t>．住房改革支出（款）住房公积金（项）。年初预算</w:t>
      </w:r>
      <w:r>
        <w:rPr>
          <w:rFonts w:hint="eastAsia" w:eastAsia="宋体"/>
          <w:kern w:val="0"/>
          <w:sz w:val="32"/>
          <w:szCs w:val="32"/>
          <w:u w:val="single"/>
          <w:lang w:val="en-US" w:eastAsia="zh-CN"/>
        </w:rPr>
        <w:t>25</w:t>
      </w:r>
      <w:r>
        <w:rPr>
          <w:rFonts w:ascii="FangSong_GB2312" w:hAnsi="FangSong_GB2312" w:eastAsia="FangSong_GB2312" w:cs="FangSong_GB2312"/>
          <w:kern w:val="0"/>
          <w:sz w:val="32"/>
          <w:szCs w:val="32"/>
        </w:rPr>
        <w:t>万元，支出决算</w:t>
      </w:r>
      <w:r>
        <w:rPr>
          <w:rFonts w:hint="eastAsia" w:eastAsia="宋体"/>
          <w:kern w:val="0"/>
          <w:sz w:val="32"/>
          <w:szCs w:val="32"/>
          <w:u w:val="single"/>
          <w:lang w:val="en-US" w:eastAsia="zh-CN"/>
        </w:rPr>
        <w:t>25.56</w:t>
      </w:r>
      <w:r>
        <w:rPr>
          <w:rFonts w:ascii="FangSong_GB2312" w:hAnsi="FangSong_GB2312" w:eastAsia="FangSong_GB2312" w:cs="FangSong_GB2312"/>
          <w:kern w:val="0"/>
          <w:sz w:val="32"/>
          <w:szCs w:val="32"/>
        </w:rPr>
        <w:t>万元，完成年初预算的</w:t>
      </w:r>
      <w:r>
        <w:rPr>
          <w:rFonts w:hint="eastAsia" w:eastAsia="宋体"/>
          <w:kern w:val="0"/>
          <w:sz w:val="32"/>
          <w:szCs w:val="32"/>
          <w:u w:val="single"/>
          <w:lang w:val="en-US" w:eastAsia="zh-CN"/>
        </w:rPr>
        <w:t>102.24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由于追加基本工资，年中财政追加住房公积金支出0.56万元</w:t>
      </w:r>
      <w:r>
        <w:rPr>
          <w:rFonts w:ascii="FangSong_GB2312" w:hAnsi="FangSong_GB2312" w:eastAsia="FangSong_GB2312" w:cs="FangSong_GB2312"/>
          <w:kern w:val="0"/>
          <w:sz w:val="32"/>
          <w:szCs w:val="32"/>
        </w:rPr>
        <w:t>。</w:t>
      </w:r>
    </w:p>
    <w:p w14:paraId="26541441">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14:paraId="0CF5B6F0">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年度一般公共预算财政拨款基本支出决算</w:t>
      </w:r>
      <w:r>
        <w:rPr>
          <w:rFonts w:eastAsia="Times New Roman"/>
          <w:kern w:val="0"/>
          <w:sz w:val="32"/>
          <w:szCs w:val="32"/>
          <w:u w:val="single"/>
          <w:lang w:eastAsia="en-US"/>
        </w:rPr>
        <w:t xml:space="preserve"> 767.65</w:t>
      </w:r>
      <w:r>
        <w:rPr>
          <w:rFonts w:ascii="FangSong_GB2312" w:hAnsi="FangSong_GB2312" w:eastAsia="FangSong_GB2312" w:cs="FangSong_GB2312"/>
          <w:kern w:val="0"/>
          <w:sz w:val="32"/>
          <w:szCs w:val="32"/>
        </w:rPr>
        <w:t>万元，其中：</w:t>
      </w:r>
    </w:p>
    <w:p w14:paraId="5FFC1835">
      <w:pPr>
        <w:pStyle w:val="30"/>
        <w:widowControl/>
        <w:spacing w:before="240" w:after="240" w:line="560" w:lineRule="atLeast"/>
        <w:ind w:firstLine="640"/>
        <w:jc w:val="left"/>
        <w:rPr>
          <w:rFonts w:ascii="Times New Roman" w:hAnsi="Times New Roman" w:eastAsia="Times New Roman" w:cs="Times New Roman"/>
          <w:kern w:val="0"/>
          <w:sz w:val="24"/>
        </w:rPr>
      </w:pPr>
      <w:r>
        <w:rPr>
          <w:rFonts w:ascii="楷体" w:hAnsi="楷体" w:eastAsia="楷体" w:cs="楷体"/>
          <w:b/>
          <w:bCs/>
          <w:kern w:val="0"/>
          <w:sz w:val="32"/>
          <w:szCs w:val="32"/>
        </w:rPr>
        <w:t>（一）人员经费</w:t>
      </w:r>
      <w:r>
        <w:rPr>
          <w:rFonts w:eastAsia="Times New Roman"/>
          <w:kern w:val="0"/>
          <w:sz w:val="32"/>
          <w:szCs w:val="32"/>
          <w:u w:val="single"/>
          <w:lang w:eastAsia="en-US"/>
        </w:rPr>
        <w:t xml:space="preserve"> 767.46</w:t>
      </w:r>
      <w:r>
        <w:rPr>
          <w:rFonts w:ascii="楷体" w:hAnsi="楷体" w:eastAsia="楷体" w:cs="楷体"/>
          <w:b/>
          <w:bCs/>
          <w:kern w:val="0"/>
          <w:sz w:val="32"/>
          <w:szCs w:val="32"/>
        </w:rPr>
        <w:t>万元。</w:t>
      </w:r>
      <w:r>
        <w:rPr>
          <w:rFonts w:ascii="FangSong_GB2312" w:hAnsi="FangSong_GB2312" w:eastAsia="FangSong_GB2312" w:cs="FangSong_GB2312"/>
          <w:kern w:val="0"/>
          <w:sz w:val="32"/>
          <w:szCs w:val="32"/>
        </w:rPr>
        <w:t>主要包括：基本工资</w:t>
      </w:r>
      <w:r>
        <w:rPr>
          <w:rFonts w:hint="eastAsia" w:ascii="FangSong_GB2312" w:hAnsi="FangSong_GB2312" w:eastAsia="FangSong_GB2312" w:cs="FangSong_GB2312"/>
          <w:kern w:val="0"/>
          <w:sz w:val="32"/>
          <w:szCs w:val="32"/>
        </w:rPr>
        <w:t>83.86</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、津贴补贴</w:t>
      </w:r>
      <w:r>
        <w:rPr>
          <w:rFonts w:hint="eastAsia" w:ascii="FangSong_GB2312" w:hAnsi="FangSong_GB2312" w:eastAsia="FangSong_GB2312" w:cs="FangSong_GB2312"/>
          <w:kern w:val="0"/>
          <w:sz w:val="32"/>
          <w:szCs w:val="32"/>
        </w:rPr>
        <w:t>62.10</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、奖金</w:t>
      </w:r>
      <w:r>
        <w:rPr>
          <w:rFonts w:hint="eastAsia" w:ascii="FangSong_GB2312" w:hAnsi="FangSong_GB2312" w:eastAsia="FangSong_GB2312" w:cs="FangSong_GB2312"/>
          <w:kern w:val="0"/>
          <w:sz w:val="32"/>
          <w:szCs w:val="32"/>
        </w:rPr>
        <w:t>14</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、伙绩效工资</w:t>
      </w:r>
      <w:r>
        <w:rPr>
          <w:rFonts w:hint="eastAsia" w:ascii="FangSong_GB2312" w:hAnsi="FangSong_GB2312" w:eastAsia="FangSong_GB2312" w:cs="FangSong_GB2312"/>
          <w:kern w:val="0"/>
          <w:sz w:val="32"/>
          <w:szCs w:val="32"/>
        </w:rPr>
        <w:t>70.3</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、机关事业单位基本养老保险缴费</w:t>
      </w:r>
      <w:r>
        <w:rPr>
          <w:rFonts w:hint="eastAsia" w:ascii="FangSong_GB2312" w:hAnsi="FangSong_GB2312" w:eastAsia="FangSong_GB2312" w:cs="FangSong_GB2312"/>
          <w:kern w:val="0"/>
          <w:sz w:val="32"/>
          <w:szCs w:val="32"/>
        </w:rPr>
        <w:t>26.34</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、职业年金缴费</w:t>
      </w:r>
      <w:r>
        <w:rPr>
          <w:rFonts w:hint="eastAsia" w:ascii="FangSong_GB2312" w:hAnsi="FangSong_GB2312" w:eastAsia="FangSong_GB2312" w:cs="FangSong_GB2312"/>
          <w:kern w:val="0"/>
          <w:sz w:val="32"/>
          <w:szCs w:val="32"/>
        </w:rPr>
        <w:t>14.37</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、职工基本医疗保险缴费</w:t>
      </w:r>
      <w:r>
        <w:rPr>
          <w:rFonts w:hint="eastAsia" w:ascii="FangSong_GB2312" w:hAnsi="FangSong_GB2312" w:eastAsia="FangSong_GB2312" w:cs="FangSong_GB2312"/>
          <w:kern w:val="0"/>
          <w:sz w:val="32"/>
          <w:szCs w:val="32"/>
        </w:rPr>
        <w:t>13.54</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w:t>
      </w:r>
      <w:r>
        <w:rPr>
          <w:rFonts w:hint="eastAsia" w:ascii="FangSong_GB2312" w:hAnsi="FangSong_GB2312" w:eastAsia="FangSong_GB2312" w:cs="FangSong_GB2312"/>
          <w:kern w:val="0"/>
          <w:sz w:val="32"/>
          <w:szCs w:val="32"/>
        </w:rPr>
        <w:t>其他社会保障缴费</w:t>
      </w:r>
      <w:r>
        <w:rPr>
          <w:rFonts w:hint="eastAsia" w:ascii="FangSong_GB2312" w:hAnsi="FangSong_GB2312" w:eastAsia="FangSong_GB2312" w:cs="FangSong_GB2312"/>
          <w:kern w:val="0"/>
          <w:sz w:val="32"/>
          <w:szCs w:val="32"/>
          <w:lang w:val="en-US" w:eastAsia="zh-CN"/>
        </w:rPr>
        <w:t>1万元、</w:t>
      </w:r>
      <w:r>
        <w:rPr>
          <w:rFonts w:ascii="FangSong_GB2312" w:hAnsi="FangSong_GB2312" w:eastAsia="FangSong_GB2312" w:cs="FangSong_GB2312"/>
          <w:kern w:val="0"/>
          <w:sz w:val="32"/>
          <w:szCs w:val="32"/>
        </w:rPr>
        <w:t>住房公积金</w:t>
      </w:r>
      <w:r>
        <w:rPr>
          <w:rFonts w:hint="eastAsia" w:ascii="FangSong_GB2312" w:hAnsi="FangSong_GB2312" w:eastAsia="FangSong_GB2312" w:cs="FangSong_GB2312"/>
          <w:kern w:val="0"/>
          <w:sz w:val="32"/>
          <w:szCs w:val="32"/>
        </w:rPr>
        <w:t>25.56</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、其他工资福利支出</w:t>
      </w:r>
      <w:r>
        <w:rPr>
          <w:rFonts w:hint="eastAsia" w:ascii="FangSong_GB2312" w:hAnsi="FangSong_GB2312" w:eastAsia="FangSong_GB2312" w:cs="FangSong_GB2312"/>
          <w:kern w:val="0"/>
          <w:sz w:val="32"/>
          <w:szCs w:val="32"/>
        </w:rPr>
        <w:t>450.38</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、退休费</w:t>
      </w:r>
      <w:r>
        <w:rPr>
          <w:rFonts w:hint="eastAsia" w:ascii="FangSong_GB2312" w:hAnsi="FangSong_GB2312" w:eastAsia="FangSong_GB2312" w:cs="FangSong_GB2312"/>
          <w:kern w:val="0"/>
          <w:sz w:val="32"/>
          <w:szCs w:val="32"/>
        </w:rPr>
        <w:t>6.01</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w:t>
      </w:r>
    </w:p>
    <w:p w14:paraId="2F5584CA">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（二）公用经费</w:t>
      </w:r>
      <w:r>
        <w:rPr>
          <w:rFonts w:eastAsia="Times New Roman"/>
          <w:kern w:val="0"/>
          <w:sz w:val="32"/>
          <w:szCs w:val="32"/>
          <w:u w:val="single"/>
          <w:lang w:eastAsia="en-US"/>
        </w:rPr>
        <w:t xml:space="preserve"> 0.19</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主要包括：办公费</w:t>
      </w:r>
      <w:r>
        <w:rPr>
          <w:rFonts w:hint="eastAsia" w:ascii="FangSong_GB2312" w:hAnsi="FangSong_GB2312" w:eastAsia="FangSong_GB2312" w:cs="FangSong_GB2312"/>
          <w:kern w:val="0"/>
          <w:sz w:val="32"/>
          <w:szCs w:val="32"/>
          <w:lang w:val="en-US" w:eastAsia="zh-CN"/>
        </w:rPr>
        <w:t>0.19万元</w:t>
      </w:r>
      <w:r>
        <w:rPr>
          <w:rFonts w:ascii="FangSong_GB2312" w:hAnsi="FangSong_GB2312" w:eastAsia="FangSong_GB2312" w:cs="FangSong_GB2312"/>
          <w:kern w:val="0"/>
          <w:sz w:val="32"/>
          <w:szCs w:val="32"/>
        </w:rPr>
        <w:t>。</w:t>
      </w:r>
    </w:p>
    <w:p w14:paraId="3597C90B">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14:paraId="657F503B">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年度一般公共预算财政拨款项目支出决算</w:t>
      </w:r>
      <w:r>
        <w:rPr>
          <w:rFonts w:eastAsia="Times New Roman"/>
          <w:kern w:val="0"/>
          <w:sz w:val="32"/>
          <w:szCs w:val="32"/>
          <w:u w:val="single"/>
          <w:lang w:eastAsia="en-US"/>
        </w:rPr>
        <w:t xml:space="preserve"> 287.00</w:t>
      </w:r>
      <w:r>
        <w:rPr>
          <w:rFonts w:ascii="FangSong_GB2312" w:hAnsi="FangSong_GB2312" w:eastAsia="FangSong_GB2312" w:cs="FangSong_GB2312"/>
          <w:kern w:val="0"/>
          <w:sz w:val="32"/>
          <w:szCs w:val="32"/>
        </w:rPr>
        <w:t>万元，其中：</w:t>
      </w:r>
    </w:p>
    <w:p w14:paraId="5BCD4CED">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（一）工资福利支出</w:t>
      </w:r>
      <w:r>
        <w:rPr>
          <w:rFonts w:eastAsia="Times New Roman"/>
          <w:kern w:val="0"/>
          <w:sz w:val="32"/>
          <w:szCs w:val="32"/>
          <w:u w:val="single"/>
          <w:lang w:eastAsia="en-US"/>
        </w:rPr>
        <w:t xml:space="preserve"> 0</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w:t>
      </w:r>
    </w:p>
    <w:p w14:paraId="0F6EA66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（二）商品和服务支出</w:t>
      </w:r>
      <w:r>
        <w:rPr>
          <w:rFonts w:eastAsia="Times New Roman"/>
          <w:kern w:val="0"/>
          <w:sz w:val="32"/>
          <w:szCs w:val="32"/>
          <w:u w:val="single"/>
          <w:lang w:eastAsia="en-US"/>
        </w:rPr>
        <w:t xml:space="preserve"> 248.38</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主要包括：办公费</w:t>
      </w:r>
      <w:r>
        <w:rPr>
          <w:rFonts w:hint="eastAsia" w:ascii="FangSong_GB2312" w:hAnsi="FangSong_GB2312" w:eastAsia="FangSong_GB2312" w:cs="FangSong_GB2312"/>
          <w:kern w:val="0"/>
          <w:sz w:val="32"/>
          <w:szCs w:val="32"/>
        </w:rPr>
        <w:t>16</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、印刷费</w:t>
      </w:r>
      <w:r>
        <w:rPr>
          <w:rFonts w:hint="eastAsia" w:ascii="FangSong_GB2312" w:hAnsi="FangSong_GB2312" w:eastAsia="FangSong_GB2312" w:cs="FangSong_GB2312"/>
          <w:kern w:val="0"/>
          <w:sz w:val="32"/>
          <w:szCs w:val="32"/>
        </w:rPr>
        <w:t>1.86</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、水费</w:t>
      </w:r>
      <w:r>
        <w:rPr>
          <w:rFonts w:hint="eastAsia" w:ascii="FangSong_GB2312" w:hAnsi="FangSong_GB2312" w:eastAsia="FangSong_GB2312" w:cs="FangSong_GB2312"/>
          <w:kern w:val="0"/>
          <w:sz w:val="32"/>
          <w:szCs w:val="32"/>
          <w:lang w:val="en-US" w:eastAsia="zh-CN"/>
        </w:rPr>
        <w:t>1万元</w:t>
      </w:r>
      <w:r>
        <w:rPr>
          <w:rFonts w:ascii="FangSong_GB2312" w:hAnsi="FangSong_GB2312" w:eastAsia="FangSong_GB2312" w:cs="FangSong_GB2312"/>
          <w:kern w:val="0"/>
          <w:sz w:val="32"/>
          <w:szCs w:val="32"/>
        </w:rPr>
        <w:t>、电费</w:t>
      </w:r>
      <w:r>
        <w:rPr>
          <w:rFonts w:hint="eastAsia" w:ascii="FangSong_GB2312" w:hAnsi="FangSong_GB2312" w:eastAsia="FangSong_GB2312" w:cs="FangSong_GB2312"/>
          <w:kern w:val="0"/>
          <w:sz w:val="32"/>
          <w:szCs w:val="32"/>
          <w:lang w:val="en-US" w:eastAsia="zh-CN"/>
        </w:rPr>
        <w:t>1万元</w:t>
      </w:r>
      <w:r>
        <w:rPr>
          <w:rFonts w:ascii="FangSong_GB2312" w:hAnsi="FangSong_GB2312" w:eastAsia="FangSong_GB2312" w:cs="FangSong_GB2312"/>
          <w:kern w:val="0"/>
          <w:sz w:val="32"/>
          <w:szCs w:val="32"/>
        </w:rPr>
        <w:t>、邮电费</w:t>
      </w:r>
      <w:r>
        <w:rPr>
          <w:rFonts w:hint="eastAsia" w:ascii="FangSong_GB2312" w:hAnsi="FangSong_GB2312" w:eastAsia="FangSong_GB2312" w:cs="FangSong_GB2312"/>
          <w:kern w:val="0"/>
          <w:sz w:val="32"/>
          <w:szCs w:val="32"/>
          <w:lang w:val="en-US" w:eastAsia="zh-CN"/>
        </w:rPr>
        <w:t>2万元</w:t>
      </w:r>
      <w:r>
        <w:rPr>
          <w:rFonts w:ascii="FangSong_GB2312" w:hAnsi="FangSong_GB2312" w:eastAsia="FangSong_GB2312" w:cs="FangSong_GB2312"/>
          <w:kern w:val="0"/>
          <w:sz w:val="32"/>
          <w:szCs w:val="32"/>
        </w:rPr>
        <w:t>、取暖费</w:t>
      </w:r>
      <w:r>
        <w:rPr>
          <w:rFonts w:hint="eastAsia" w:ascii="FangSong_GB2312" w:hAnsi="FangSong_GB2312" w:eastAsia="FangSong_GB2312" w:cs="FangSong_GB2312"/>
          <w:kern w:val="0"/>
          <w:sz w:val="32"/>
          <w:szCs w:val="32"/>
          <w:lang w:val="en-US" w:eastAsia="zh-CN"/>
        </w:rPr>
        <w:t>8万元</w:t>
      </w:r>
      <w:r>
        <w:rPr>
          <w:rFonts w:ascii="FangSong_GB2312" w:hAnsi="FangSong_GB2312" w:eastAsia="FangSong_GB2312" w:cs="FangSong_GB2312"/>
          <w:kern w:val="0"/>
          <w:sz w:val="32"/>
          <w:szCs w:val="32"/>
        </w:rPr>
        <w:t>、物业管理费</w:t>
      </w:r>
      <w:r>
        <w:rPr>
          <w:rFonts w:hint="eastAsia" w:ascii="FangSong_GB2312" w:hAnsi="FangSong_GB2312" w:eastAsia="FangSong_GB2312" w:cs="FangSong_GB2312"/>
          <w:kern w:val="0"/>
          <w:sz w:val="32"/>
          <w:szCs w:val="32"/>
          <w:lang w:val="en-US" w:eastAsia="zh-CN"/>
        </w:rPr>
        <w:t>7万元</w:t>
      </w:r>
      <w:r>
        <w:rPr>
          <w:rFonts w:ascii="FangSong_GB2312" w:hAnsi="FangSong_GB2312" w:eastAsia="FangSong_GB2312" w:cs="FangSong_GB2312"/>
          <w:kern w:val="0"/>
          <w:sz w:val="32"/>
          <w:szCs w:val="32"/>
        </w:rPr>
        <w:t>、差旅费</w:t>
      </w:r>
      <w:r>
        <w:rPr>
          <w:rFonts w:hint="eastAsia" w:ascii="FangSong_GB2312" w:hAnsi="FangSong_GB2312" w:eastAsia="FangSong_GB2312" w:cs="FangSong_GB2312"/>
          <w:kern w:val="0"/>
          <w:sz w:val="32"/>
          <w:szCs w:val="32"/>
          <w:lang w:val="en-US" w:eastAsia="zh-CN"/>
        </w:rPr>
        <w:t>100万元</w:t>
      </w:r>
      <w:r>
        <w:rPr>
          <w:rFonts w:ascii="FangSong_GB2312" w:hAnsi="FangSong_GB2312" w:eastAsia="FangSong_GB2312" w:cs="FangSong_GB2312"/>
          <w:kern w:val="0"/>
          <w:sz w:val="32"/>
          <w:szCs w:val="32"/>
        </w:rPr>
        <w:t>、维修（护）费</w:t>
      </w:r>
      <w:r>
        <w:rPr>
          <w:rFonts w:hint="eastAsia" w:ascii="FangSong_GB2312" w:hAnsi="FangSong_GB2312" w:eastAsia="FangSong_GB2312" w:cs="FangSong_GB2312"/>
          <w:kern w:val="0"/>
          <w:sz w:val="32"/>
          <w:szCs w:val="32"/>
        </w:rPr>
        <w:t>12.52</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、培训费</w:t>
      </w:r>
      <w:r>
        <w:rPr>
          <w:rFonts w:hint="eastAsia" w:ascii="FangSong_GB2312" w:hAnsi="FangSong_GB2312" w:eastAsia="FangSong_GB2312" w:cs="FangSong_GB2312"/>
          <w:kern w:val="0"/>
          <w:sz w:val="32"/>
          <w:szCs w:val="32"/>
        </w:rPr>
        <w:t>1.5</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、专用材料费</w:t>
      </w:r>
      <w:r>
        <w:rPr>
          <w:rFonts w:hint="eastAsia" w:ascii="FangSong_GB2312" w:hAnsi="FangSong_GB2312" w:eastAsia="FangSong_GB2312" w:cs="FangSong_GB2312"/>
          <w:kern w:val="0"/>
          <w:sz w:val="32"/>
          <w:szCs w:val="32"/>
        </w:rPr>
        <w:t>20</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、委托业务费</w:t>
      </w:r>
      <w:r>
        <w:rPr>
          <w:rFonts w:hint="eastAsia" w:ascii="FangSong_GB2312" w:hAnsi="FangSong_GB2312" w:eastAsia="FangSong_GB2312" w:cs="FangSong_GB2312"/>
          <w:kern w:val="0"/>
          <w:sz w:val="32"/>
          <w:szCs w:val="32"/>
        </w:rPr>
        <w:t>53</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、公务用车运行维护费</w:t>
      </w:r>
      <w:r>
        <w:rPr>
          <w:rFonts w:hint="eastAsia" w:ascii="FangSong_GB2312" w:hAnsi="FangSong_GB2312" w:eastAsia="FangSong_GB2312" w:cs="FangSong_GB2312"/>
          <w:kern w:val="0"/>
          <w:sz w:val="32"/>
          <w:szCs w:val="32"/>
        </w:rPr>
        <w:t>24.5</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w:t>
      </w:r>
    </w:p>
    <w:p w14:paraId="1001F9D7">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（三）资本性支出</w:t>
      </w:r>
      <w:r>
        <w:rPr>
          <w:rFonts w:eastAsia="Times New Roman"/>
          <w:kern w:val="0"/>
          <w:sz w:val="32"/>
          <w:szCs w:val="32"/>
          <w:u w:val="single"/>
          <w:lang w:eastAsia="en-US"/>
        </w:rPr>
        <w:t xml:space="preserve"> 38.62</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主要包括：办公设备购置</w:t>
      </w:r>
      <w:r>
        <w:rPr>
          <w:rFonts w:hint="eastAsia" w:ascii="FangSong_GB2312" w:hAnsi="FangSong_GB2312" w:eastAsia="FangSong_GB2312" w:cs="FangSong_GB2312"/>
          <w:kern w:val="0"/>
          <w:sz w:val="32"/>
          <w:szCs w:val="32"/>
        </w:rPr>
        <w:t>3.02</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、专用设备购置</w:t>
      </w:r>
      <w:r>
        <w:rPr>
          <w:rFonts w:hint="eastAsia" w:ascii="FangSong_GB2312" w:hAnsi="FangSong_GB2312" w:eastAsia="FangSong_GB2312" w:cs="FangSong_GB2312"/>
          <w:kern w:val="0"/>
          <w:sz w:val="32"/>
          <w:szCs w:val="32"/>
        </w:rPr>
        <w:t>35.6</w:t>
      </w:r>
      <w:r>
        <w:rPr>
          <w:rFonts w:hint="eastAsia" w:ascii="FangSong_GB2312" w:hAnsi="FangSong_GB2312" w:eastAsia="FangSong_GB2312" w:cs="FangSong_GB2312"/>
          <w:kern w:val="0"/>
          <w:sz w:val="32"/>
          <w:szCs w:val="32"/>
          <w:lang w:val="en-US" w:eastAsia="zh-CN"/>
        </w:rPr>
        <w:t>万元</w:t>
      </w:r>
      <w:r>
        <w:rPr>
          <w:rFonts w:ascii="FangSong_GB2312" w:hAnsi="FangSong_GB2312" w:eastAsia="FangSong_GB2312" w:cs="FangSong_GB2312"/>
          <w:kern w:val="0"/>
          <w:sz w:val="32"/>
          <w:szCs w:val="32"/>
        </w:rPr>
        <w:t>。</w:t>
      </w:r>
    </w:p>
    <w:p w14:paraId="4854CBFA">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14:paraId="04570711">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14:paraId="76C944A4">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年度财政拨款“三公”经费全年预算</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。其中：因公出国（境）费全年预算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；公务用车购置及运行维护费全年预算</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年度一般公共预算财政拨款“三公”经费全年预算</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万元，与预算差异原因</w:t>
      </w:r>
      <w:r>
        <w:rPr>
          <w:rFonts w:hint="eastAsia" w:ascii="FangSong_GB2312" w:hAnsi="FangSong_GB2312" w:eastAsia="FangSong_GB2312" w:cs="FangSong_GB2312"/>
          <w:kern w:val="0"/>
          <w:sz w:val="32"/>
          <w:szCs w:val="32"/>
          <w:lang w:eastAsia="zh-CN"/>
        </w:rPr>
        <w:t>：</w:t>
      </w:r>
      <w:r>
        <w:rPr>
          <w:rFonts w:hint="eastAsia" w:ascii="FangSong_GB2312" w:hAnsi="FangSong_GB2312" w:eastAsia="FangSong_GB2312" w:cs="FangSong_GB2312"/>
          <w:kern w:val="0"/>
          <w:sz w:val="32"/>
          <w:szCs w:val="32"/>
          <w:lang w:val="en-US" w:eastAsia="zh-CN"/>
        </w:rPr>
        <w:t>无差异</w:t>
      </w:r>
      <w:r>
        <w:rPr>
          <w:rFonts w:ascii="FangSong_GB2312" w:hAnsi="FangSong_GB2312" w:eastAsia="FangSong_GB2312" w:cs="FangSong_GB2312"/>
          <w:kern w:val="0"/>
          <w:sz w:val="32"/>
          <w:szCs w:val="32"/>
        </w:rPr>
        <w:t>。</w:t>
      </w:r>
    </w:p>
    <w:p w14:paraId="749C5480">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14:paraId="068EDB72">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年度财政拨款“三公”经费支出</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万元。因公出国（境）费支出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；公务用车购置及运行维护费支出</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2E801C95">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1</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因公出国（境）费支出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万元，全年出国（境）团组</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个，累计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人次。与上年决算相比，增加（减少）</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不存在此项变动</w:t>
      </w:r>
      <w:r>
        <w:rPr>
          <w:rFonts w:ascii="FangSong_GB2312" w:hAnsi="FangSong_GB2312" w:eastAsia="FangSong_GB2312" w:cs="FangSong_GB2312"/>
          <w:kern w:val="0"/>
          <w:sz w:val="32"/>
          <w:szCs w:val="32"/>
        </w:rPr>
        <w:t>。</w:t>
      </w:r>
    </w:p>
    <w:p w14:paraId="3CFD8D7D">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2</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公务用车购置及运行维护费支出</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万元。其中：</w:t>
      </w:r>
    </w:p>
    <w:p w14:paraId="6AD6CC9C">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1</w:t>
      </w:r>
      <w:r>
        <w:rPr>
          <w:rFonts w:ascii="FangSong_GB2312" w:hAnsi="FangSong_GB2312" w:eastAsia="FangSong_GB2312" w:cs="FangSong_GB2312"/>
          <w:b/>
          <w:bCs/>
          <w:kern w:val="0"/>
          <w:sz w:val="32"/>
          <w:szCs w:val="32"/>
        </w:rPr>
        <w:t>）公务用车购置支出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万元。本年度使用财政拨款购置公务用车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辆，开支内容：</w:t>
      </w:r>
      <w:r>
        <w:rPr>
          <w:rFonts w:hint="eastAsia" w:ascii="FangSong_GB2312" w:hAnsi="FangSong_GB2312" w:eastAsia="FangSong_GB2312" w:cs="FangSong_GB2312"/>
          <w:kern w:val="0"/>
          <w:sz w:val="32"/>
          <w:szCs w:val="32"/>
          <w:lang w:val="en-US" w:eastAsia="zh-CN"/>
        </w:rPr>
        <w:t>不存在此项内容</w:t>
      </w:r>
      <w:r>
        <w:rPr>
          <w:rFonts w:ascii="FangSong_GB2312" w:hAnsi="FangSong_GB2312" w:eastAsia="FangSong_GB2312" w:cs="FangSong_GB2312"/>
          <w:kern w:val="0"/>
          <w:sz w:val="32"/>
          <w:szCs w:val="32"/>
        </w:rPr>
        <w:t>。与上年决算相比，增加（减少）</w:t>
      </w:r>
      <w:r>
        <w:rPr>
          <w:rFonts w:eastAsia="Times New Roman"/>
          <w:kern w:val="0"/>
          <w:sz w:val="32"/>
          <w:szCs w:val="32"/>
          <w:u w:val="single"/>
        </w:rPr>
        <w:t xml:space="preserve"> 0</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不存在此项变动</w:t>
      </w:r>
      <w:r>
        <w:rPr>
          <w:rFonts w:ascii="FangSong_GB2312" w:hAnsi="FangSong_GB2312" w:eastAsia="FangSong_GB2312" w:cs="FangSong_GB2312"/>
          <w:kern w:val="0"/>
          <w:sz w:val="32"/>
          <w:szCs w:val="32"/>
        </w:rPr>
        <w:t>。</w:t>
      </w:r>
    </w:p>
    <w:p w14:paraId="53516360">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2</w:t>
      </w:r>
      <w:r>
        <w:rPr>
          <w:rFonts w:ascii="FangSong_GB2312" w:hAnsi="FangSong_GB2312" w:eastAsia="FangSong_GB2312" w:cs="FangSong_GB2312"/>
          <w:b/>
          <w:bCs/>
          <w:kern w:val="0"/>
          <w:sz w:val="32"/>
          <w:szCs w:val="32"/>
        </w:rPr>
        <w:t>）公务用车运行维护费支出</w:t>
      </w:r>
      <w:r>
        <w:rPr>
          <w:rFonts w:eastAsia="Times New Roman"/>
          <w:kern w:val="0"/>
          <w:sz w:val="32"/>
          <w:szCs w:val="32"/>
          <w:u w:val="single"/>
          <w:lang w:eastAsia="en-US"/>
        </w:rPr>
        <w:t xml:space="preserve"> 24.50</w:t>
      </w:r>
      <w:r>
        <w:rPr>
          <w:rFonts w:ascii="FangSong_GB2312" w:hAnsi="FangSong_GB2312" w:eastAsia="FangSong_GB2312" w:cs="FangSong_GB2312"/>
          <w:kern w:val="0"/>
          <w:sz w:val="32"/>
          <w:szCs w:val="32"/>
        </w:rPr>
        <w:t>万元。公务用车运行维护费主要用于按规定保留的公务用车的燃料费、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维修费、过桥过路费、保险费、安全奖励费用等支出。截至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日，使用财政拨款开支的公务用车保有量为</w:t>
      </w:r>
      <w:r>
        <w:rPr>
          <w:rFonts w:eastAsia="Times New Roman"/>
          <w:kern w:val="0"/>
          <w:sz w:val="32"/>
          <w:szCs w:val="32"/>
          <w:u w:val="single"/>
          <w:lang w:eastAsia="en-US"/>
        </w:rPr>
        <w:t xml:space="preserve">8 </w:t>
      </w:r>
      <w:r>
        <w:rPr>
          <w:rFonts w:ascii="FangSong_GB2312" w:hAnsi="FangSong_GB2312" w:eastAsia="FangSong_GB2312" w:cs="FangSong_GB2312"/>
          <w:kern w:val="0"/>
          <w:sz w:val="32"/>
          <w:szCs w:val="32"/>
        </w:rPr>
        <w:t>辆。与上年决算相比，减</w:t>
      </w:r>
      <w:r>
        <w:rPr>
          <w:rFonts w:hint="eastAsia" w:ascii="FangSong_GB2312" w:hAnsi="FangSong_GB2312" w:eastAsia="FangSong_GB2312" w:cs="FangSong_GB2312"/>
          <w:kern w:val="0"/>
          <w:sz w:val="32"/>
          <w:szCs w:val="32"/>
          <w:lang w:val="en-US" w:eastAsia="zh-CN"/>
        </w:rPr>
        <w:t>少</w:t>
      </w:r>
      <w:r>
        <w:rPr>
          <w:rFonts w:eastAsia="Times New Roman"/>
          <w:kern w:val="0"/>
          <w:sz w:val="32"/>
          <w:szCs w:val="32"/>
          <w:u w:val="single"/>
          <w:lang w:eastAsia="en-US"/>
        </w:rPr>
        <w:t xml:space="preserve"> 3.49</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 xml:space="preserve"> 12.47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公务用车保有量8辆，但实际用车为7辆，本年按7辆公务用车，车均3.5万元预算支出，上年按8辆公务用车预算支出</w:t>
      </w:r>
      <w:r>
        <w:rPr>
          <w:rFonts w:ascii="FangSong_GB2312" w:hAnsi="FangSong_GB2312" w:eastAsia="FangSong_GB2312" w:cs="FangSong_GB2312"/>
          <w:kern w:val="0"/>
          <w:sz w:val="32"/>
          <w:szCs w:val="32"/>
        </w:rPr>
        <w:t>。</w:t>
      </w:r>
    </w:p>
    <w:p w14:paraId="53560D0E">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3</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公务接待费支出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万元。其中：国内公务接待支出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人次，开支内容：</w:t>
      </w:r>
      <w:r>
        <w:rPr>
          <w:rFonts w:hint="eastAsia" w:ascii="FangSong_GB2312" w:hAnsi="FangSong_GB2312" w:eastAsia="FangSong_GB2312" w:cs="FangSong_GB2312"/>
          <w:kern w:val="0"/>
          <w:sz w:val="32"/>
          <w:szCs w:val="32"/>
          <w:lang w:val="en-US" w:eastAsia="zh-CN"/>
        </w:rPr>
        <w:t>不存在此项内容</w:t>
      </w:r>
      <w:r>
        <w:rPr>
          <w:rFonts w:ascii="FangSong_GB2312" w:hAnsi="FangSong_GB2312" w:eastAsia="FangSong_GB2312" w:cs="FangSong_GB2312"/>
          <w:kern w:val="0"/>
          <w:sz w:val="32"/>
          <w:szCs w:val="32"/>
        </w:rPr>
        <w:t>；国（境）外公务接待支出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人次，开支内容：</w:t>
      </w:r>
      <w:r>
        <w:rPr>
          <w:rFonts w:hint="eastAsia" w:ascii="FangSong_GB2312" w:hAnsi="FangSong_GB2312" w:eastAsia="FangSong_GB2312" w:cs="FangSong_GB2312"/>
          <w:kern w:val="0"/>
          <w:sz w:val="32"/>
          <w:szCs w:val="32"/>
          <w:lang w:val="en-US" w:eastAsia="zh-CN"/>
        </w:rPr>
        <w:t>不存在此项内容</w:t>
      </w:r>
      <w:r>
        <w:rPr>
          <w:rFonts w:ascii="FangSong_GB2312" w:hAnsi="FangSong_GB2312" w:eastAsia="FangSong_GB2312" w:cs="FangSong_GB2312"/>
          <w:kern w:val="0"/>
          <w:sz w:val="32"/>
          <w:szCs w:val="32"/>
        </w:rPr>
        <w:t>。与上年决算相比，减少</w:t>
      </w:r>
      <w:r>
        <w:rPr>
          <w:rFonts w:eastAsia="Times New Roman"/>
          <w:kern w:val="0"/>
          <w:sz w:val="32"/>
          <w:szCs w:val="32"/>
          <w:u w:val="single"/>
          <w:lang w:eastAsia="en-US"/>
        </w:rPr>
        <w:t xml:space="preserve"> 1.00</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 xml:space="preserve"> 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本年不存在公务接待活动，无公务接待批次及人次</w:t>
      </w:r>
      <w:r>
        <w:rPr>
          <w:rFonts w:ascii="FangSong_GB2312" w:hAnsi="FangSong_GB2312" w:eastAsia="FangSong_GB2312" w:cs="FangSong_GB2312"/>
          <w:kern w:val="0"/>
          <w:sz w:val="32"/>
          <w:szCs w:val="32"/>
        </w:rPr>
        <w:t>。</w:t>
      </w:r>
    </w:p>
    <w:p w14:paraId="6F95BE7E">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14:paraId="2C03DF2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eastAsia="Times New Roman"/>
          <w:kern w:val="0"/>
          <w:sz w:val="32"/>
          <w:szCs w:val="32"/>
          <w:lang w:eastAsia="en-US"/>
        </w:rPr>
        <w:t>2025</w:t>
      </w:r>
      <w:r>
        <w:rPr>
          <w:rFonts w:ascii="FangSong_GB2312" w:hAnsi="FangSong_GB2312" w:eastAsia="FangSong_GB2312" w:cs="FangSong_GB2312"/>
          <w:kern w:val="0"/>
          <w:sz w:val="32"/>
          <w:szCs w:val="32"/>
        </w:rPr>
        <w:t>年度政府性基金预算财政拨款支出决算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w:t>
      </w:r>
      <w:r>
        <w:rPr>
          <w:rFonts w:ascii="FangSong_GB2312" w:hAnsi="FangSong_GB2312" w:eastAsia="FangSong_GB2312" w:cs="FangSong_GB2312"/>
          <w:color w:val="auto"/>
          <w:kern w:val="0"/>
          <w:sz w:val="32"/>
          <w:szCs w:val="32"/>
        </w:rPr>
        <w:t>比，增加（减少）</w:t>
      </w:r>
      <w:r>
        <w:rPr>
          <w:rFonts w:eastAsia="Times New Roman"/>
          <w:color w:val="auto"/>
          <w:kern w:val="0"/>
          <w:sz w:val="32"/>
          <w:szCs w:val="32"/>
          <w:u w:val="single"/>
          <w:lang w:eastAsia="en-US"/>
        </w:rPr>
        <w:t xml:space="preserve"> 0</w:t>
      </w:r>
      <w:r>
        <w:rPr>
          <w:rFonts w:ascii="FangSong_GB2312" w:hAnsi="FangSong_GB2312" w:eastAsia="FangSong_GB2312" w:cs="FangSong_GB2312"/>
          <w:color w:val="auto"/>
          <w:kern w:val="0"/>
          <w:sz w:val="32"/>
          <w:szCs w:val="32"/>
        </w:rPr>
        <w:t>万元，增长（下降）</w:t>
      </w:r>
      <w:r>
        <w:rPr>
          <w:rFonts w:eastAsia="Times New Roman"/>
          <w:color w:val="auto"/>
          <w:kern w:val="0"/>
          <w:sz w:val="32"/>
          <w:szCs w:val="32"/>
          <w:u w:val="single"/>
          <w:lang w:eastAsia="en-US"/>
        </w:rPr>
        <w:t xml:space="preserve"> 0</w:t>
      </w:r>
      <w:r>
        <w:rPr>
          <w:rFonts w:ascii="FangSong_GB2312" w:hAnsi="FangSong_GB2312" w:eastAsia="FangSong_GB2312" w:cs="FangSong_GB2312"/>
          <w:color w:val="auto"/>
          <w:kern w:val="0"/>
          <w:sz w:val="32"/>
          <w:szCs w:val="32"/>
          <w:lang w:eastAsia="en-US"/>
        </w:rPr>
        <w:t>%</w:t>
      </w:r>
      <w:r>
        <w:rPr>
          <w:rFonts w:ascii="FangSong_GB2312" w:hAnsi="FangSong_GB2312" w:eastAsia="FangSong_GB2312" w:cs="FangSong_GB2312"/>
          <w:color w:val="auto"/>
          <w:kern w:val="0"/>
          <w:sz w:val="32"/>
          <w:szCs w:val="32"/>
        </w:rPr>
        <w:t>，变动原因：本年无政府性基金预算财政拨款收、支、余。</w:t>
      </w:r>
    </w:p>
    <w:p w14:paraId="3550A8AF">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14:paraId="0C928F9E">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eastAsia="Times New Roman"/>
          <w:kern w:val="0"/>
          <w:sz w:val="32"/>
          <w:szCs w:val="32"/>
          <w:lang w:eastAsia="en-US"/>
        </w:rPr>
        <w:t>2025</w:t>
      </w:r>
      <w:r>
        <w:rPr>
          <w:rFonts w:ascii="FangSong_GB2312" w:hAnsi="FangSong_GB2312" w:eastAsia="FangSong_GB2312" w:cs="FangSong_GB2312"/>
          <w:kern w:val="0"/>
          <w:sz w:val="32"/>
          <w:szCs w:val="32"/>
        </w:rPr>
        <w:t>年度国有资本经营预算财政拨款支出决算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万元。与上年决算相比，增加（减少）</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ascii="FangSong_GB2312" w:hAnsi="FangSong_GB2312" w:eastAsia="FangSong_GB2312" w:cs="FangSong_GB2312"/>
          <w:color w:val="auto"/>
          <w:kern w:val="0"/>
          <w:sz w:val="32"/>
          <w:szCs w:val="32"/>
        </w:rPr>
        <w:t>本年无国有资本经营预算财政拨款收、支、余。其中：</w:t>
      </w:r>
    </w:p>
    <w:p w14:paraId="2D4E2D44">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14:paraId="7C3B098B">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内蒙古自治区特种设备检验研究院阿拉善分院 </w:t>
      </w:r>
      <w:r>
        <w:rPr>
          <w:rFonts w:eastAsia="Times New Roman"/>
          <w:kern w:val="0"/>
          <w:sz w:val="32"/>
          <w:szCs w:val="32"/>
          <w:lang w:eastAsia="en-US"/>
        </w:rPr>
        <w:t>2025</w:t>
      </w:r>
      <w:r>
        <w:rPr>
          <w:rFonts w:ascii="FangSong_GB2312" w:hAnsi="FangSong_GB2312" w:eastAsia="FangSong_GB2312" w:cs="FangSong_GB2312"/>
          <w:kern w:val="0"/>
          <w:sz w:val="32"/>
          <w:szCs w:val="32"/>
        </w:rPr>
        <w:t>年度公用经费支出决算</w:t>
      </w:r>
      <w:r>
        <w:rPr>
          <w:rFonts w:eastAsia="Times New Roman"/>
          <w:kern w:val="0"/>
          <w:sz w:val="32"/>
          <w:szCs w:val="32"/>
          <w:u w:val="single"/>
          <w:lang w:eastAsia="en-US"/>
        </w:rPr>
        <w:t xml:space="preserve"> 0.19</w:t>
      </w:r>
      <w:r>
        <w:rPr>
          <w:rFonts w:ascii="FangSong_GB2312" w:hAnsi="FangSong_GB2312" w:eastAsia="FangSong_GB2312" w:cs="FangSong_GB2312"/>
          <w:kern w:val="0"/>
          <w:sz w:val="32"/>
          <w:szCs w:val="32"/>
        </w:rPr>
        <w:t>万元，与上年决算相比，减少</w:t>
      </w:r>
      <w:r>
        <w:rPr>
          <w:rFonts w:eastAsia="Times New Roman"/>
          <w:kern w:val="0"/>
          <w:sz w:val="32"/>
          <w:szCs w:val="32"/>
          <w:u w:val="single"/>
          <w:lang w:eastAsia="en-US"/>
        </w:rPr>
        <w:t xml:space="preserve"> 0.03</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12.50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财政拨款一般公用经费减少</w:t>
      </w:r>
      <w:r>
        <w:rPr>
          <w:rFonts w:ascii="FangSong_GB2312" w:hAnsi="FangSong_GB2312" w:eastAsia="FangSong_GB2312" w:cs="FangSong_GB2312"/>
          <w:kern w:val="0"/>
          <w:sz w:val="32"/>
          <w:szCs w:val="32"/>
        </w:rPr>
        <w:t>。其中，机关运行经费支出决算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万元。比上年决算相比，增加（减少）</w:t>
      </w:r>
      <w:r>
        <w:rPr>
          <w:rFonts w:eastAsia="Times New Roman"/>
          <w:kern w:val="0"/>
          <w:sz w:val="32"/>
          <w:szCs w:val="32"/>
          <w:u w:val="single"/>
          <w:lang w:eastAsia="en-US"/>
        </w:rPr>
        <w:t xml:space="preserve"> 0</w:t>
      </w:r>
      <w:bookmarkStart w:id="1" w:name="_GoBack"/>
      <w:bookmarkEnd w:id="1"/>
      <w:r>
        <w:rPr>
          <w:rFonts w:ascii="FangSong_GB2312" w:hAnsi="FangSong_GB2312" w:eastAsia="FangSong_GB2312" w:cs="FangSong_GB2312"/>
          <w:kern w:val="0"/>
          <w:sz w:val="32"/>
          <w:szCs w:val="32"/>
        </w:rPr>
        <w:t>万元，增长（下降</w:t>
      </w:r>
      <w:r>
        <w:rPr>
          <w:rFonts w:ascii="FangSong_GB2312" w:hAnsi="FangSong_GB2312" w:eastAsia="FangSong_GB2312" w:cs="FangSong_GB2312"/>
          <w:color w:val="auto"/>
          <w:kern w:val="0"/>
          <w:sz w:val="32"/>
          <w:szCs w:val="32"/>
        </w:rPr>
        <w:t>）</w:t>
      </w:r>
      <w:r>
        <w:rPr>
          <w:rFonts w:eastAsia="Times New Roman"/>
          <w:color w:val="auto"/>
          <w:kern w:val="0"/>
          <w:sz w:val="32"/>
          <w:szCs w:val="32"/>
          <w:u w:val="single"/>
          <w:lang w:eastAsia="en-US"/>
        </w:rPr>
        <w:t xml:space="preserve"> 0</w:t>
      </w:r>
      <w:r>
        <w:rPr>
          <w:rFonts w:ascii="FangSong_GB2312" w:hAnsi="FangSong_GB2312" w:eastAsia="FangSong_GB2312" w:cs="FangSong_GB2312"/>
          <w:color w:val="auto"/>
          <w:kern w:val="0"/>
          <w:sz w:val="32"/>
          <w:szCs w:val="32"/>
          <w:lang w:eastAsia="en-US"/>
        </w:rPr>
        <w:t>%</w:t>
      </w:r>
      <w:r>
        <w:rPr>
          <w:rFonts w:ascii="FangSong_GB2312" w:hAnsi="FangSong_GB2312" w:eastAsia="FangSong_GB2312" w:cs="FangSong_GB2312"/>
          <w:color w:val="auto"/>
          <w:kern w:val="0"/>
          <w:sz w:val="32"/>
          <w:szCs w:val="32"/>
        </w:rPr>
        <w:t>，变动原因：我单位类型为</w:t>
      </w:r>
      <w:r>
        <w:rPr>
          <w:rFonts w:hint="eastAsia" w:ascii="FangSong_GB2312" w:hAnsi="FangSong_GB2312" w:eastAsia="FangSong_GB2312" w:cs="FangSong_GB2312"/>
          <w:color w:val="auto"/>
          <w:kern w:val="0"/>
          <w:sz w:val="32"/>
          <w:szCs w:val="32"/>
          <w:lang w:val="en-US" w:eastAsia="zh-CN"/>
        </w:rPr>
        <w:t>公益二类</w:t>
      </w:r>
      <w:r>
        <w:rPr>
          <w:rFonts w:ascii="FangSong_GB2312" w:hAnsi="FangSong_GB2312" w:eastAsia="FangSong_GB2312" w:cs="FangSong_GB2312"/>
          <w:color w:val="auto"/>
          <w:kern w:val="0"/>
          <w:sz w:val="32"/>
          <w:szCs w:val="32"/>
        </w:rPr>
        <w:t>类</w:t>
      </w:r>
      <w:r>
        <w:rPr>
          <w:rFonts w:hint="eastAsia" w:ascii="FangSong_GB2312" w:hAnsi="FangSong_GB2312" w:eastAsia="FangSong_GB2312" w:cs="FangSong_GB2312"/>
          <w:color w:val="auto"/>
          <w:kern w:val="0"/>
          <w:sz w:val="32"/>
          <w:szCs w:val="32"/>
          <w:lang w:val="en-US" w:eastAsia="zh-CN"/>
        </w:rPr>
        <w:t>事业</w:t>
      </w:r>
      <w:r>
        <w:rPr>
          <w:rFonts w:ascii="FangSong_GB2312" w:hAnsi="FangSong_GB2312" w:eastAsia="FangSong_GB2312" w:cs="FangSong_GB2312"/>
          <w:color w:val="auto"/>
          <w:kern w:val="0"/>
          <w:sz w:val="32"/>
          <w:szCs w:val="32"/>
        </w:rPr>
        <w:t>单位</w:t>
      </w:r>
      <w:r>
        <w:rPr>
          <w:rFonts w:hint="eastAsia" w:ascii="FangSong_GB2312" w:hAnsi="FangSong_GB2312" w:eastAsia="FangSong_GB2312" w:cs="FangSong_GB2312"/>
          <w:color w:val="auto"/>
          <w:kern w:val="0"/>
          <w:sz w:val="32"/>
          <w:szCs w:val="32"/>
          <w:lang w:eastAsia="zh-CN"/>
        </w:rPr>
        <w:t>，</w:t>
      </w:r>
      <w:r>
        <w:rPr>
          <w:rFonts w:ascii="FangSong_GB2312" w:hAnsi="FangSong_GB2312" w:eastAsia="FangSong_GB2312" w:cs="FangSong_GB2312"/>
          <w:color w:val="auto"/>
          <w:kern w:val="0"/>
          <w:sz w:val="32"/>
          <w:szCs w:val="32"/>
        </w:rPr>
        <w:t>无机关运行经费支出。</w:t>
      </w:r>
    </w:p>
    <w:p w14:paraId="0C3CC6D8">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14:paraId="1CDA18A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eastAsia="Times New Roman"/>
          <w:kern w:val="0"/>
          <w:sz w:val="32"/>
          <w:szCs w:val="32"/>
          <w:lang w:eastAsia="en-US"/>
        </w:rPr>
        <w:t>2025</w:t>
      </w:r>
      <w:r>
        <w:rPr>
          <w:rFonts w:ascii="FangSong_GB2312" w:hAnsi="FangSong_GB2312" w:eastAsia="FangSong_GB2312" w:cs="FangSong_GB2312"/>
          <w:kern w:val="0"/>
          <w:sz w:val="32"/>
          <w:szCs w:val="32"/>
        </w:rPr>
        <w:t>年度政府采购支出总额</w:t>
      </w:r>
      <w:r>
        <w:rPr>
          <w:rFonts w:eastAsia="Times New Roman"/>
          <w:kern w:val="0"/>
          <w:sz w:val="32"/>
          <w:szCs w:val="32"/>
          <w:u w:val="single"/>
          <w:lang w:eastAsia="en-US"/>
        </w:rPr>
        <w:t xml:space="preserve"> 470.84</w:t>
      </w:r>
      <w:r>
        <w:rPr>
          <w:rFonts w:ascii="FangSong_GB2312" w:hAnsi="FangSong_GB2312" w:eastAsia="FangSong_GB2312" w:cs="FangSong_GB2312"/>
          <w:kern w:val="0"/>
          <w:sz w:val="32"/>
          <w:szCs w:val="32"/>
        </w:rPr>
        <w:t>万元，其中：政府采购货物支出</w:t>
      </w:r>
      <w:r>
        <w:rPr>
          <w:rFonts w:eastAsia="Times New Roman"/>
          <w:kern w:val="0"/>
          <w:sz w:val="32"/>
          <w:szCs w:val="32"/>
          <w:u w:val="single"/>
          <w:lang w:eastAsia="en-US"/>
        </w:rPr>
        <w:t xml:space="preserve"> 161.18</w:t>
      </w:r>
      <w:r>
        <w:rPr>
          <w:rFonts w:ascii="FangSong_GB2312" w:hAnsi="FangSong_GB2312" w:eastAsia="FangSong_GB2312" w:cs="FangSong_GB2312"/>
          <w:kern w:val="0"/>
          <w:sz w:val="32"/>
          <w:szCs w:val="32"/>
        </w:rPr>
        <w:t>万元、政府采购工程支出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万元、政府采购服务支出</w:t>
      </w:r>
      <w:r>
        <w:rPr>
          <w:rFonts w:eastAsia="Times New Roman"/>
          <w:kern w:val="0"/>
          <w:sz w:val="32"/>
          <w:szCs w:val="32"/>
          <w:u w:val="single"/>
          <w:lang w:eastAsia="en-US"/>
        </w:rPr>
        <w:t xml:space="preserve"> 309.66</w:t>
      </w:r>
      <w:r>
        <w:rPr>
          <w:rFonts w:ascii="FangSong_GB2312" w:hAnsi="FangSong_GB2312" w:eastAsia="FangSong_GB2312" w:cs="FangSong_GB2312"/>
          <w:kern w:val="0"/>
          <w:sz w:val="32"/>
          <w:szCs w:val="32"/>
        </w:rPr>
        <w:t>万元。政府采购授予中小企业合同金额</w:t>
      </w:r>
      <w:r>
        <w:rPr>
          <w:rFonts w:eastAsia="Times New Roman"/>
          <w:kern w:val="0"/>
          <w:sz w:val="32"/>
          <w:szCs w:val="32"/>
          <w:u w:val="single"/>
          <w:lang w:eastAsia="en-US"/>
        </w:rPr>
        <w:t xml:space="preserve"> 469.71</w:t>
      </w:r>
      <w:r>
        <w:rPr>
          <w:rFonts w:ascii="FangSong_GB2312" w:hAnsi="FangSong_GB2312" w:eastAsia="FangSong_GB2312" w:cs="FangSong_GB2312"/>
          <w:kern w:val="0"/>
          <w:sz w:val="32"/>
          <w:szCs w:val="32"/>
        </w:rPr>
        <w:t>万元，占政府采购支出总额的</w:t>
      </w:r>
      <w:r>
        <w:rPr>
          <w:rFonts w:hint="eastAsia" w:eastAsia="宋体"/>
          <w:kern w:val="0"/>
          <w:sz w:val="32"/>
          <w:szCs w:val="32"/>
          <w:u w:val="single"/>
          <w:lang w:val="en-US" w:eastAsia="zh-CN"/>
        </w:rPr>
        <w:t>99.76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，其中：授予小微企业合同金额</w:t>
      </w:r>
      <w:r>
        <w:rPr>
          <w:rFonts w:eastAsia="Times New Roman"/>
          <w:kern w:val="0"/>
          <w:sz w:val="32"/>
          <w:szCs w:val="32"/>
          <w:u w:val="single"/>
          <w:lang w:eastAsia="en-US"/>
        </w:rPr>
        <w:t xml:space="preserve"> 455.26</w:t>
      </w:r>
      <w:r>
        <w:rPr>
          <w:rFonts w:ascii="FangSong_GB2312" w:hAnsi="FangSong_GB2312" w:eastAsia="FangSong_GB2312" w:cs="FangSong_GB2312"/>
          <w:kern w:val="0"/>
          <w:sz w:val="32"/>
          <w:szCs w:val="32"/>
        </w:rPr>
        <w:t>万元，占政府采购支出总额的</w:t>
      </w:r>
      <w:r>
        <w:rPr>
          <w:rFonts w:hint="eastAsia" w:eastAsia="宋体"/>
          <w:kern w:val="0"/>
          <w:sz w:val="32"/>
          <w:szCs w:val="32"/>
          <w:u w:val="single"/>
          <w:lang w:val="en-US" w:eastAsia="zh-CN"/>
        </w:rPr>
        <w:t>96.69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；货物采购授予中小企业合同金额占货物支出金额的</w:t>
      </w:r>
      <w:r>
        <w:rPr>
          <w:rFonts w:hint="eastAsia" w:ascii="Times New Roman" w:hAnsi="Times New Roman" w:eastAsia="仿宋_GB2312" w:cs="Times New Roman"/>
          <w:sz w:val="32"/>
          <w:szCs w:val="32"/>
          <w:highlight w:val="none"/>
          <w:u w:val="none"/>
          <w:lang w:val="en-US" w:eastAsia="zh-CN"/>
        </w:rPr>
        <w:t>44.84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，工程采购授予中小企业合同金额占工程支出金额的</w:t>
      </w:r>
      <w:r>
        <w:rPr>
          <w:rFonts w:hint="eastAsia" w:eastAsia="宋体"/>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，服务采购授予中小企业合同金额占服务支出金额的</w:t>
      </w:r>
      <w:r>
        <w:rPr>
          <w:rFonts w:hint="eastAsia" w:eastAsia="宋体"/>
          <w:kern w:val="0"/>
          <w:sz w:val="32"/>
          <w:szCs w:val="32"/>
          <w:u w:val="single"/>
          <w:lang w:val="en-US" w:eastAsia="zh-CN"/>
        </w:rPr>
        <w:t>51.85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7257C534">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14:paraId="40975704">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日，本部门（单位）共有车辆</w:t>
      </w:r>
      <w:r>
        <w:rPr>
          <w:rFonts w:eastAsia="Times New Roman"/>
          <w:kern w:val="0"/>
          <w:sz w:val="32"/>
          <w:szCs w:val="32"/>
          <w:u w:val="single"/>
          <w:lang w:eastAsia="en-US"/>
        </w:rPr>
        <w:t xml:space="preserve">8 </w:t>
      </w:r>
      <w:r>
        <w:rPr>
          <w:rFonts w:ascii="FangSong_GB2312" w:hAnsi="FangSong_GB2312" w:eastAsia="FangSong_GB2312" w:cs="FangSong_GB2312"/>
          <w:kern w:val="0"/>
          <w:sz w:val="32"/>
          <w:szCs w:val="32"/>
        </w:rPr>
        <w:t>辆，其中：副部（省）级及以上领导用车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辆、主要负责人用车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辆、机要通信用车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辆、应急保障用车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辆、执法执勤用车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辆、特种专业技术用车</w:t>
      </w:r>
      <w:r>
        <w:rPr>
          <w:rFonts w:eastAsia="Times New Roman"/>
          <w:kern w:val="0"/>
          <w:sz w:val="32"/>
          <w:szCs w:val="32"/>
          <w:u w:val="single"/>
          <w:lang w:eastAsia="en-US"/>
        </w:rPr>
        <w:t xml:space="preserve">4 </w:t>
      </w:r>
      <w:r>
        <w:rPr>
          <w:rFonts w:ascii="FangSong_GB2312" w:hAnsi="FangSong_GB2312" w:eastAsia="FangSong_GB2312" w:cs="FangSong_GB2312"/>
          <w:kern w:val="0"/>
          <w:sz w:val="32"/>
          <w:szCs w:val="32"/>
        </w:rPr>
        <w:t>辆、离退休干部服务用车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辆、其他用车</w:t>
      </w:r>
      <w:r>
        <w:rPr>
          <w:rFonts w:eastAsia="Times New Roman"/>
          <w:kern w:val="0"/>
          <w:sz w:val="32"/>
          <w:szCs w:val="32"/>
          <w:u w:val="single"/>
          <w:lang w:eastAsia="en-US"/>
        </w:rPr>
        <w:t xml:space="preserve">4 </w:t>
      </w:r>
      <w:r>
        <w:rPr>
          <w:rFonts w:ascii="FangSong_GB2312" w:hAnsi="FangSong_GB2312" w:eastAsia="FangSong_GB2312" w:cs="FangSong_GB2312"/>
          <w:kern w:val="0"/>
          <w:sz w:val="32"/>
          <w:szCs w:val="32"/>
        </w:rPr>
        <w:t>辆，其他用车主要是</w:t>
      </w:r>
      <w:r>
        <w:rPr>
          <w:rFonts w:hint="eastAsia" w:ascii="FangSong_GB2312" w:hAnsi="FangSong_GB2312" w:eastAsia="FangSong_GB2312" w:cs="FangSong_GB2312"/>
          <w:kern w:val="0"/>
          <w:sz w:val="32"/>
          <w:szCs w:val="32"/>
          <w:lang w:val="en-US" w:eastAsia="zh-CN"/>
        </w:rPr>
        <w:t>特种专业技术用车</w:t>
      </w:r>
      <w:r>
        <w:rPr>
          <w:rFonts w:ascii="FangSong_GB2312" w:hAnsi="FangSong_GB2312" w:eastAsia="FangSong_GB2312" w:cs="FangSong_GB2312"/>
          <w:kern w:val="0"/>
          <w:sz w:val="32"/>
          <w:szCs w:val="32"/>
        </w:rPr>
        <w:t>；单价</w:t>
      </w:r>
      <w:r>
        <w:rPr>
          <w:rFonts w:eastAsia="Times New Roman"/>
          <w:kern w:val="0"/>
          <w:sz w:val="32"/>
          <w:szCs w:val="32"/>
          <w:lang w:eastAsia="en-US"/>
        </w:rPr>
        <w:t>100</w:t>
      </w:r>
      <w:r>
        <w:rPr>
          <w:rFonts w:ascii="FangSong_GB2312" w:hAnsi="FangSong_GB2312" w:eastAsia="FangSong_GB2312" w:cs="FangSong_GB2312"/>
          <w:kern w:val="0"/>
          <w:sz w:val="32"/>
          <w:szCs w:val="32"/>
        </w:rPr>
        <w:t>万元（含）以上设备（不含车辆）</w:t>
      </w:r>
      <w:r>
        <w:rPr>
          <w:rFonts w:eastAsia="Times New Roman"/>
          <w:kern w:val="0"/>
          <w:sz w:val="32"/>
          <w:szCs w:val="32"/>
          <w:u w:val="single"/>
          <w:lang w:eastAsia="en-US"/>
        </w:rPr>
        <w:t xml:space="preserve">1 </w:t>
      </w:r>
      <w:r>
        <w:rPr>
          <w:rFonts w:ascii="FangSong_GB2312" w:hAnsi="FangSong_GB2312" w:eastAsia="FangSong_GB2312" w:cs="FangSong_GB2312"/>
          <w:kern w:val="0"/>
          <w:sz w:val="32"/>
          <w:szCs w:val="32"/>
        </w:rPr>
        <w:t>台（套）。</w:t>
      </w:r>
    </w:p>
    <w:p w14:paraId="1AAC054F">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14:paraId="13ABC728">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14:paraId="31749EC7">
      <w:pPr>
        <w:pStyle w:val="30"/>
        <w:widowControl/>
        <w:spacing w:before="240" w:after="240" w:line="560" w:lineRule="atLeast"/>
        <w:ind w:firstLine="640"/>
        <w:jc w:val="left"/>
        <w:rPr>
          <w:rFonts w:ascii="FangSong_GB2312" w:hAnsi="FangSong_GB2312" w:eastAsia="FangSong_GB2312" w:cs="FangSong_GB2312"/>
          <w:kern w:val="0"/>
          <w:sz w:val="32"/>
          <w:szCs w:val="32"/>
        </w:rPr>
      </w:pPr>
      <w:r>
        <w:rPr>
          <w:rFonts w:ascii="FangSong_GB2312" w:hAnsi="FangSong_GB2312" w:eastAsia="FangSong_GB2312" w:cs="FangSong_GB2312"/>
          <w:kern w:val="0"/>
          <w:sz w:val="32"/>
          <w:szCs w:val="32"/>
        </w:rPr>
        <w:t>内蒙古自治区特种设备检验研究院阿拉善分院根据预算绩效管理要求组织对</w:t>
      </w:r>
      <w:r>
        <w:rPr>
          <w:rFonts w:ascii="FangSong_GB2312" w:hAnsi="FangSong_GB2312" w:eastAsia="FangSong_GB2312" w:cs="FangSong_GB2312"/>
          <w:kern w:val="0"/>
          <w:sz w:val="32"/>
          <w:szCs w:val="32"/>
          <w:lang w:eastAsia="en-US"/>
        </w:rPr>
        <w:t>2025</w:t>
      </w:r>
      <w:r>
        <w:rPr>
          <w:rFonts w:ascii="FangSong_GB2312" w:hAnsi="FangSong_GB2312" w:eastAsia="FangSong_GB2312" w:cs="FangSong_GB2312"/>
          <w:kern w:val="0"/>
          <w:sz w:val="32"/>
          <w:szCs w:val="32"/>
        </w:rPr>
        <w:t>年一般公共预算项目支出全面开展绩效自评，共涉及项目</w:t>
      </w:r>
      <w:r>
        <w:rPr>
          <w:rFonts w:hint="eastAsia" w:ascii="FangSong_GB2312" w:hAnsi="FangSong_GB2312" w:eastAsia="FangSong_GB2312" w:cs="FangSong_GB2312"/>
          <w:kern w:val="0"/>
          <w:sz w:val="32"/>
          <w:szCs w:val="32"/>
          <w:lang w:val="en-US" w:eastAsia="zh-CN"/>
        </w:rPr>
        <w:t>1</w:t>
      </w:r>
      <w:r>
        <w:rPr>
          <w:rFonts w:ascii="FangSong_GB2312" w:hAnsi="FangSong_GB2312" w:eastAsia="FangSong_GB2312" w:cs="FangSong_GB2312"/>
          <w:kern w:val="0"/>
          <w:sz w:val="32"/>
          <w:szCs w:val="32"/>
        </w:rPr>
        <w:t>个，资金</w:t>
      </w:r>
      <w:r>
        <w:rPr>
          <w:rFonts w:ascii="FangSong_GB2312" w:hAnsi="FangSong_GB2312" w:eastAsia="FangSong_GB2312" w:cs="FangSong_GB2312"/>
          <w:kern w:val="0"/>
          <w:sz w:val="32"/>
          <w:szCs w:val="32"/>
          <w:lang w:eastAsia="en-US"/>
        </w:rPr>
        <w:t xml:space="preserve"> 287.00</w:t>
      </w:r>
      <w:r>
        <w:rPr>
          <w:rFonts w:ascii="FangSong_GB2312" w:hAnsi="FangSong_GB2312" w:eastAsia="FangSong_GB2312" w:cs="FangSong_GB2312"/>
          <w:kern w:val="0"/>
          <w:sz w:val="32"/>
          <w:szCs w:val="32"/>
        </w:rPr>
        <w:t>万元，占一般公共预算项目支出总额的</w:t>
      </w:r>
      <w:r>
        <w:rPr>
          <w:rFonts w:ascii="FangSong_GB2312" w:hAnsi="FangSong_GB2312" w:eastAsia="FangSong_GB2312" w:cs="FangSong_GB2312"/>
          <w:kern w:val="0"/>
          <w:sz w:val="32"/>
          <w:szCs w:val="32"/>
          <w:lang w:eastAsia="en-US"/>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；政府性基金预算项目</w:t>
      </w:r>
      <w:r>
        <w:rPr>
          <w:rFonts w:hint="eastAsia" w:ascii="FangSong_GB2312" w:hAnsi="FangSong_GB2312" w:eastAsia="FangSong_GB2312" w:cs="FangSong_GB2312"/>
          <w:kern w:val="0"/>
          <w:sz w:val="32"/>
          <w:szCs w:val="32"/>
          <w:lang w:val="en-US" w:eastAsia="zh-CN"/>
        </w:rPr>
        <w:t>0</w:t>
      </w:r>
      <w:r>
        <w:rPr>
          <w:rFonts w:ascii="FangSong_GB2312" w:hAnsi="FangSong_GB2312" w:eastAsia="FangSong_GB2312" w:cs="FangSong_GB2312"/>
          <w:kern w:val="0"/>
          <w:sz w:val="32"/>
          <w:szCs w:val="32"/>
        </w:rPr>
        <w:t>个，共涉及资金</w:t>
      </w:r>
      <w:r>
        <w:rPr>
          <w:rFonts w:ascii="FangSong_GB2312" w:hAnsi="FangSong_GB2312" w:eastAsia="FangSong_GB2312" w:cs="FangSong_GB2312"/>
          <w:kern w:val="0"/>
          <w:sz w:val="32"/>
          <w:szCs w:val="32"/>
          <w:lang w:eastAsia="en-US"/>
        </w:rPr>
        <w:t xml:space="preserve"> 0</w:t>
      </w:r>
      <w:r>
        <w:rPr>
          <w:rFonts w:ascii="FangSong_GB2312" w:hAnsi="FangSong_GB2312" w:eastAsia="FangSong_GB2312" w:cs="FangSong_GB2312"/>
          <w:kern w:val="0"/>
          <w:sz w:val="32"/>
          <w:szCs w:val="32"/>
        </w:rPr>
        <w:t>万元，占政府性基金预算项目支出总额的</w:t>
      </w:r>
      <w:r>
        <w:rPr>
          <w:rFonts w:hint="eastAsia" w:ascii="FangSong_GB2312" w:hAnsi="FangSong_GB2312" w:eastAsia="FangSong_GB2312" w:cs="FangSong_GB2312"/>
          <w:kern w:val="0"/>
          <w:sz w:val="32"/>
          <w:szCs w:val="32"/>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CA01465">
      <w:pPr>
        <w:pStyle w:val="30"/>
        <w:widowControl/>
        <w:spacing w:before="240" w:after="240" w:line="560" w:lineRule="atLeast"/>
        <w:ind w:firstLine="640"/>
        <w:jc w:val="left"/>
        <w:rPr>
          <w:rFonts w:ascii="FangSong_GB2312" w:hAnsi="FangSong_GB2312" w:eastAsia="FangSong_GB2312" w:cs="FangSong_GB2312"/>
          <w:kern w:val="0"/>
          <w:sz w:val="32"/>
          <w:szCs w:val="32"/>
        </w:rPr>
      </w:pPr>
      <w:r>
        <w:rPr>
          <w:rFonts w:ascii="FangSong_GB2312" w:hAnsi="FangSong_GB2312" w:eastAsia="FangSong_GB2312" w:cs="FangSong_GB2312"/>
          <w:kern w:val="0"/>
          <w:sz w:val="32"/>
          <w:szCs w:val="32"/>
        </w:rPr>
        <w:t>组织对“</w:t>
      </w:r>
      <w:r>
        <w:rPr>
          <w:rFonts w:hint="eastAsia" w:ascii="FangSong_GB2312" w:hAnsi="FangSong_GB2312" w:eastAsia="FangSong_GB2312" w:cs="FangSong_GB2312"/>
          <w:kern w:val="0"/>
          <w:sz w:val="32"/>
          <w:szCs w:val="32"/>
          <w:lang w:val="en-US" w:eastAsia="zh-CN"/>
        </w:rPr>
        <w:t>特种设备安全监管</w:t>
      </w:r>
      <w:r>
        <w:rPr>
          <w:rFonts w:ascii="FangSong_GB2312" w:hAnsi="FangSong_GB2312" w:eastAsia="FangSong_GB2312" w:cs="FangSong_GB2312"/>
          <w:kern w:val="0"/>
          <w:sz w:val="32"/>
          <w:szCs w:val="32"/>
        </w:rPr>
        <w:t>”项目开展了部门评价，涉及一般公共预算支出</w:t>
      </w:r>
      <w:r>
        <w:rPr>
          <w:rFonts w:hint="eastAsia" w:ascii="FangSong_GB2312" w:hAnsi="FangSong_GB2312" w:eastAsia="FangSong_GB2312" w:cs="FangSong_GB2312"/>
          <w:kern w:val="0"/>
          <w:sz w:val="32"/>
          <w:szCs w:val="32"/>
          <w:lang w:val="en-US" w:eastAsia="zh-CN"/>
        </w:rPr>
        <w:t>287</w:t>
      </w:r>
      <w:r>
        <w:rPr>
          <w:rFonts w:ascii="FangSong_GB2312" w:hAnsi="FangSong_GB2312" w:eastAsia="FangSong_GB2312" w:cs="FangSong_GB2312"/>
          <w:kern w:val="0"/>
          <w:sz w:val="32"/>
          <w:szCs w:val="32"/>
        </w:rPr>
        <w:t>万元，政府性基金支出</w:t>
      </w:r>
      <w:r>
        <w:rPr>
          <w:rFonts w:hint="eastAsia" w:ascii="FangSong_GB2312" w:hAnsi="FangSong_GB2312" w:eastAsia="FangSong_GB2312" w:cs="FangSong_GB2312"/>
          <w:kern w:val="0"/>
          <w:sz w:val="32"/>
          <w:szCs w:val="32"/>
          <w:lang w:val="en-US" w:eastAsia="zh-CN"/>
        </w:rPr>
        <w:t>0</w:t>
      </w:r>
      <w:r>
        <w:rPr>
          <w:rFonts w:ascii="FangSong_GB2312" w:hAnsi="FangSong_GB2312" w:eastAsia="FangSong_GB2312" w:cs="FangSong_GB2312"/>
          <w:kern w:val="0"/>
          <w:sz w:val="32"/>
          <w:szCs w:val="32"/>
        </w:rPr>
        <w:t>万元。其中，对“</w:t>
      </w:r>
      <w:r>
        <w:rPr>
          <w:rFonts w:hint="eastAsia" w:ascii="FangSong_GB2312" w:hAnsi="FangSong_GB2312" w:eastAsia="FangSong_GB2312" w:cs="FangSong_GB2312"/>
          <w:kern w:val="0"/>
          <w:sz w:val="32"/>
          <w:szCs w:val="32"/>
          <w:lang w:val="en-US" w:eastAsia="zh-CN"/>
        </w:rPr>
        <w:t>特种设备安全监管</w:t>
      </w:r>
      <w:r>
        <w:rPr>
          <w:rFonts w:ascii="FangSong_GB2312" w:hAnsi="FangSong_GB2312" w:eastAsia="FangSong_GB2312" w:cs="FangSong_GB2312"/>
          <w:kern w:val="0"/>
          <w:sz w:val="32"/>
          <w:szCs w:val="32"/>
        </w:rPr>
        <w:t>”项目委托相关第三方机构开展绩效评价。从评价情况看，</w:t>
      </w:r>
      <w:r>
        <w:rPr>
          <w:rFonts w:hint="eastAsia" w:ascii="FangSong_GB2312" w:hAnsi="FangSong_GB2312" w:eastAsia="FangSong_GB2312" w:cs="FangSong_GB2312"/>
          <w:kern w:val="0"/>
          <w:sz w:val="32"/>
          <w:szCs w:val="32"/>
          <w:lang w:val="en-US" w:eastAsia="zh-CN"/>
        </w:rPr>
        <w:t>整体上重点项目绩效评价完成情况良好，项目评价工作组织程序规范，评价指标体系合理，数据来源可靠，对绩效的反映准确，评价结果适当，查找问题基本准确，改进措施得当。下一步将按照财政部门关于绩效评价管理办法的规定，继续规范绩效管理工作，提升绩效管理工作水平。</w:t>
      </w:r>
    </w:p>
    <w:p w14:paraId="04C8C117">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（二）部门（单位）决算中项目绩效自评结果。</w:t>
      </w:r>
    </w:p>
    <w:p w14:paraId="1BCB84A5">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内蒙古自治区特种设备检验研究院阿拉善分院</w:t>
      </w:r>
      <w:r>
        <w:rPr>
          <w:rFonts w:eastAsia="Times New Roman"/>
          <w:kern w:val="0"/>
          <w:sz w:val="32"/>
          <w:szCs w:val="32"/>
          <w:lang w:eastAsia="en-US"/>
        </w:rPr>
        <w:t>2025</w:t>
      </w:r>
      <w:r>
        <w:rPr>
          <w:rFonts w:ascii="FangSong_GB2312" w:hAnsi="FangSong_GB2312" w:eastAsia="FangSong_GB2312" w:cs="FangSong_GB2312"/>
          <w:kern w:val="0"/>
          <w:sz w:val="32"/>
          <w:szCs w:val="32"/>
        </w:rPr>
        <w:t>年度在决算中反映</w:t>
      </w:r>
      <w:r>
        <w:rPr>
          <w:rFonts w:hint="eastAsia" w:eastAsia="宋体"/>
          <w:kern w:val="0"/>
          <w:sz w:val="32"/>
          <w:szCs w:val="32"/>
          <w:u w:val="single"/>
          <w:lang w:val="en-US" w:eastAsia="zh-CN"/>
        </w:rPr>
        <w:t>1</w:t>
      </w:r>
      <w:r>
        <w:rPr>
          <w:rFonts w:ascii="FangSong_GB2312" w:hAnsi="FangSong_GB2312" w:eastAsia="FangSong_GB2312" w:cs="FangSong_GB2312"/>
          <w:kern w:val="0"/>
          <w:sz w:val="32"/>
          <w:szCs w:val="32"/>
        </w:rPr>
        <w:t>个一般公共预算项目，以及</w:t>
      </w:r>
      <w:r>
        <w:rPr>
          <w:rFonts w:hint="eastAsia" w:eastAsia="宋体"/>
          <w:kern w:val="0"/>
          <w:sz w:val="32"/>
          <w:szCs w:val="32"/>
          <w:u w:val="single"/>
          <w:lang w:val="en-US" w:eastAsia="zh-CN"/>
        </w:rPr>
        <w:t>0</w:t>
      </w:r>
      <w:r>
        <w:rPr>
          <w:rFonts w:ascii="FangSong_GB2312" w:hAnsi="FangSong_GB2312" w:eastAsia="FangSong_GB2312" w:cs="FangSong_GB2312"/>
          <w:kern w:val="0"/>
          <w:sz w:val="32"/>
          <w:szCs w:val="32"/>
        </w:rPr>
        <w:t>个政府性基金项目。</w:t>
      </w:r>
    </w:p>
    <w:p w14:paraId="19FC71C3">
      <w:pPr>
        <w:pStyle w:val="30"/>
        <w:widowControl/>
        <w:spacing w:before="240" w:after="240" w:line="560" w:lineRule="atLeast"/>
        <w:ind w:firstLine="640"/>
        <w:jc w:val="left"/>
        <w:rPr>
          <w:rFonts w:ascii="FangSong_GB2312" w:hAnsi="FangSong_GB2312" w:eastAsia="FangSong_GB2312" w:cs="FangSong_GB2312"/>
          <w:kern w:val="0"/>
          <w:sz w:val="32"/>
          <w:szCs w:val="32"/>
          <w:lang w:eastAsia="en-US"/>
        </w:rPr>
      </w:pPr>
      <w:r>
        <w:rPr>
          <w:rFonts w:hint="eastAsia" w:ascii="FangSong_GB2312" w:hAnsi="FangSong_GB2312" w:eastAsia="FangSong_GB2312" w:cs="FangSong_GB2312"/>
          <w:kern w:val="0"/>
          <w:sz w:val="32"/>
          <w:szCs w:val="32"/>
          <w:lang w:val="en-US" w:eastAsia="zh-CN"/>
        </w:rPr>
        <w:t>特种设备安全监管</w:t>
      </w:r>
      <w:r>
        <w:rPr>
          <w:rFonts w:ascii="FangSong_GB2312" w:hAnsi="FangSong_GB2312" w:eastAsia="FangSong_GB2312" w:cs="FangSong_GB2312"/>
          <w:kern w:val="0"/>
          <w:sz w:val="32"/>
          <w:szCs w:val="32"/>
          <w:lang w:eastAsia="en-US"/>
        </w:rPr>
        <w:t>项目自评综述：根据年初设定的绩效目标，项目自评得分</w:t>
      </w:r>
      <w:r>
        <w:rPr>
          <w:rFonts w:hint="eastAsia" w:ascii="FangSong_GB2312" w:hAnsi="FangSong_GB2312" w:eastAsia="FangSong_GB2312" w:cs="FangSong_GB2312"/>
          <w:kern w:val="0"/>
          <w:sz w:val="32"/>
          <w:szCs w:val="32"/>
          <w:lang w:val="en-US" w:eastAsia="zh-CN"/>
        </w:rPr>
        <w:t>92.43</w:t>
      </w:r>
      <w:r>
        <w:rPr>
          <w:rFonts w:ascii="FangSong_GB2312" w:hAnsi="FangSong_GB2312" w:eastAsia="FangSong_GB2312" w:cs="FangSong_GB2312"/>
          <w:kern w:val="0"/>
          <w:sz w:val="32"/>
          <w:szCs w:val="32"/>
          <w:lang w:eastAsia="en-US"/>
        </w:rPr>
        <w:t>分。全年预算数为</w:t>
      </w:r>
      <w:r>
        <w:rPr>
          <w:rFonts w:hint="eastAsia" w:ascii="FangSong_GB2312" w:hAnsi="FangSong_GB2312" w:eastAsia="FangSong_GB2312" w:cs="FangSong_GB2312"/>
          <w:kern w:val="0"/>
          <w:sz w:val="32"/>
          <w:szCs w:val="32"/>
          <w:lang w:val="en-US" w:eastAsia="zh-CN"/>
        </w:rPr>
        <w:t>287</w:t>
      </w:r>
      <w:r>
        <w:rPr>
          <w:rFonts w:ascii="FangSong_GB2312" w:hAnsi="FangSong_GB2312" w:eastAsia="FangSong_GB2312" w:cs="FangSong_GB2312"/>
          <w:kern w:val="0"/>
          <w:sz w:val="32"/>
          <w:szCs w:val="32"/>
          <w:lang w:eastAsia="en-US"/>
        </w:rPr>
        <w:t>万元，执行数为XX.XX万元，完成预算的XX.X</w:t>
      </w:r>
      <w:r>
        <w:rPr>
          <w:rFonts w:ascii="FangSong_GB2312" w:hAnsi="FangSong_GB2312" w:eastAsia="FangSong_GB2312" w:cs="FangSong_GB2312"/>
          <w:kern w:val="0"/>
          <w:sz w:val="32"/>
          <w:szCs w:val="32"/>
          <w:lang w:eastAsia="en-US"/>
        </w:rPr>
        <w:t>%。项目绩效目标完成情况：</w:t>
      </w:r>
      <w:r>
        <w:rPr>
          <w:rFonts w:hint="eastAsia" w:ascii="FangSong_GB2312" w:hAnsi="FangSong_GB2312" w:eastAsia="FangSong_GB2312" w:cs="FangSong_GB2312"/>
          <w:kern w:val="0"/>
          <w:sz w:val="32"/>
          <w:szCs w:val="32"/>
          <w:lang w:eastAsia="en-US"/>
        </w:rPr>
        <w:t>年度绩效目标完成情况2025年开展特种设备检验检测，完成各类特种设备年度检验及委托检验共计4398台（套），压力管道年度检查8.27万米，检验报告发放率达、被检单位满意度均到99%以上，全年无投诉；提高了企业安全意识，落实了企业主体责任。有效的开展了单位职工取换证工作，新增检验设备43台（套），从人员资质和技术方面，保障了特种设备检验工作的顺利开展，确保了人民生命财产权益，指标完成情况良好，有效的提高检验人员水及特种设备检验能力</w:t>
      </w:r>
      <w:r>
        <w:rPr>
          <w:rFonts w:ascii="FangSong_GB2312" w:hAnsi="FangSong_GB2312" w:eastAsia="FangSong_GB2312" w:cs="FangSong_GB2312"/>
          <w:kern w:val="0"/>
          <w:sz w:val="32"/>
          <w:szCs w:val="32"/>
          <w:lang w:eastAsia="en-US"/>
        </w:rPr>
        <w:t>。发现的主要问题及原因：</w:t>
      </w:r>
      <w:r>
        <w:rPr>
          <w:rFonts w:hint="eastAsia" w:ascii="FangSong_GB2312" w:hAnsi="FangSong_GB2312" w:eastAsia="FangSong_GB2312" w:cs="FangSong_GB2312"/>
          <w:kern w:val="0"/>
          <w:sz w:val="32"/>
          <w:szCs w:val="32"/>
          <w:lang w:eastAsia="en-US"/>
        </w:rPr>
        <w:t>025年部分企业因经济效益不佳停产，部门工业锅炉、电站锅炉、压力管道停用，所以实际完成量有所减少；因注重检验质量的提升，加强人员技能培训，所以专业人员业务技能培训数量明显增加；因有新建企业，需新安装工业锅炉，所以工业锅炉监督检验数量增加，同时环保对企业要求逐渐变高，工业锅炉水质化验数量明显增加</w:t>
      </w:r>
      <w:r>
        <w:rPr>
          <w:rFonts w:ascii="FangSong_GB2312" w:hAnsi="FangSong_GB2312" w:eastAsia="FangSong_GB2312" w:cs="FangSong_GB2312"/>
          <w:kern w:val="0"/>
          <w:sz w:val="32"/>
          <w:szCs w:val="32"/>
          <w:lang w:eastAsia="en-US"/>
        </w:rPr>
        <w:t>。下一步改进措施：</w:t>
      </w:r>
      <w:r>
        <w:rPr>
          <w:rFonts w:hint="eastAsia" w:ascii="FangSong_GB2312" w:hAnsi="FangSong_GB2312" w:eastAsia="FangSong_GB2312" w:cs="FangSong_GB2312"/>
          <w:kern w:val="0"/>
          <w:sz w:val="32"/>
          <w:szCs w:val="32"/>
          <w:lang w:eastAsia="en-US"/>
        </w:rPr>
        <w:t>根据2025年度偏离绩效目标的原因，总结经验将业务数据和财务工作深度结合</w:t>
      </w:r>
      <w:r>
        <w:rPr>
          <w:rFonts w:ascii="FangSong_GB2312" w:hAnsi="FangSong_GB2312" w:eastAsia="FangSong_GB2312" w:cs="FangSong_GB2312"/>
          <w:kern w:val="0"/>
          <w:sz w:val="32"/>
          <w:szCs w:val="32"/>
          <w:lang w:eastAsia="en-US"/>
        </w:rPr>
        <w:t>。</w:t>
      </w:r>
    </w:p>
    <w:tbl>
      <w:tblPr>
        <w:tblW w:w="91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53"/>
        <w:gridCol w:w="753"/>
        <w:gridCol w:w="759"/>
        <w:gridCol w:w="766"/>
        <w:gridCol w:w="753"/>
        <w:gridCol w:w="753"/>
        <w:gridCol w:w="759"/>
        <w:gridCol w:w="846"/>
        <w:gridCol w:w="760"/>
        <w:gridCol w:w="756"/>
        <w:gridCol w:w="762"/>
        <w:gridCol w:w="760"/>
      </w:tblGrid>
      <w:tr w14:paraId="2973B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9192" w:type="dxa"/>
            <w:gridSpan w:val="12"/>
            <w:tcBorders>
              <w:top w:val="single" w:color="000000" w:sz="4" w:space="0"/>
              <w:left w:val="single" w:color="000000" w:sz="4" w:space="0"/>
              <w:bottom w:val="single" w:color="000000" w:sz="4" w:space="0"/>
              <w:right w:val="single" w:color="000000" w:sz="4" w:space="0"/>
            </w:tcBorders>
            <w:shd w:val="clear"/>
            <w:vAlign w:val="center"/>
          </w:tcPr>
          <w:p w14:paraId="04A0A87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(2025年度）</w:t>
            </w:r>
          </w:p>
        </w:tc>
      </w:tr>
      <w:tr w14:paraId="6CC38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52EEF0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7660" w:type="dxa"/>
            <w:gridSpan w:val="10"/>
            <w:tcBorders>
              <w:top w:val="single" w:color="000000" w:sz="4" w:space="0"/>
              <w:left w:val="single" w:color="000000" w:sz="4" w:space="0"/>
              <w:bottom w:val="single" w:color="000000" w:sz="4" w:space="0"/>
              <w:right w:val="single" w:color="000000" w:sz="4" w:space="0"/>
            </w:tcBorders>
            <w:shd w:val="clear"/>
            <w:vAlign w:val="center"/>
          </w:tcPr>
          <w:p w14:paraId="4DE742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特种设备安全监管经费</w:t>
            </w:r>
          </w:p>
        </w:tc>
      </w:tr>
      <w:tr w14:paraId="0D1CD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1C30F1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3064" w:type="dxa"/>
            <w:gridSpan w:val="4"/>
            <w:tcBorders>
              <w:top w:val="single" w:color="000000" w:sz="4" w:space="0"/>
              <w:left w:val="single" w:color="000000" w:sz="4" w:space="0"/>
              <w:bottom w:val="single" w:color="000000" w:sz="4" w:space="0"/>
              <w:right w:val="single" w:color="000000" w:sz="4" w:space="0"/>
            </w:tcBorders>
            <w:shd w:val="clear"/>
            <w:vAlign w:val="center"/>
          </w:tcPr>
          <w:p w14:paraId="12A3D9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内蒙古自治区市场监督管理局部门</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3296C0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3064" w:type="dxa"/>
            <w:gridSpan w:val="4"/>
            <w:tcBorders>
              <w:top w:val="single" w:color="000000" w:sz="4" w:space="0"/>
              <w:left w:val="single" w:color="000000" w:sz="4" w:space="0"/>
              <w:bottom w:val="single" w:color="000000" w:sz="4" w:space="0"/>
              <w:right w:val="single" w:color="000000" w:sz="4" w:space="0"/>
            </w:tcBorders>
            <w:shd w:val="clear"/>
            <w:vAlign w:val="center"/>
          </w:tcPr>
          <w:p w14:paraId="239D5F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内蒙古自治区特种设备检验研究院阿拉善分院</w:t>
            </w:r>
          </w:p>
        </w:tc>
      </w:tr>
      <w:tr w14:paraId="7A74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532"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7DAC02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71034B73">
            <w:pP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2A37F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5E577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3BA84E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54C94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7C000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1399B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2BDBE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532"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37D68B1">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62E05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1EC794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320.06</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16A5FD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320.06</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35810A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319.06</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25420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6AB588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99.69</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76E9F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9.97</w:t>
            </w:r>
          </w:p>
        </w:tc>
      </w:tr>
      <w:tr w14:paraId="029AC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532"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90C4B5F">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725BE6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0B6E15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253</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523AF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253</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65D28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A57B1E">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6D771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C528E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13B5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2"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9926472">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5CD99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4D605B8F">
            <w:pPr>
              <w:rPr>
                <w:rFonts w:hint="eastAsia" w:ascii="宋体" w:hAnsi="宋体" w:eastAsia="宋体" w:cs="宋体"/>
                <w:i w:val="0"/>
                <w:iCs w:val="0"/>
                <w:color w:val="000000"/>
                <w:sz w:val="18"/>
                <w:szCs w:val="18"/>
                <w:u w:val="none"/>
              </w:rPr>
            </w:pP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30D225F9">
            <w:pPr>
              <w:jc w:val="center"/>
              <w:rPr>
                <w:rFonts w:hint="eastAsia" w:ascii="宋体" w:hAnsi="宋体" w:eastAsia="宋体" w:cs="宋体"/>
                <w:i w:val="0"/>
                <w:iCs w:val="0"/>
                <w:color w:val="000000"/>
                <w:sz w:val="18"/>
                <w:szCs w:val="18"/>
                <w:u w:val="none"/>
              </w:rPr>
            </w:pP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6147D10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D32C4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1A4C447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1EA85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AE0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532"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15B9F7D">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5E62E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1E10A4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67.06</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4F7B3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67.06</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03379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67.06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57243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532" w:type="dxa"/>
            <w:gridSpan w:val="2"/>
            <w:tcBorders>
              <w:top w:val="single" w:color="000000" w:sz="4" w:space="0"/>
              <w:left w:val="single" w:color="000000" w:sz="4" w:space="0"/>
              <w:bottom w:val="single" w:color="000000" w:sz="4" w:space="0"/>
              <w:right w:val="single" w:color="000000" w:sz="4" w:space="0"/>
            </w:tcBorders>
            <w:shd w:val="clear"/>
            <w:vAlign w:val="center"/>
          </w:tcPr>
          <w:p w14:paraId="7232E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4250A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5FD6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532"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5E0FE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3830" w:type="dxa"/>
            <w:gridSpan w:val="5"/>
            <w:tcBorders>
              <w:top w:val="single" w:color="000000" w:sz="4" w:space="0"/>
              <w:left w:val="single" w:color="000000" w:sz="4" w:space="0"/>
              <w:bottom w:val="single" w:color="000000" w:sz="4" w:space="0"/>
              <w:right w:val="single" w:color="000000" w:sz="4" w:space="0"/>
            </w:tcBorders>
            <w:shd w:val="clear"/>
            <w:vAlign w:val="center"/>
          </w:tcPr>
          <w:p w14:paraId="35CD8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3830" w:type="dxa"/>
            <w:gridSpan w:val="5"/>
            <w:tcBorders>
              <w:top w:val="single" w:color="000000" w:sz="4" w:space="0"/>
              <w:left w:val="single" w:color="000000" w:sz="4" w:space="0"/>
              <w:bottom w:val="single" w:color="000000" w:sz="4" w:space="0"/>
              <w:right w:val="single" w:color="000000" w:sz="4" w:space="0"/>
            </w:tcBorders>
            <w:shd w:val="clear"/>
            <w:vAlign w:val="center"/>
          </w:tcPr>
          <w:p w14:paraId="0C54D7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2F486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20" w:hRule="atLeast"/>
        </w:trPr>
        <w:tc>
          <w:tcPr>
            <w:tcW w:w="1532"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3B769C5">
            <w:pPr>
              <w:jc w:val="center"/>
              <w:rPr>
                <w:rFonts w:hint="eastAsia" w:ascii="宋体" w:hAnsi="宋体" w:eastAsia="宋体" w:cs="宋体"/>
                <w:i w:val="0"/>
                <w:iCs w:val="0"/>
                <w:color w:val="000000"/>
                <w:sz w:val="18"/>
                <w:szCs w:val="18"/>
                <w:u w:val="none"/>
              </w:rPr>
            </w:pPr>
          </w:p>
        </w:tc>
        <w:tc>
          <w:tcPr>
            <w:tcW w:w="3830" w:type="dxa"/>
            <w:gridSpan w:val="5"/>
            <w:tcBorders>
              <w:top w:val="single" w:color="000000" w:sz="4" w:space="0"/>
              <w:left w:val="single" w:color="000000" w:sz="4" w:space="0"/>
              <w:bottom w:val="single" w:color="000000" w:sz="4" w:space="0"/>
              <w:right w:val="single" w:color="000000" w:sz="4" w:space="0"/>
            </w:tcBorders>
            <w:shd w:val="clear"/>
            <w:vAlign w:val="center"/>
          </w:tcPr>
          <w:p w14:paraId="3574E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根据《特种设备安全监察条例》等相关规定，通过开展锅炉压力容器与特种设备安全监管，提高人员专业技能，为行政监管部门提供技术支撑，防止和减少事故发生，保障人民群众生命和财产安全。</w:t>
            </w:r>
          </w:p>
        </w:tc>
        <w:tc>
          <w:tcPr>
            <w:tcW w:w="3830" w:type="dxa"/>
            <w:gridSpan w:val="5"/>
            <w:tcBorders>
              <w:top w:val="single" w:color="000000" w:sz="4" w:space="0"/>
              <w:left w:val="single" w:color="000000" w:sz="4" w:space="0"/>
              <w:bottom w:val="single" w:color="000000" w:sz="4" w:space="0"/>
              <w:right w:val="single" w:color="000000" w:sz="4" w:space="0"/>
            </w:tcBorders>
            <w:shd w:val="clear"/>
            <w:vAlign w:val="center"/>
          </w:tcPr>
          <w:p w14:paraId="598A1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绩效目标完成情况2025年开展特种设备检验检测，完成各类特种设备年度检验及委托检验共计4398台（套），压力管道年度检查8.27万米，检验报告发放率达、被检单位满意度均到99%以上，全年无投诉；提高了企业安全意识，落实了企业主体责任。有效的开展了单位职工取换证工作，新增检验设备43台（套），从人员资质和技术方面，保障了特种设备检验工作的顺利开展，确保了人民生命财产权益，指标完成情况良好，有效的提高检验人员水及特种设备检验能力。</w:t>
            </w:r>
          </w:p>
        </w:tc>
      </w:tr>
      <w:tr w14:paraId="489B2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66" w:type="dxa"/>
            <w:tcBorders>
              <w:top w:val="single" w:color="000000" w:sz="4" w:space="0"/>
              <w:left w:val="single" w:color="000000" w:sz="4" w:space="0"/>
              <w:bottom w:val="single" w:color="000000" w:sz="4" w:space="0"/>
              <w:right w:val="single" w:color="000000" w:sz="4" w:space="0"/>
            </w:tcBorders>
            <w:shd w:val="clear"/>
            <w:vAlign w:val="center"/>
          </w:tcPr>
          <w:p w14:paraId="4AFF6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3ED24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69C14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03BD7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3EAB1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3D6C5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4CEE9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7A2DDE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38BAE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0C62E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7E2AE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037DCC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6EB2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restart"/>
            <w:tcBorders>
              <w:top w:val="single" w:color="000000" w:sz="4" w:space="0"/>
              <w:left w:val="single" w:color="000000" w:sz="4" w:space="0"/>
              <w:bottom w:val="nil"/>
              <w:right w:val="single" w:color="000000" w:sz="4" w:space="0"/>
            </w:tcBorders>
            <w:shd w:val="clear"/>
            <w:vAlign w:val="center"/>
          </w:tcPr>
          <w:p w14:paraId="029C4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66" w:type="dxa"/>
            <w:vMerge w:val="restart"/>
            <w:tcBorders>
              <w:top w:val="single" w:color="000000" w:sz="4" w:space="0"/>
              <w:left w:val="single" w:color="000000" w:sz="4" w:space="0"/>
              <w:bottom w:val="nil"/>
              <w:right w:val="single" w:color="000000" w:sz="4" w:space="0"/>
            </w:tcBorders>
            <w:shd w:val="clear"/>
            <w:vAlign w:val="center"/>
          </w:tcPr>
          <w:p w14:paraId="2A78E3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766" w:type="dxa"/>
            <w:vMerge w:val="restart"/>
            <w:tcBorders>
              <w:top w:val="single" w:color="000000" w:sz="4" w:space="0"/>
              <w:left w:val="single" w:color="000000" w:sz="4" w:space="0"/>
              <w:bottom w:val="nil"/>
              <w:right w:val="single" w:color="000000" w:sz="4" w:space="0"/>
            </w:tcBorders>
            <w:shd w:val="clear"/>
            <w:vAlign w:val="center"/>
          </w:tcPr>
          <w:p w14:paraId="0BC17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66" w:type="dxa"/>
            <w:tcBorders>
              <w:top w:val="single" w:color="000000" w:sz="4" w:space="0"/>
              <w:left w:val="single" w:color="000000" w:sz="4" w:space="0"/>
              <w:bottom w:val="nil"/>
              <w:right w:val="single" w:color="000000" w:sz="4" w:space="0"/>
            </w:tcBorders>
            <w:shd w:val="clear"/>
            <w:vAlign w:val="center"/>
          </w:tcPr>
          <w:p w14:paraId="3F300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电梯</w:t>
            </w:r>
          </w:p>
        </w:tc>
        <w:tc>
          <w:tcPr>
            <w:tcW w:w="766" w:type="dxa"/>
            <w:tcBorders>
              <w:top w:val="single" w:color="000000" w:sz="4" w:space="0"/>
              <w:left w:val="single" w:color="000000" w:sz="4" w:space="0"/>
              <w:bottom w:val="nil"/>
              <w:right w:val="single" w:color="000000" w:sz="4" w:space="0"/>
            </w:tcBorders>
            <w:shd w:val="clear"/>
            <w:vAlign w:val="center"/>
          </w:tcPr>
          <w:p w14:paraId="621C5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6FD1B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4F428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w:t>
            </w:r>
          </w:p>
        </w:tc>
        <w:tc>
          <w:tcPr>
            <w:tcW w:w="766" w:type="dxa"/>
            <w:tcBorders>
              <w:top w:val="single" w:color="000000" w:sz="4" w:space="0"/>
              <w:left w:val="single" w:color="000000" w:sz="4" w:space="0"/>
              <w:bottom w:val="nil"/>
              <w:right w:val="single" w:color="000000" w:sz="4" w:space="0"/>
            </w:tcBorders>
            <w:shd w:val="clear"/>
            <w:vAlign w:val="center"/>
          </w:tcPr>
          <w:p w14:paraId="226E3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146</w:t>
            </w:r>
          </w:p>
        </w:tc>
        <w:tc>
          <w:tcPr>
            <w:tcW w:w="766" w:type="dxa"/>
            <w:tcBorders>
              <w:top w:val="single" w:color="000000" w:sz="4" w:space="0"/>
              <w:left w:val="single" w:color="000000" w:sz="4" w:space="0"/>
              <w:bottom w:val="nil"/>
              <w:right w:val="single" w:color="000000" w:sz="4" w:space="0"/>
            </w:tcBorders>
            <w:shd w:val="clear"/>
            <w:vAlign w:val="center"/>
          </w:tcPr>
          <w:p w14:paraId="150FC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766" w:type="dxa"/>
            <w:tcBorders>
              <w:top w:val="single" w:color="000000" w:sz="4" w:space="0"/>
              <w:left w:val="single" w:color="000000" w:sz="4" w:space="0"/>
              <w:bottom w:val="nil"/>
              <w:right w:val="single" w:color="000000" w:sz="4" w:space="0"/>
            </w:tcBorders>
            <w:shd w:val="clear"/>
            <w:vAlign w:val="center"/>
          </w:tcPr>
          <w:p w14:paraId="44125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3192E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1.95</w:t>
            </w:r>
          </w:p>
        </w:tc>
        <w:tc>
          <w:tcPr>
            <w:tcW w:w="766" w:type="dxa"/>
            <w:tcBorders>
              <w:top w:val="single" w:color="000000" w:sz="4" w:space="0"/>
              <w:left w:val="single" w:color="000000" w:sz="4" w:space="0"/>
              <w:bottom w:val="nil"/>
              <w:right w:val="single" w:color="000000" w:sz="4" w:space="0"/>
            </w:tcBorders>
            <w:shd w:val="clear"/>
            <w:vAlign w:val="center"/>
          </w:tcPr>
          <w:p w14:paraId="00A7BAC1">
            <w:pPr>
              <w:jc w:val="center"/>
              <w:rPr>
                <w:rFonts w:hint="eastAsia" w:ascii="宋体" w:hAnsi="宋体" w:eastAsia="宋体" w:cs="宋体"/>
                <w:i w:val="0"/>
                <w:iCs w:val="0"/>
                <w:color w:val="000000"/>
                <w:sz w:val="18"/>
                <w:szCs w:val="18"/>
                <w:u w:val="none"/>
              </w:rPr>
            </w:pPr>
          </w:p>
        </w:tc>
      </w:tr>
      <w:tr w14:paraId="67E16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6010FC7A">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312A4E26">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7ABFCE39">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22376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起重机械</w:t>
            </w:r>
          </w:p>
        </w:tc>
        <w:tc>
          <w:tcPr>
            <w:tcW w:w="766" w:type="dxa"/>
            <w:tcBorders>
              <w:top w:val="single" w:color="000000" w:sz="4" w:space="0"/>
              <w:left w:val="single" w:color="000000" w:sz="4" w:space="0"/>
              <w:bottom w:val="nil"/>
              <w:right w:val="single" w:color="000000" w:sz="4" w:space="0"/>
            </w:tcBorders>
            <w:shd w:val="clear"/>
            <w:vAlign w:val="center"/>
          </w:tcPr>
          <w:p w14:paraId="1F5E4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27A0C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4C307A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450</w:t>
            </w:r>
          </w:p>
        </w:tc>
        <w:tc>
          <w:tcPr>
            <w:tcW w:w="766" w:type="dxa"/>
            <w:tcBorders>
              <w:top w:val="single" w:color="000000" w:sz="4" w:space="0"/>
              <w:left w:val="single" w:color="000000" w:sz="4" w:space="0"/>
              <w:bottom w:val="nil"/>
              <w:right w:val="single" w:color="000000" w:sz="4" w:space="0"/>
            </w:tcBorders>
            <w:shd w:val="clear"/>
            <w:vAlign w:val="center"/>
          </w:tcPr>
          <w:p w14:paraId="76A90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491</w:t>
            </w:r>
          </w:p>
        </w:tc>
        <w:tc>
          <w:tcPr>
            <w:tcW w:w="766" w:type="dxa"/>
            <w:tcBorders>
              <w:top w:val="single" w:color="000000" w:sz="4" w:space="0"/>
              <w:left w:val="single" w:color="000000" w:sz="4" w:space="0"/>
              <w:bottom w:val="nil"/>
              <w:right w:val="single" w:color="000000" w:sz="4" w:space="0"/>
            </w:tcBorders>
            <w:shd w:val="clear"/>
            <w:vAlign w:val="center"/>
          </w:tcPr>
          <w:p w14:paraId="72FA9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766" w:type="dxa"/>
            <w:tcBorders>
              <w:top w:val="single" w:color="000000" w:sz="4" w:space="0"/>
              <w:left w:val="single" w:color="000000" w:sz="4" w:space="0"/>
              <w:bottom w:val="nil"/>
              <w:right w:val="single" w:color="000000" w:sz="4" w:space="0"/>
            </w:tcBorders>
            <w:shd w:val="clear"/>
            <w:vAlign w:val="center"/>
          </w:tcPr>
          <w:p w14:paraId="3AA6C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3531D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3AA92883">
            <w:pPr>
              <w:jc w:val="center"/>
              <w:rPr>
                <w:rFonts w:hint="eastAsia" w:ascii="宋体" w:hAnsi="宋体" w:eastAsia="宋体" w:cs="宋体"/>
                <w:i w:val="0"/>
                <w:iCs w:val="0"/>
                <w:color w:val="000000"/>
                <w:sz w:val="18"/>
                <w:szCs w:val="18"/>
                <w:u w:val="none"/>
              </w:rPr>
            </w:pPr>
          </w:p>
        </w:tc>
      </w:tr>
      <w:tr w14:paraId="44031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43D925B7">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1883E9A9">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6D7C648D">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239BA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场内机动车辆</w:t>
            </w:r>
          </w:p>
        </w:tc>
        <w:tc>
          <w:tcPr>
            <w:tcW w:w="766" w:type="dxa"/>
            <w:tcBorders>
              <w:top w:val="single" w:color="000000" w:sz="4" w:space="0"/>
              <w:left w:val="single" w:color="000000" w:sz="4" w:space="0"/>
              <w:bottom w:val="nil"/>
              <w:right w:val="single" w:color="000000" w:sz="4" w:space="0"/>
            </w:tcBorders>
            <w:shd w:val="clear"/>
            <w:vAlign w:val="center"/>
          </w:tcPr>
          <w:p w14:paraId="0B441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2B9CD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42DA9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1100</w:t>
            </w:r>
          </w:p>
        </w:tc>
        <w:tc>
          <w:tcPr>
            <w:tcW w:w="766" w:type="dxa"/>
            <w:tcBorders>
              <w:top w:val="single" w:color="000000" w:sz="4" w:space="0"/>
              <w:left w:val="single" w:color="000000" w:sz="4" w:space="0"/>
              <w:bottom w:val="nil"/>
              <w:right w:val="single" w:color="000000" w:sz="4" w:space="0"/>
            </w:tcBorders>
            <w:shd w:val="clear"/>
            <w:vAlign w:val="center"/>
          </w:tcPr>
          <w:p w14:paraId="6871D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w:t>
            </w:r>
          </w:p>
        </w:tc>
        <w:tc>
          <w:tcPr>
            <w:tcW w:w="766" w:type="dxa"/>
            <w:tcBorders>
              <w:top w:val="single" w:color="000000" w:sz="4" w:space="0"/>
              <w:left w:val="single" w:color="000000" w:sz="4" w:space="0"/>
              <w:bottom w:val="nil"/>
              <w:right w:val="single" w:color="000000" w:sz="4" w:space="0"/>
            </w:tcBorders>
            <w:shd w:val="clear"/>
            <w:vAlign w:val="center"/>
          </w:tcPr>
          <w:p w14:paraId="4FFB7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766" w:type="dxa"/>
            <w:tcBorders>
              <w:top w:val="single" w:color="000000" w:sz="4" w:space="0"/>
              <w:left w:val="single" w:color="000000" w:sz="4" w:space="0"/>
              <w:bottom w:val="nil"/>
              <w:right w:val="single" w:color="000000" w:sz="4" w:space="0"/>
            </w:tcBorders>
            <w:shd w:val="clear"/>
            <w:vAlign w:val="center"/>
          </w:tcPr>
          <w:p w14:paraId="51056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3DF4E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1.84</w:t>
            </w:r>
          </w:p>
        </w:tc>
        <w:tc>
          <w:tcPr>
            <w:tcW w:w="766" w:type="dxa"/>
            <w:tcBorders>
              <w:top w:val="single" w:color="000000" w:sz="4" w:space="0"/>
              <w:left w:val="single" w:color="000000" w:sz="4" w:space="0"/>
              <w:bottom w:val="nil"/>
              <w:right w:val="single" w:color="000000" w:sz="4" w:space="0"/>
            </w:tcBorders>
            <w:shd w:val="clear"/>
            <w:vAlign w:val="center"/>
          </w:tcPr>
          <w:p w14:paraId="4EFED409">
            <w:pPr>
              <w:jc w:val="center"/>
              <w:rPr>
                <w:rFonts w:hint="eastAsia" w:ascii="宋体" w:hAnsi="宋体" w:eastAsia="宋体" w:cs="宋体"/>
                <w:i w:val="0"/>
                <w:iCs w:val="0"/>
                <w:color w:val="000000"/>
                <w:sz w:val="18"/>
                <w:szCs w:val="18"/>
                <w:u w:val="none"/>
              </w:rPr>
            </w:pPr>
          </w:p>
        </w:tc>
      </w:tr>
      <w:tr w14:paraId="639E9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05A28836">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470AEB46">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0DAD3671">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681F0E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压力容器定期检验</w:t>
            </w:r>
          </w:p>
        </w:tc>
        <w:tc>
          <w:tcPr>
            <w:tcW w:w="766" w:type="dxa"/>
            <w:tcBorders>
              <w:top w:val="single" w:color="000000" w:sz="4" w:space="0"/>
              <w:left w:val="single" w:color="000000" w:sz="4" w:space="0"/>
              <w:bottom w:val="nil"/>
              <w:right w:val="single" w:color="000000" w:sz="4" w:space="0"/>
            </w:tcBorders>
            <w:shd w:val="clear"/>
            <w:vAlign w:val="center"/>
          </w:tcPr>
          <w:p w14:paraId="68A8C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5F9EF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2C342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2930</w:t>
            </w:r>
          </w:p>
        </w:tc>
        <w:tc>
          <w:tcPr>
            <w:tcW w:w="766" w:type="dxa"/>
            <w:tcBorders>
              <w:top w:val="single" w:color="000000" w:sz="4" w:space="0"/>
              <w:left w:val="single" w:color="000000" w:sz="4" w:space="0"/>
              <w:bottom w:val="nil"/>
              <w:right w:val="single" w:color="000000" w:sz="4" w:space="0"/>
            </w:tcBorders>
            <w:shd w:val="clear"/>
            <w:vAlign w:val="center"/>
          </w:tcPr>
          <w:p w14:paraId="57AA0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2535</w:t>
            </w:r>
          </w:p>
        </w:tc>
        <w:tc>
          <w:tcPr>
            <w:tcW w:w="766" w:type="dxa"/>
            <w:tcBorders>
              <w:top w:val="single" w:color="000000" w:sz="4" w:space="0"/>
              <w:left w:val="single" w:color="000000" w:sz="4" w:space="0"/>
              <w:bottom w:val="nil"/>
              <w:right w:val="single" w:color="000000" w:sz="4" w:space="0"/>
            </w:tcBorders>
            <w:shd w:val="clear"/>
            <w:vAlign w:val="center"/>
          </w:tcPr>
          <w:p w14:paraId="0AD13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766" w:type="dxa"/>
            <w:tcBorders>
              <w:top w:val="single" w:color="000000" w:sz="4" w:space="0"/>
              <w:left w:val="single" w:color="000000" w:sz="4" w:space="0"/>
              <w:bottom w:val="nil"/>
              <w:right w:val="single" w:color="000000" w:sz="4" w:space="0"/>
            </w:tcBorders>
            <w:shd w:val="clear"/>
            <w:vAlign w:val="center"/>
          </w:tcPr>
          <w:p w14:paraId="4F197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61085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0.87</w:t>
            </w:r>
          </w:p>
        </w:tc>
        <w:tc>
          <w:tcPr>
            <w:tcW w:w="766" w:type="dxa"/>
            <w:tcBorders>
              <w:top w:val="single" w:color="000000" w:sz="4" w:space="0"/>
              <w:left w:val="single" w:color="000000" w:sz="4" w:space="0"/>
              <w:bottom w:val="nil"/>
              <w:right w:val="single" w:color="000000" w:sz="4" w:space="0"/>
            </w:tcBorders>
            <w:shd w:val="clear"/>
            <w:vAlign w:val="center"/>
          </w:tcPr>
          <w:p w14:paraId="2C271506">
            <w:pPr>
              <w:jc w:val="center"/>
              <w:rPr>
                <w:rFonts w:hint="eastAsia" w:ascii="宋体" w:hAnsi="宋体" w:eastAsia="宋体" w:cs="宋体"/>
                <w:i w:val="0"/>
                <w:iCs w:val="0"/>
                <w:color w:val="000000"/>
                <w:sz w:val="18"/>
                <w:szCs w:val="18"/>
                <w:u w:val="none"/>
              </w:rPr>
            </w:pPr>
          </w:p>
        </w:tc>
      </w:tr>
      <w:tr w14:paraId="381D4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4584A7CA">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1D0861C0">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73C7F4E6">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3E739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工业锅炉定期检验</w:t>
            </w:r>
          </w:p>
        </w:tc>
        <w:tc>
          <w:tcPr>
            <w:tcW w:w="766" w:type="dxa"/>
            <w:tcBorders>
              <w:top w:val="single" w:color="000000" w:sz="4" w:space="0"/>
              <w:left w:val="single" w:color="000000" w:sz="4" w:space="0"/>
              <w:bottom w:val="nil"/>
              <w:right w:val="single" w:color="000000" w:sz="4" w:space="0"/>
            </w:tcBorders>
            <w:shd w:val="clear"/>
            <w:vAlign w:val="center"/>
          </w:tcPr>
          <w:p w14:paraId="3F9047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110717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6F989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110</w:t>
            </w:r>
          </w:p>
        </w:tc>
        <w:tc>
          <w:tcPr>
            <w:tcW w:w="766" w:type="dxa"/>
            <w:tcBorders>
              <w:top w:val="single" w:color="000000" w:sz="4" w:space="0"/>
              <w:left w:val="single" w:color="000000" w:sz="4" w:space="0"/>
              <w:bottom w:val="nil"/>
              <w:right w:val="single" w:color="000000" w:sz="4" w:space="0"/>
            </w:tcBorders>
            <w:shd w:val="clear"/>
            <w:vAlign w:val="center"/>
          </w:tcPr>
          <w:p w14:paraId="3D578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w:t>
            </w:r>
          </w:p>
        </w:tc>
        <w:tc>
          <w:tcPr>
            <w:tcW w:w="766" w:type="dxa"/>
            <w:tcBorders>
              <w:top w:val="single" w:color="000000" w:sz="4" w:space="0"/>
              <w:left w:val="single" w:color="000000" w:sz="4" w:space="0"/>
              <w:bottom w:val="nil"/>
              <w:right w:val="single" w:color="000000" w:sz="4" w:space="0"/>
            </w:tcBorders>
            <w:shd w:val="clear"/>
            <w:vAlign w:val="center"/>
          </w:tcPr>
          <w:p w14:paraId="5F079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766" w:type="dxa"/>
            <w:tcBorders>
              <w:top w:val="single" w:color="000000" w:sz="4" w:space="0"/>
              <w:left w:val="single" w:color="000000" w:sz="4" w:space="0"/>
              <w:bottom w:val="nil"/>
              <w:right w:val="single" w:color="000000" w:sz="4" w:space="0"/>
            </w:tcBorders>
            <w:shd w:val="clear"/>
            <w:vAlign w:val="center"/>
          </w:tcPr>
          <w:p w14:paraId="5A47E9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5C466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0.74</w:t>
            </w:r>
          </w:p>
        </w:tc>
        <w:tc>
          <w:tcPr>
            <w:tcW w:w="766" w:type="dxa"/>
            <w:tcBorders>
              <w:top w:val="single" w:color="000000" w:sz="4" w:space="0"/>
              <w:left w:val="single" w:color="000000" w:sz="4" w:space="0"/>
              <w:bottom w:val="nil"/>
              <w:right w:val="single" w:color="000000" w:sz="4" w:space="0"/>
            </w:tcBorders>
            <w:shd w:val="clear"/>
            <w:vAlign w:val="center"/>
          </w:tcPr>
          <w:p w14:paraId="6D82F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部分企业停产，导致检验数量减少</w:t>
            </w:r>
          </w:p>
        </w:tc>
      </w:tr>
      <w:tr w14:paraId="346D2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4CDADE6C">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56001345">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716C9CC8">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0ABFE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工业锅炉监督检验</w:t>
            </w:r>
          </w:p>
        </w:tc>
        <w:tc>
          <w:tcPr>
            <w:tcW w:w="766" w:type="dxa"/>
            <w:tcBorders>
              <w:top w:val="single" w:color="000000" w:sz="4" w:space="0"/>
              <w:left w:val="single" w:color="000000" w:sz="4" w:space="0"/>
              <w:bottom w:val="nil"/>
              <w:right w:val="single" w:color="000000" w:sz="4" w:space="0"/>
            </w:tcBorders>
            <w:shd w:val="clear"/>
            <w:vAlign w:val="center"/>
          </w:tcPr>
          <w:p w14:paraId="44E0F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0837E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1C380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66" w:type="dxa"/>
            <w:tcBorders>
              <w:top w:val="single" w:color="000000" w:sz="4" w:space="0"/>
              <w:left w:val="single" w:color="000000" w:sz="4" w:space="0"/>
              <w:bottom w:val="nil"/>
              <w:right w:val="single" w:color="000000" w:sz="4" w:space="0"/>
            </w:tcBorders>
            <w:shd w:val="clear"/>
            <w:vAlign w:val="center"/>
          </w:tcPr>
          <w:p w14:paraId="67C4F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w:t>
            </w:r>
          </w:p>
        </w:tc>
        <w:tc>
          <w:tcPr>
            <w:tcW w:w="766" w:type="dxa"/>
            <w:tcBorders>
              <w:top w:val="single" w:color="000000" w:sz="4" w:space="0"/>
              <w:left w:val="single" w:color="000000" w:sz="4" w:space="0"/>
              <w:bottom w:val="nil"/>
              <w:right w:val="single" w:color="000000" w:sz="4" w:space="0"/>
            </w:tcBorders>
            <w:shd w:val="clear"/>
            <w:vAlign w:val="center"/>
          </w:tcPr>
          <w:p w14:paraId="4C489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766" w:type="dxa"/>
            <w:tcBorders>
              <w:top w:val="single" w:color="000000" w:sz="4" w:space="0"/>
              <w:left w:val="single" w:color="000000" w:sz="4" w:space="0"/>
              <w:bottom w:val="nil"/>
              <w:right w:val="single" w:color="000000" w:sz="4" w:space="0"/>
            </w:tcBorders>
            <w:shd w:val="clear"/>
            <w:vAlign w:val="center"/>
          </w:tcPr>
          <w:p w14:paraId="7CA0A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4C0D2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0A5BDC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新建企业增多，新安装设备增加</w:t>
            </w:r>
          </w:p>
        </w:tc>
      </w:tr>
      <w:tr w14:paraId="26196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0407FA93">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3950EB34">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433205DC">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4BC22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专业人员业务技能培训数量</w:t>
            </w:r>
          </w:p>
        </w:tc>
        <w:tc>
          <w:tcPr>
            <w:tcW w:w="766" w:type="dxa"/>
            <w:tcBorders>
              <w:top w:val="single" w:color="000000" w:sz="4" w:space="0"/>
              <w:left w:val="single" w:color="000000" w:sz="4" w:space="0"/>
              <w:bottom w:val="nil"/>
              <w:right w:val="single" w:color="000000" w:sz="4" w:space="0"/>
            </w:tcBorders>
            <w:shd w:val="clear"/>
            <w:vAlign w:val="center"/>
          </w:tcPr>
          <w:p w14:paraId="27808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57D4E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05D5B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w:t>
            </w:r>
          </w:p>
        </w:tc>
        <w:tc>
          <w:tcPr>
            <w:tcW w:w="766" w:type="dxa"/>
            <w:tcBorders>
              <w:top w:val="single" w:color="000000" w:sz="4" w:space="0"/>
              <w:left w:val="single" w:color="000000" w:sz="4" w:space="0"/>
              <w:bottom w:val="nil"/>
              <w:right w:val="single" w:color="000000" w:sz="4" w:space="0"/>
            </w:tcBorders>
            <w:shd w:val="clear"/>
            <w:vAlign w:val="center"/>
          </w:tcPr>
          <w:p w14:paraId="434F19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73</w:t>
            </w:r>
          </w:p>
        </w:tc>
        <w:tc>
          <w:tcPr>
            <w:tcW w:w="766" w:type="dxa"/>
            <w:tcBorders>
              <w:top w:val="single" w:color="000000" w:sz="4" w:space="0"/>
              <w:left w:val="single" w:color="000000" w:sz="4" w:space="0"/>
              <w:bottom w:val="nil"/>
              <w:right w:val="single" w:color="000000" w:sz="4" w:space="0"/>
            </w:tcBorders>
            <w:shd w:val="clear"/>
            <w:vAlign w:val="center"/>
          </w:tcPr>
          <w:p w14:paraId="3F138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人次</w:t>
            </w:r>
          </w:p>
        </w:tc>
        <w:tc>
          <w:tcPr>
            <w:tcW w:w="766" w:type="dxa"/>
            <w:tcBorders>
              <w:top w:val="single" w:color="000000" w:sz="4" w:space="0"/>
              <w:left w:val="single" w:color="000000" w:sz="4" w:space="0"/>
              <w:bottom w:val="nil"/>
              <w:right w:val="single" w:color="000000" w:sz="4" w:space="0"/>
            </w:tcBorders>
            <w:shd w:val="clear"/>
            <w:vAlign w:val="center"/>
          </w:tcPr>
          <w:p w14:paraId="67333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0CB06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04781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单位加强质量管理</w:t>
            </w:r>
          </w:p>
        </w:tc>
      </w:tr>
      <w:tr w14:paraId="2C95C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2E472DD9">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58F0060F">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7319741C">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6A3A1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电站锅炉定期检验</w:t>
            </w:r>
          </w:p>
        </w:tc>
        <w:tc>
          <w:tcPr>
            <w:tcW w:w="766" w:type="dxa"/>
            <w:tcBorders>
              <w:top w:val="single" w:color="000000" w:sz="4" w:space="0"/>
              <w:left w:val="single" w:color="000000" w:sz="4" w:space="0"/>
              <w:bottom w:val="nil"/>
              <w:right w:val="single" w:color="000000" w:sz="4" w:space="0"/>
            </w:tcBorders>
            <w:shd w:val="clear"/>
            <w:vAlign w:val="center"/>
          </w:tcPr>
          <w:p w14:paraId="4152B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71DC9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7CCB4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766" w:type="dxa"/>
            <w:tcBorders>
              <w:top w:val="single" w:color="000000" w:sz="4" w:space="0"/>
              <w:left w:val="single" w:color="000000" w:sz="4" w:space="0"/>
              <w:bottom w:val="nil"/>
              <w:right w:val="single" w:color="000000" w:sz="4" w:space="0"/>
            </w:tcBorders>
            <w:shd w:val="clear"/>
            <w:vAlign w:val="center"/>
          </w:tcPr>
          <w:p w14:paraId="76E5A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276EC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766" w:type="dxa"/>
            <w:tcBorders>
              <w:top w:val="single" w:color="000000" w:sz="4" w:space="0"/>
              <w:left w:val="single" w:color="000000" w:sz="4" w:space="0"/>
              <w:bottom w:val="nil"/>
              <w:right w:val="single" w:color="000000" w:sz="4" w:space="0"/>
            </w:tcBorders>
            <w:shd w:val="clear"/>
            <w:vAlign w:val="center"/>
          </w:tcPr>
          <w:p w14:paraId="5A824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2B328D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0.1</w:t>
            </w:r>
          </w:p>
        </w:tc>
        <w:tc>
          <w:tcPr>
            <w:tcW w:w="766" w:type="dxa"/>
            <w:tcBorders>
              <w:top w:val="single" w:color="000000" w:sz="4" w:space="0"/>
              <w:left w:val="single" w:color="000000" w:sz="4" w:space="0"/>
              <w:bottom w:val="nil"/>
              <w:right w:val="single" w:color="000000" w:sz="4" w:space="0"/>
            </w:tcBorders>
            <w:shd w:val="clear"/>
            <w:vAlign w:val="center"/>
          </w:tcPr>
          <w:p w14:paraId="3E9C9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部分企业停产，导致检验数量减少</w:t>
            </w:r>
          </w:p>
        </w:tc>
      </w:tr>
      <w:tr w14:paraId="45283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7EEDA4F0">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21550390">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0E565283">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1EC78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电站锅炉监督检验</w:t>
            </w:r>
          </w:p>
        </w:tc>
        <w:tc>
          <w:tcPr>
            <w:tcW w:w="766" w:type="dxa"/>
            <w:tcBorders>
              <w:top w:val="single" w:color="000000" w:sz="4" w:space="0"/>
              <w:left w:val="single" w:color="000000" w:sz="4" w:space="0"/>
              <w:bottom w:val="nil"/>
              <w:right w:val="single" w:color="000000" w:sz="4" w:space="0"/>
            </w:tcBorders>
            <w:shd w:val="clear"/>
            <w:vAlign w:val="center"/>
          </w:tcPr>
          <w:p w14:paraId="0BD30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494F1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48872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66" w:type="dxa"/>
            <w:tcBorders>
              <w:top w:val="single" w:color="000000" w:sz="4" w:space="0"/>
              <w:left w:val="single" w:color="000000" w:sz="4" w:space="0"/>
              <w:bottom w:val="nil"/>
              <w:right w:val="single" w:color="000000" w:sz="4" w:space="0"/>
            </w:tcBorders>
            <w:shd w:val="clear"/>
            <w:vAlign w:val="center"/>
          </w:tcPr>
          <w:p w14:paraId="2997F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19910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766" w:type="dxa"/>
            <w:tcBorders>
              <w:top w:val="single" w:color="000000" w:sz="4" w:space="0"/>
              <w:left w:val="single" w:color="000000" w:sz="4" w:space="0"/>
              <w:bottom w:val="nil"/>
              <w:right w:val="single" w:color="000000" w:sz="4" w:space="0"/>
            </w:tcBorders>
            <w:shd w:val="clear"/>
            <w:vAlign w:val="center"/>
          </w:tcPr>
          <w:p w14:paraId="00E15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78C1A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0.67</w:t>
            </w:r>
          </w:p>
        </w:tc>
        <w:tc>
          <w:tcPr>
            <w:tcW w:w="766" w:type="dxa"/>
            <w:tcBorders>
              <w:top w:val="single" w:color="000000" w:sz="4" w:space="0"/>
              <w:left w:val="single" w:color="000000" w:sz="4" w:space="0"/>
              <w:bottom w:val="nil"/>
              <w:right w:val="single" w:color="000000" w:sz="4" w:space="0"/>
            </w:tcBorders>
            <w:shd w:val="clear"/>
            <w:vAlign w:val="center"/>
          </w:tcPr>
          <w:p w14:paraId="62DC7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企业停产未完成安装，不具备检验条件</w:t>
            </w:r>
          </w:p>
        </w:tc>
      </w:tr>
      <w:tr w14:paraId="7FBFB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438C17B0">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0D10B985">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72566368">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2223D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工业锅炉水质化验</w:t>
            </w:r>
          </w:p>
        </w:tc>
        <w:tc>
          <w:tcPr>
            <w:tcW w:w="766" w:type="dxa"/>
            <w:tcBorders>
              <w:top w:val="single" w:color="000000" w:sz="4" w:space="0"/>
              <w:left w:val="single" w:color="000000" w:sz="4" w:space="0"/>
              <w:bottom w:val="nil"/>
              <w:right w:val="single" w:color="000000" w:sz="4" w:space="0"/>
            </w:tcBorders>
            <w:shd w:val="clear"/>
            <w:vAlign w:val="center"/>
          </w:tcPr>
          <w:p w14:paraId="508B3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2DE99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47273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w:t>
            </w:r>
          </w:p>
        </w:tc>
        <w:tc>
          <w:tcPr>
            <w:tcW w:w="766" w:type="dxa"/>
            <w:tcBorders>
              <w:top w:val="single" w:color="000000" w:sz="4" w:space="0"/>
              <w:left w:val="single" w:color="000000" w:sz="4" w:space="0"/>
              <w:bottom w:val="nil"/>
              <w:right w:val="single" w:color="000000" w:sz="4" w:space="0"/>
            </w:tcBorders>
            <w:shd w:val="clear"/>
            <w:vAlign w:val="center"/>
          </w:tcPr>
          <w:p w14:paraId="44016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111</w:t>
            </w:r>
          </w:p>
        </w:tc>
        <w:tc>
          <w:tcPr>
            <w:tcW w:w="766" w:type="dxa"/>
            <w:tcBorders>
              <w:top w:val="single" w:color="000000" w:sz="4" w:space="0"/>
              <w:left w:val="single" w:color="000000" w:sz="4" w:space="0"/>
              <w:bottom w:val="nil"/>
              <w:right w:val="single" w:color="000000" w:sz="4" w:space="0"/>
            </w:tcBorders>
            <w:shd w:val="clear"/>
            <w:vAlign w:val="center"/>
          </w:tcPr>
          <w:p w14:paraId="18B8E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766" w:type="dxa"/>
            <w:tcBorders>
              <w:top w:val="single" w:color="000000" w:sz="4" w:space="0"/>
              <w:left w:val="single" w:color="000000" w:sz="4" w:space="0"/>
              <w:bottom w:val="nil"/>
              <w:right w:val="single" w:color="000000" w:sz="4" w:space="0"/>
            </w:tcBorders>
            <w:shd w:val="clear"/>
            <w:vAlign w:val="center"/>
          </w:tcPr>
          <w:p w14:paraId="57BC00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610FB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549EC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企业需求增加</w:t>
            </w:r>
          </w:p>
        </w:tc>
      </w:tr>
      <w:tr w14:paraId="2B3BF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1EA5D0F7">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34284931">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3D3F4D08">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10511C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压力管道定期检验</w:t>
            </w:r>
          </w:p>
        </w:tc>
        <w:tc>
          <w:tcPr>
            <w:tcW w:w="766" w:type="dxa"/>
            <w:tcBorders>
              <w:top w:val="single" w:color="000000" w:sz="4" w:space="0"/>
              <w:left w:val="single" w:color="000000" w:sz="4" w:space="0"/>
              <w:bottom w:val="nil"/>
              <w:right w:val="single" w:color="000000" w:sz="4" w:space="0"/>
            </w:tcBorders>
            <w:shd w:val="clear"/>
            <w:vAlign w:val="center"/>
          </w:tcPr>
          <w:p w14:paraId="077AC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1702A8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1A188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766" w:type="dxa"/>
            <w:tcBorders>
              <w:top w:val="single" w:color="000000" w:sz="4" w:space="0"/>
              <w:left w:val="single" w:color="000000" w:sz="4" w:space="0"/>
              <w:bottom w:val="nil"/>
              <w:right w:val="single" w:color="000000" w:sz="4" w:space="0"/>
            </w:tcBorders>
            <w:shd w:val="clear"/>
            <w:vAlign w:val="center"/>
          </w:tcPr>
          <w:p w14:paraId="13AB6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8.27</w:t>
            </w:r>
          </w:p>
        </w:tc>
        <w:tc>
          <w:tcPr>
            <w:tcW w:w="766" w:type="dxa"/>
            <w:tcBorders>
              <w:top w:val="single" w:color="000000" w:sz="4" w:space="0"/>
              <w:left w:val="single" w:color="000000" w:sz="4" w:space="0"/>
              <w:bottom w:val="nil"/>
              <w:right w:val="single" w:color="000000" w:sz="4" w:space="0"/>
            </w:tcBorders>
            <w:shd w:val="clear"/>
            <w:vAlign w:val="center"/>
          </w:tcPr>
          <w:p w14:paraId="2C288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万米</w:t>
            </w:r>
          </w:p>
        </w:tc>
        <w:tc>
          <w:tcPr>
            <w:tcW w:w="766" w:type="dxa"/>
            <w:tcBorders>
              <w:top w:val="single" w:color="000000" w:sz="4" w:space="0"/>
              <w:left w:val="single" w:color="000000" w:sz="4" w:space="0"/>
              <w:bottom w:val="nil"/>
              <w:right w:val="single" w:color="000000" w:sz="4" w:space="0"/>
            </w:tcBorders>
            <w:shd w:val="clear"/>
            <w:vAlign w:val="center"/>
          </w:tcPr>
          <w:p w14:paraId="53B54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082E1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0.41</w:t>
            </w:r>
          </w:p>
        </w:tc>
        <w:tc>
          <w:tcPr>
            <w:tcW w:w="766" w:type="dxa"/>
            <w:tcBorders>
              <w:top w:val="single" w:color="000000" w:sz="4" w:space="0"/>
              <w:left w:val="single" w:color="000000" w:sz="4" w:space="0"/>
              <w:bottom w:val="nil"/>
              <w:right w:val="single" w:color="000000" w:sz="4" w:space="0"/>
            </w:tcBorders>
            <w:shd w:val="clear"/>
            <w:vAlign w:val="center"/>
          </w:tcPr>
          <w:p w14:paraId="7ECE3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部分企业停产，导致检验数量减少</w:t>
            </w:r>
          </w:p>
        </w:tc>
      </w:tr>
      <w:tr w14:paraId="67F52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327782A4">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629E5FE4">
            <w:pPr>
              <w:jc w:val="center"/>
              <w:rPr>
                <w:rFonts w:hint="eastAsia" w:ascii="宋体" w:hAnsi="宋体" w:eastAsia="宋体" w:cs="宋体"/>
                <w:i w:val="0"/>
                <w:iCs w:val="0"/>
                <w:color w:val="000000"/>
                <w:sz w:val="18"/>
                <w:szCs w:val="18"/>
                <w:u w:val="none"/>
              </w:rPr>
            </w:pPr>
          </w:p>
        </w:tc>
        <w:tc>
          <w:tcPr>
            <w:tcW w:w="766" w:type="dxa"/>
            <w:vMerge w:val="restart"/>
            <w:tcBorders>
              <w:top w:val="single" w:color="000000" w:sz="4" w:space="0"/>
              <w:left w:val="single" w:color="000000" w:sz="4" w:space="0"/>
              <w:bottom w:val="nil"/>
              <w:right w:val="single" w:color="000000" w:sz="4" w:space="0"/>
            </w:tcBorders>
            <w:shd w:val="clear"/>
            <w:vAlign w:val="center"/>
          </w:tcPr>
          <w:p w14:paraId="2E803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66" w:type="dxa"/>
            <w:tcBorders>
              <w:top w:val="single" w:color="000000" w:sz="4" w:space="0"/>
              <w:left w:val="single" w:color="000000" w:sz="4" w:space="0"/>
              <w:bottom w:val="nil"/>
              <w:right w:val="single" w:color="000000" w:sz="4" w:space="0"/>
            </w:tcBorders>
            <w:shd w:val="clear"/>
            <w:vAlign w:val="center"/>
          </w:tcPr>
          <w:p w14:paraId="20BF1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检验检测报告考评相关记录</w:t>
            </w:r>
          </w:p>
        </w:tc>
        <w:tc>
          <w:tcPr>
            <w:tcW w:w="766" w:type="dxa"/>
            <w:tcBorders>
              <w:top w:val="single" w:color="000000" w:sz="4" w:space="0"/>
              <w:left w:val="single" w:color="000000" w:sz="4" w:space="0"/>
              <w:bottom w:val="nil"/>
              <w:right w:val="single" w:color="000000" w:sz="4" w:space="0"/>
            </w:tcBorders>
            <w:shd w:val="clear"/>
            <w:vAlign w:val="center"/>
          </w:tcPr>
          <w:p w14:paraId="007BA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028CE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766" w:type="dxa"/>
            <w:tcBorders>
              <w:top w:val="single" w:color="000000" w:sz="4" w:space="0"/>
              <w:left w:val="single" w:color="000000" w:sz="4" w:space="0"/>
              <w:bottom w:val="nil"/>
              <w:right w:val="single" w:color="000000" w:sz="4" w:space="0"/>
            </w:tcBorders>
            <w:shd w:val="clear"/>
            <w:vAlign w:val="center"/>
          </w:tcPr>
          <w:p w14:paraId="639B5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0DE07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3FEFC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6" w:type="dxa"/>
            <w:tcBorders>
              <w:top w:val="single" w:color="000000" w:sz="4" w:space="0"/>
              <w:left w:val="single" w:color="000000" w:sz="4" w:space="0"/>
              <w:bottom w:val="nil"/>
              <w:right w:val="single" w:color="000000" w:sz="4" w:space="0"/>
            </w:tcBorders>
            <w:shd w:val="clear"/>
            <w:vAlign w:val="center"/>
          </w:tcPr>
          <w:p w14:paraId="46546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66" w:type="dxa"/>
            <w:tcBorders>
              <w:top w:val="single" w:color="000000" w:sz="4" w:space="0"/>
              <w:left w:val="single" w:color="000000" w:sz="4" w:space="0"/>
              <w:bottom w:val="nil"/>
              <w:right w:val="single" w:color="000000" w:sz="4" w:space="0"/>
            </w:tcBorders>
            <w:shd w:val="clear"/>
            <w:vAlign w:val="center"/>
          </w:tcPr>
          <w:p w14:paraId="6E2C2D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66" w:type="dxa"/>
            <w:tcBorders>
              <w:top w:val="single" w:color="000000" w:sz="4" w:space="0"/>
              <w:left w:val="single" w:color="000000" w:sz="4" w:space="0"/>
              <w:bottom w:val="nil"/>
              <w:right w:val="single" w:color="000000" w:sz="4" w:space="0"/>
            </w:tcBorders>
            <w:shd w:val="clear"/>
            <w:vAlign w:val="center"/>
          </w:tcPr>
          <w:p w14:paraId="6EC38645">
            <w:pPr>
              <w:jc w:val="center"/>
              <w:rPr>
                <w:rFonts w:hint="eastAsia" w:ascii="宋体" w:hAnsi="宋体" w:eastAsia="宋体" w:cs="宋体"/>
                <w:i w:val="0"/>
                <w:iCs w:val="0"/>
                <w:color w:val="000000"/>
                <w:sz w:val="18"/>
                <w:szCs w:val="18"/>
                <w:u w:val="none"/>
              </w:rPr>
            </w:pPr>
          </w:p>
        </w:tc>
      </w:tr>
      <w:tr w14:paraId="2872F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7392A988">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531C2267">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14728986">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1FE30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政府采购执行率</w:t>
            </w:r>
          </w:p>
        </w:tc>
        <w:tc>
          <w:tcPr>
            <w:tcW w:w="766" w:type="dxa"/>
            <w:tcBorders>
              <w:top w:val="single" w:color="000000" w:sz="4" w:space="0"/>
              <w:left w:val="single" w:color="000000" w:sz="4" w:space="0"/>
              <w:bottom w:val="nil"/>
              <w:right w:val="single" w:color="000000" w:sz="4" w:space="0"/>
            </w:tcBorders>
            <w:shd w:val="clear"/>
            <w:vAlign w:val="center"/>
          </w:tcPr>
          <w:p w14:paraId="686BB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2808D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766" w:type="dxa"/>
            <w:tcBorders>
              <w:top w:val="single" w:color="000000" w:sz="4" w:space="0"/>
              <w:left w:val="single" w:color="000000" w:sz="4" w:space="0"/>
              <w:bottom w:val="nil"/>
              <w:right w:val="single" w:color="000000" w:sz="4" w:space="0"/>
            </w:tcBorders>
            <w:shd w:val="clear"/>
            <w:vAlign w:val="center"/>
          </w:tcPr>
          <w:p w14:paraId="3619D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6F250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0474F8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6" w:type="dxa"/>
            <w:tcBorders>
              <w:top w:val="single" w:color="000000" w:sz="4" w:space="0"/>
              <w:left w:val="single" w:color="000000" w:sz="4" w:space="0"/>
              <w:bottom w:val="nil"/>
              <w:right w:val="single" w:color="000000" w:sz="4" w:space="0"/>
            </w:tcBorders>
            <w:shd w:val="clear"/>
            <w:vAlign w:val="center"/>
          </w:tcPr>
          <w:p w14:paraId="36493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0EDFF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1FA1979C">
            <w:pPr>
              <w:jc w:val="center"/>
              <w:rPr>
                <w:rFonts w:hint="eastAsia" w:ascii="宋体" w:hAnsi="宋体" w:eastAsia="宋体" w:cs="宋体"/>
                <w:i w:val="0"/>
                <w:iCs w:val="0"/>
                <w:color w:val="000000"/>
                <w:sz w:val="18"/>
                <w:szCs w:val="18"/>
                <w:u w:val="none"/>
              </w:rPr>
            </w:pPr>
          </w:p>
        </w:tc>
      </w:tr>
      <w:tr w14:paraId="6D877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48D0EDC1">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691A2458">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29BA5F05">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17E580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特种设备验收合格率</w:t>
            </w:r>
          </w:p>
        </w:tc>
        <w:tc>
          <w:tcPr>
            <w:tcW w:w="766" w:type="dxa"/>
            <w:tcBorders>
              <w:top w:val="single" w:color="000000" w:sz="4" w:space="0"/>
              <w:left w:val="single" w:color="000000" w:sz="4" w:space="0"/>
              <w:bottom w:val="nil"/>
              <w:right w:val="single" w:color="000000" w:sz="4" w:space="0"/>
            </w:tcBorders>
            <w:shd w:val="clear"/>
            <w:vAlign w:val="center"/>
          </w:tcPr>
          <w:p w14:paraId="39306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03751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766" w:type="dxa"/>
            <w:tcBorders>
              <w:top w:val="single" w:color="000000" w:sz="4" w:space="0"/>
              <w:left w:val="single" w:color="000000" w:sz="4" w:space="0"/>
              <w:bottom w:val="nil"/>
              <w:right w:val="single" w:color="000000" w:sz="4" w:space="0"/>
            </w:tcBorders>
            <w:shd w:val="clear"/>
            <w:vAlign w:val="center"/>
          </w:tcPr>
          <w:p w14:paraId="340E4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0BD59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5E4B2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6" w:type="dxa"/>
            <w:tcBorders>
              <w:top w:val="single" w:color="000000" w:sz="4" w:space="0"/>
              <w:left w:val="single" w:color="000000" w:sz="4" w:space="0"/>
              <w:bottom w:val="nil"/>
              <w:right w:val="single" w:color="000000" w:sz="4" w:space="0"/>
            </w:tcBorders>
            <w:shd w:val="clear"/>
            <w:vAlign w:val="center"/>
          </w:tcPr>
          <w:p w14:paraId="26B42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02337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27FA42A6">
            <w:pPr>
              <w:jc w:val="center"/>
              <w:rPr>
                <w:rFonts w:hint="eastAsia" w:ascii="宋体" w:hAnsi="宋体" w:eastAsia="宋体" w:cs="宋体"/>
                <w:i w:val="0"/>
                <w:iCs w:val="0"/>
                <w:color w:val="000000"/>
                <w:sz w:val="18"/>
                <w:szCs w:val="18"/>
                <w:u w:val="none"/>
              </w:rPr>
            </w:pPr>
          </w:p>
        </w:tc>
      </w:tr>
      <w:tr w14:paraId="0CC1D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5A59DDCD">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60EE1812">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1B5B7F39">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6FDA0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特种设备作业人员考试通过率</w:t>
            </w:r>
          </w:p>
        </w:tc>
        <w:tc>
          <w:tcPr>
            <w:tcW w:w="766" w:type="dxa"/>
            <w:tcBorders>
              <w:top w:val="single" w:color="000000" w:sz="4" w:space="0"/>
              <w:left w:val="single" w:color="000000" w:sz="4" w:space="0"/>
              <w:bottom w:val="nil"/>
              <w:right w:val="single" w:color="000000" w:sz="4" w:space="0"/>
            </w:tcBorders>
            <w:shd w:val="clear"/>
            <w:vAlign w:val="center"/>
          </w:tcPr>
          <w:p w14:paraId="2124D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277E1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433E0A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w:t>
            </w:r>
          </w:p>
        </w:tc>
        <w:tc>
          <w:tcPr>
            <w:tcW w:w="766" w:type="dxa"/>
            <w:tcBorders>
              <w:top w:val="single" w:color="000000" w:sz="4" w:space="0"/>
              <w:left w:val="single" w:color="000000" w:sz="4" w:space="0"/>
              <w:bottom w:val="nil"/>
              <w:right w:val="single" w:color="000000" w:sz="4" w:space="0"/>
            </w:tcBorders>
            <w:shd w:val="clear"/>
            <w:vAlign w:val="center"/>
          </w:tcPr>
          <w:p w14:paraId="014CE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56.37</w:t>
            </w:r>
          </w:p>
        </w:tc>
        <w:tc>
          <w:tcPr>
            <w:tcW w:w="766" w:type="dxa"/>
            <w:tcBorders>
              <w:top w:val="single" w:color="000000" w:sz="4" w:space="0"/>
              <w:left w:val="single" w:color="000000" w:sz="4" w:space="0"/>
              <w:bottom w:val="nil"/>
              <w:right w:val="single" w:color="000000" w:sz="4" w:space="0"/>
            </w:tcBorders>
            <w:shd w:val="clear"/>
            <w:vAlign w:val="center"/>
          </w:tcPr>
          <w:p w14:paraId="0A67D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6" w:type="dxa"/>
            <w:tcBorders>
              <w:top w:val="single" w:color="000000" w:sz="4" w:space="0"/>
              <w:left w:val="single" w:color="000000" w:sz="4" w:space="0"/>
              <w:bottom w:val="nil"/>
              <w:right w:val="single" w:color="000000" w:sz="4" w:space="0"/>
            </w:tcBorders>
            <w:shd w:val="clear"/>
            <w:vAlign w:val="center"/>
          </w:tcPr>
          <w:p w14:paraId="66757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16283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1.88</w:t>
            </w:r>
          </w:p>
        </w:tc>
        <w:tc>
          <w:tcPr>
            <w:tcW w:w="766" w:type="dxa"/>
            <w:tcBorders>
              <w:top w:val="single" w:color="000000" w:sz="4" w:space="0"/>
              <w:left w:val="single" w:color="000000" w:sz="4" w:space="0"/>
              <w:bottom w:val="nil"/>
              <w:right w:val="single" w:color="000000" w:sz="4" w:space="0"/>
            </w:tcBorders>
            <w:shd w:val="clear"/>
            <w:vAlign w:val="center"/>
          </w:tcPr>
          <w:p w14:paraId="11F26197">
            <w:pPr>
              <w:jc w:val="center"/>
              <w:rPr>
                <w:rFonts w:hint="eastAsia" w:ascii="宋体" w:hAnsi="宋体" w:eastAsia="宋体" w:cs="宋体"/>
                <w:i w:val="0"/>
                <w:iCs w:val="0"/>
                <w:color w:val="000000"/>
                <w:sz w:val="18"/>
                <w:szCs w:val="18"/>
                <w:u w:val="none"/>
              </w:rPr>
            </w:pPr>
          </w:p>
        </w:tc>
      </w:tr>
      <w:tr w14:paraId="2ECCC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57B31228">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65B3796B">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270A8142">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71E70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检验检测业务受理率</w:t>
            </w:r>
          </w:p>
        </w:tc>
        <w:tc>
          <w:tcPr>
            <w:tcW w:w="766" w:type="dxa"/>
            <w:tcBorders>
              <w:top w:val="single" w:color="000000" w:sz="4" w:space="0"/>
              <w:left w:val="single" w:color="000000" w:sz="4" w:space="0"/>
              <w:bottom w:val="nil"/>
              <w:right w:val="single" w:color="000000" w:sz="4" w:space="0"/>
            </w:tcBorders>
            <w:shd w:val="clear"/>
            <w:vAlign w:val="center"/>
          </w:tcPr>
          <w:p w14:paraId="5FF5E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36C10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766" w:type="dxa"/>
            <w:tcBorders>
              <w:top w:val="single" w:color="000000" w:sz="4" w:space="0"/>
              <w:left w:val="single" w:color="000000" w:sz="4" w:space="0"/>
              <w:bottom w:val="nil"/>
              <w:right w:val="single" w:color="000000" w:sz="4" w:space="0"/>
            </w:tcBorders>
            <w:shd w:val="clear"/>
            <w:vAlign w:val="center"/>
          </w:tcPr>
          <w:p w14:paraId="47BD3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7F0A4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6D4A7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6" w:type="dxa"/>
            <w:tcBorders>
              <w:top w:val="single" w:color="000000" w:sz="4" w:space="0"/>
              <w:left w:val="single" w:color="000000" w:sz="4" w:space="0"/>
              <w:bottom w:val="nil"/>
              <w:right w:val="single" w:color="000000" w:sz="4" w:space="0"/>
            </w:tcBorders>
            <w:shd w:val="clear"/>
            <w:vAlign w:val="center"/>
          </w:tcPr>
          <w:p w14:paraId="42868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5688D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665CE9B6">
            <w:pPr>
              <w:jc w:val="center"/>
              <w:rPr>
                <w:rFonts w:hint="eastAsia" w:ascii="宋体" w:hAnsi="宋体" w:eastAsia="宋体" w:cs="宋体"/>
                <w:i w:val="0"/>
                <w:iCs w:val="0"/>
                <w:color w:val="000000"/>
                <w:sz w:val="18"/>
                <w:szCs w:val="18"/>
                <w:u w:val="none"/>
              </w:rPr>
            </w:pPr>
          </w:p>
        </w:tc>
      </w:tr>
      <w:tr w14:paraId="780D8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33A71721">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1102AE8B">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7473F0C0">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206D7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检验检测人员技术档案的建档率</w:t>
            </w:r>
          </w:p>
        </w:tc>
        <w:tc>
          <w:tcPr>
            <w:tcW w:w="766" w:type="dxa"/>
            <w:tcBorders>
              <w:top w:val="single" w:color="000000" w:sz="4" w:space="0"/>
              <w:left w:val="single" w:color="000000" w:sz="4" w:space="0"/>
              <w:bottom w:val="nil"/>
              <w:right w:val="single" w:color="000000" w:sz="4" w:space="0"/>
            </w:tcBorders>
            <w:shd w:val="clear"/>
            <w:vAlign w:val="center"/>
          </w:tcPr>
          <w:p w14:paraId="3CFFC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1EF0B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766" w:type="dxa"/>
            <w:tcBorders>
              <w:top w:val="single" w:color="000000" w:sz="4" w:space="0"/>
              <w:left w:val="single" w:color="000000" w:sz="4" w:space="0"/>
              <w:bottom w:val="nil"/>
              <w:right w:val="single" w:color="000000" w:sz="4" w:space="0"/>
            </w:tcBorders>
            <w:shd w:val="clear"/>
            <w:vAlign w:val="center"/>
          </w:tcPr>
          <w:p w14:paraId="1D0E1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2C380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39A06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6" w:type="dxa"/>
            <w:tcBorders>
              <w:top w:val="single" w:color="000000" w:sz="4" w:space="0"/>
              <w:left w:val="single" w:color="000000" w:sz="4" w:space="0"/>
              <w:bottom w:val="nil"/>
              <w:right w:val="single" w:color="000000" w:sz="4" w:space="0"/>
            </w:tcBorders>
            <w:shd w:val="clear"/>
            <w:vAlign w:val="center"/>
          </w:tcPr>
          <w:p w14:paraId="5D081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108A7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2A4F8870">
            <w:pPr>
              <w:jc w:val="center"/>
              <w:rPr>
                <w:rFonts w:hint="eastAsia" w:ascii="宋体" w:hAnsi="宋体" w:eastAsia="宋体" w:cs="宋体"/>
                <w:i w:val="0"/>
                <w:iCs w:val="0"/>
                <w:color w:val="000000"/>
                <w:sz w:val="18"/>
                <w:szCs w:val="18"/>
                <w:u w:val="none"/>
              </w:rPr>
            </w:pPr>
          </w:p>
        </w:tc>
      </w:tr>
      <w:tr w14:paraId="2F80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67D6796D">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2B49DA5A">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2E3B953A">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4A908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投诉处理率</w:t>
            </w:r>
          </w:p>
        </w:tc>
        <w:tc>
          <w:tcPr>
            <w:tcW w:w="766" w:type="dxa"/>
            <w:tcBorders>
              <w:top w:val="single" w:color="000000" w:sz="4" w:space="0"/>
              <w:left w:val="single" w:color="000000" w:sz="4" w:space="0"/>
              <w:bottom w:val="nil"/>
              <w:right w:val="single" w:color="000000" w:sz="4" w:space="0"/>
            </w:tcBorders>
            <w:shd w:val="clear"/>
            <w:vAlign w:val="center"/>
          </w:tcPr>
          <w:p w14:paraId="5FA7A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1DABFA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766" w:type="dxa"/>
            <w:tcBorders>
              <w:top w:val="single" w:color="000000" w:sz="4" w:space="0"/>
              <w:left w:val="single" w:color="000000" w:sz="4" w:space="0"/>
              <w:bottom w:val="nil"/>
              <w:right w:val="single" w:color="000000" w:sz="4" w:space="0"/>
            </w:tcBorders>
            <w:shd w:val="clear"/>
            <w:vAlign w:val="center"/>
          </w:tcPr>
          <w:p w14:paraId="1C2CC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43501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31613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6" w:type="dxa"/>
            <w:tcBorders>
              <w:top w:val="single" w:color="000000" w:sz="4" w:space="0"/>
              <w:left w:val="single" w:color="000000" w:sz="4" w:space="0"/>
              <w:bottom w:val="nil"/>
              <w:right w:val="single" w:color="000000" w:sz="4" w:space="0"/>
            </w:tcBorders>
            <w:shd w:val="clear"/>
            <w:vAlign w:val="center"/>
          </w:tcPr>
          <w:p w14:paraId="76C1F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0A6C1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7E111B72">
            <w:pPr>
              <w:jc w:val="center"/>
              <w:rPr>
                <w:rFonts w:hint="eastAsia" w:ascii="宋体" w:hAnsi="宋体" w:eastAsia="宋体" w:cs="宋体"/>
                <w:i w:val="0"/>
                <w:iCs w:val="0"/>
                <w:color w:val="000000"/>
                <w:sz w:val="18"/>
                <w:szCs w:val="18"/>
                <w:u w:val="none"/>
              </w:rPr>
            </w:pPr>
          </w:p>
        </w:tc>
      </w:tr>
      <w:tr w14:paraId="59A7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2223F1BC">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747DA733">
            <w:pPr>
              <w:jc w:val="center"/>
              <w:rPr>
                <w:rFonts w:hint="eastAsia" w:ascii="宋体" w:hAnsi="宋体" w:eastAsia="宋体" w:cs="宋体"/>
                <w:i w:val="0"/>
                <w:iCs w:val="0"/>
                <w:color w:val="000000"/>
                <w:sz w:val="18"/>
                <w:szCs w:val="18"/>
                <w:u w:val="none"/>
              </w:rPr>
            </w:pPr>
          </w:p>
        </w:tc>
        <w:tc>
          <w:tcPr>
            <w:tcW w:w="766" w:type="dxa"/>
            <w:vMerge w:val="restart"/>
            <w:tcBorders>
              <w:top w:val="single" w:color="000000" w:sz="4" w:space="0"/>
              <w:left w:val="single" w:color="000000" w:sz="4" w:space="0"/>
              <w:bottom w:val="nil"/>
              <w:right w:val="single" w:color="000000" w:sz="4" w:space="0"/>
            </w:tcBorders>
            <w:shd w:val="clear"/>
            <w:vAlign w:val="center"/>
          </w:tcPr>
          <w:p w14:paraId="683C9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66" w:type="dxa"/>
            <w:tcBorders>
              <w:top w:val="single" w:color="000000" w:sz="4" w:space="0"/>
              <w:left w:val="single" w:color="000000" w:sz="4" w:space="0"/>
              <w:bottom w:val="nil"/>
              <w:right w:val="single" w:color="000000" w:sz="4" w:space="0"/>
            </w:tcBorders>
            <w:shd w:val="clear"/>
            <w:vAlign w:val="center"/>
          </w:tcPr>
          <w:p w14:paraId="19554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特种设备检验申请受理周期</w:t>
            </w:r>
          </w:p>
        </w:tc>
        <w:tc>
          <w:tcPr>
            <w:tcW w:w="766" w:type="dxa"/>
            <w:tcBorders>
              <w:top w:val="single" w:color="000000" w:sz="4" w:space="0"/>
              <w:left w:val="single" w:color="000000" w:sz="4" w:space="0"/>
              <w:bottom w:val="nil"/>
              <w:right w:val="single" w:color="000000" w:sz="4" w:space="0"/>
            </w:tcBorders>
            <w:shd w:val="clear"/>
            <w:vAlign w:val="center"/>
          </w:tcPr>
          <w:p w14:paraId="3FAD8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66" w:type="dxa"/>
            <w:tcBorders>
              <w:top w:val="single" w:color="000000" w:sz="4" w:space="0"/>
              <w:left w:val="single" w:color="000000" w:sz="4" w:space="0"/>
              <w:bottom w:val="nil"/>
              <w:right w:val="single" w:color="000000" w:sz="4" w:space="0"/>
            </w:tcBorders>
            <w:shd w:val="clear"/>
            <w:vAlign w:val="center"/>
          </w:tcPr>
          <w:p w14:paraId="7EDED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66" w:type="dxa"/>
            <w:tcBorders>
              <w:top w:val="single" w:color="000000" w:sz="4" w:space="0"/>
              <w:left w:val="single" w:color="000000" w:sz="4" w:space="0"/>
              <w:bottom w:val="nil"/>
              <w:right w:val="single" w:color="000000" w:sz="4" w:space="0"/>
            </w:tcBorders>
            <w:shd w:val="clear"/>
            <w:vAlign w:val="center"/>
          </w:tcPr>
          <w:p w14:paraId="1B2EE8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7DBB1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66" w:type="dxa"/>
            <w:tcBorders>
              <w:top w:val="single" w:color="000000" w:sz="4" w:space="0"/>
              <w:left w:val="single" w:color="000000" w:sz="4" w:space="0"/>
              <w:bottom w:val="nil"/>
              <w:right w:val="single" w:color="000000" w:sz="4" w:space="0"/>
            </w:tcBorders>
            <w:shd w:val="clear"/>
            <w:vAlign w:val="center"/>
          </w:tcPr>
          <w:p w14:paraId="578C2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工作日</w:t>
            </w:r>
          </w:p>
        </w:tc>
        <w:tc>
          <w:tcPr>
            <w:tcW w:w="766" w:type="dxa"/>
            <w:tcBorders>
              <w:top w:val="single" w:color="000000" w:sz="4" w:space="0"/>
              <w:left w:val="single" w:color="000000" w:sz="4" w:space="0"/>
              <w:bottom w:val="nil"/>
              <w:right w:val="single" w:color="000000" w:sz="4" w:space="0"/>
            </w:tcBorders>
            <w:shd w:val="clear"/>
            <w:vAlign w:val="center"/>
          </w:tcPr>
          <w:p w14:paraId="77DF6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0752B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699781A4">
            <w:pPr>
              <w:jc w:val="center"/>
              <w:rPr>
                <w:rFonts w:hint="eastAsia" w:ascii="宋体" w:hAnsi="宋体" w:eastAsia="宋体" w:cs="宋体"/>
                <w:i w:val="0"/>
                <w:iCs w:val="0"/>
                <w:color w:val="000000"/>
                <w:sz w:val="18"/>
                <w:szCs w:val="18"/>
                <w:u w:val="none"/>
              </w:rPr>
            </w:pPr>
          </w:p>
        </w:tc>
      </w:tr>
      <w:tr w14:paraId="03E71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23279E03">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5F4FC614">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6C2FC2CA">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59B8F5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提出检验申请后检验受理时间</w:t>
            </w:r>
          </w:p>
        </w:tc>
        <w:tc>
          <w:tcPr>
            <w:tcW w:w="766" w:type="dxa"/>
            <w:tcBorders>
              <w:top w:val="single" w:color="000000" w:sz="4" w:space="0"/>
              <w:left w:val="single" w:color="000000" w:sz="4" w:space="0"/>
              <w:bottom w:val="nil"/>
              <w:right w:val="single" w:color="000000" w:sz="4" w:space="0"/>
            </w:tcBorders>
            <w:shd w:val="clear"/>
            <w:vAlign w:val="center"/>
          </w:tcPr>
          <w:p w14:paraId="73DB7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66" w:type="dxa"/>
            <w:tcBorders>
              <w:top w:val="single" w:color="000000" w:sz="4" w:space="0"/>
              <w:left w:val="single" w:color="000000" w:sz="4" w:space="0"/>
              <w:bottom w:val="nil"/>
              <w:right w:val="single" w:color="000000" w:sz="4" w:space="0"/>
            </w:tcBorders>
            <w:shd w:val="clear"/>
            <w:vAlign w:val="center"/>
          </w:tcPr>
          <w:p w14:paraId="0E3BA7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66" w:type="dxa"/>
            <w:tcBorders>
              <w:top w:val="single" w:color="000000" w:sz="4" w:space="0"/>
              <w:left w:val="single" w:color="000000" w:sz="4" w:space="0"/>
              <w:bottom w:val="nil"/>
              <w:right w:val="single" w:color="000000" w:sz="4" w:space="0"/>
            </w:tcBorders>
            <w:shd w:val="clear"/>
            <w:vAlign w:val="center"/>
          </w:tcPr>
          <w:p w14:paraId="13641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79279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66" w:type="dxa"/>
            <w:tcBorders>
              <w:top w:val="single" w:color="000000" w:sz="4" w:space="0"/>
              <w:left w:val="single" w:color="000000" w:sz="4" w:space="0"/>
              <w:bottom w:val="nil"/>
              <w:right w:val="single" w:color="000000" w:sz="4" w:space="0"/>
            </w:tcBorders>
            <w:shd w:val="clear"/>
            <w:vAlign w:val="center"/>
          </w:tcPr>
          <w:p w14:paraId="177CC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工作日</w:t>
            </w:r>
          </w:p>
        </w:tc>
        <w:tc>
          <w:tcPr>
            <w:tcW w:w="766" w:type="dxa"/>
            <w:tcBorders>
              <w:top w:val="single" w:color="000000" w:sz="4" w:space="0"/>
              <w:left w:val="single" w:color="000000" w:sz="4" w:space="0"/>
              <w:bottom w:val="nil"/>
              <w:right w:val="single" w:color="000000" w:sz="4" w:space="0"/>
            </w:tcBorders>
            <w:shd w:val="clear"/>
            <w:vAlign w:val="center"/>
          </w:tcPr>
          <w:p w14:paraId="3ABF4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66" w:type="dxa"/>
            <w:tcBorders>
              <w:top w:val="single" w:color="000000" w:sz="4" w:space="0"/>
              <w:left w:val="single" w:color="000000" w:sz="4" w:space="0"/>
              <w:bottom w:val="nil"/>
              <w:right w:val="single" w:color="000000" w:sz="4" w:space="0"/>
            </w:tcBorders>
            <w:shd w:val="clear"/>
            <w:vAlign w:val="center"/>
          </w:tcPr>
          <w:p w14:paraId="312A0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66" w:type="dxa"/>
            <w:tcBorders>
              <w:top w:val="single" w:color="000000" w:sz="4" w:space="0"/>
              <w:left w:val="single" w:color="000000" w:sz="4" w:space="0"/>
              <w:bottom w:val="nil"/>
              <w:right w:val="single" w:color="000000" w:sz="4" w:space="0"/>
            </w:tcBorders>
            <w:shd w:val="clear"/>
            <w:vAlign w:val="center"/>
          </w:tcPr>
          <w:p w14:paraId="7D8E8F7F">
            <w:pPr>
              <w:jc w:val="center"/>
              <w:rPr>
                <w:rFonts w:hint="eastAsia" w:ascii="宋体" w:hAnsi="宋体" w:eastAsia="宋体" w:cs="宋体"/>
                <w:i w:val="0"/>
                <w:iCs w:val="0"/>
                <w:color w:val="000000"/>
                <w:sz w:val="18"/>
                <w:szCs w:val="18"/>
                <w:u w:val="none"/>
              </w:rPr>
            </w:pPr>
          </w:p>
        </w:tc>
      </w:tr>
      <w:tr w14:paraId="3D02B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64929A3B">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4A25FD35">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7AB6631B">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7070EE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形成检验结论后检验报告出具时间</w:t>
            </w:r>
          </w:p>
        </w:tc>
        <w:tc>
          <w:tcPr>
            <w:tcW w:w="766" w:type="dxa"/>
            <w:tcBorders>
              <w:top w:val="single" w:color="000000" w:sz="4" w:space="0"/>
              <w:left w:val="single" w:color="000000" w:sz="4" w:space="0"/>
              <w:bottom w:val="nil"/>
              <w:right w:val="single" w:color="000000" w:sz="4" w:space="0"/>
            </w:tcBorders>
            <w:shd w:val="clear"/>
            <w:vAlign w:val="center"/>
          </w:tcPr>
          <w:p w14:paraId="67A14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66" w:type="dxa"/>
            <w:tcBorders>
              <w:top w:val="single" w:color="000000" w:sz="4" w:space="0"/>
              <w:left w:val="single" w:color="000000" w:sz="4" w:space="0"/>
              <w:bottom w:val="nil"/>
              <w:right w:val="single" w:color="000000" w:sz="4" w:space="0"/>
            </w:tcBorders>
            <w:shd w:val="clear"/>
            <w:vAlign w:val="center"/>
          </w:tcPr>
          <w:p w14:paraId="3F729B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66" w:type="dxa"/>
            <w:tcBorders>
              <w:top w:val="single" w:color="000000" w:sz="4" w:space="0"/>
              <w:left w:val="single" w:color="000000" w:sz="4" w:space="0"/>
              <w:bottom w:val="nil"/>
              <w:right w:val="single" w:color="000000" w:sz="4" w:space="0"/>
            </w:tcBorders>
            <w:shd w:val="clear"/>
            <w:vAlign w:val="center"/>
          </w:tcPr>
          <w:p w14:paraId="39B2D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w:t>
            </w:r>
          </w:p>
        </w:tc>
        <w:tc>
          <w:tcPr>
            <w:tcW w:w="766" w:type="dxa"/>
            <w:tcBorders>
              <w:top w:val="single" w:color="000000" w:sz="4" w:space="0"/>
              <w:left w:val="single" w:color="000000" w:sz="4" w:space="0"/>
              <w:bottom w:val="nil"/>
              <w:right w:val="single" w:color="000000" w:sz="4" w:space="0"/>
            </w:tcBorders>
            <w:shd w:val="clear"/>
            <w:vAlign w:val="center"/>
          </w:tcPr>
          <w:p w14:paraId="6A8CE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w:t>
            </w:r>
          </w:p>
        </w:tc>
        <w:tc>
          <w:tcPr>
            <w:tcW w:w="766" w:type="dxa"/>
            <w:tcBorders>
              <w:top w:val="single" w:color="000000" w:sz="4" w:space="0"/>
              <w:left w:val="single" w:color="000000" w:sz="4" w:space="0"/>
              <w:bottom w:val="nil"/>
              <w:right w:val="single" w:color="000000" w:sz="4" w:space="0"/>
            </w:tcBorders>
            <w:shd w:val="clear"/>
            <w:vAlign w:val="center"/>
          </w:tcPr>
          <w:p w14:paraId="48313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工作日</w:t>
            </w:r>
          </w:p>
        </w:tc>
        <w:tc>
          <w:tcPr>
            <w:tcW w:w="766" w:type="dxa"/>
            <w:tcBorders>
              <w:top w:val="single" w:color="000000" w:sz="4" w:space="0"/>
              <w:left w:val="single" w:color="000000" w:sz="4" w:space="0"/>
              <w:bottom w:val="nil"/>
              <w:right w:val="single" w:color="000000" w:sz="4" w:space="0"/>
            </w:tcBorders>
            <w:shd w:val="clear"/>
            <w:vAlign w:val="center"/>
          </w:tcPr>
          <w:p w14:paraId="5BB7F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66" w:type="dxa"/>
            <w:tcBorders>
              <w:top w:val="single" w:color="000000" w:sz="4" w:space="0"/>
              <w:left w:val="single" w:color="000000" w:sz="4" w:space="0"/>
              <w:bottom w:val="nil"/>
              <w:right w:val="single" w:color="000000" w:sz="4" w:space="0"/>
            </w:tcBorders>
            <w:shd w:val="clear"/>
            <w:vAlign w:val="center"/>
          </w:tcPr>
          <w:p w14:paraId="2E2D9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766" w:type="dxa"/>
            <w:tcBorders>
              <w:top w:val="single" w:color="000000" w:sz="4" w:space="0"/>
              <w:left w:val="single" w:color="000000" w:sz="4" w:space="0"/>
              <w:bottom w:val="nil"/>
              <w:right w:val="single" w:color="000000" w:sz="4" w:space="0"/>
            </w:tcBorders>
            <w:shd w:val="clear"/>
            <w:vAlign w:val="center"/>
          </w:tcPr>
          <w:p w14:paraId="24D94986">
            <w:pPr>
              <w:jc w:val="center"/>
              <w:rPr>
                <w:rFonts w:hint="eastAsia" w:ascii="宋体" w:hAnsi="宋体" w:eastAsia="宋体" w:cs="宋体"/>
                <w:i w:val="0"/>
                <w:iCs w:val="0"/>
                <w:color w:val="000000"/>
                <w:sz w:val="18"/>
                <w:szCs w:val="18"/>
                <w:u w:val="none"/>
              </w:rPr>
            </w:pPr>
          </w:p>
        </w:tc>
      </w:tr>
      <w:tr w14:paraId="247C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4FF94F34">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3E63F95D">
            <w:pPr>
              <w:jc w:val="center"/>
              <w:rPr>
                <w:rFonts w:hint="eastAsia" w:ascii="宋体" w:hAnsi="宋体" w:eastAsia="宋体" w:cs="宋体"/>
                <w:i w:val="0"/>
                <w:iCs w:val="0"/>
                <w:color w:val="000000"/>
                <w:sz w:val="18"/>
                <w:szCs w:val="18"/>
                <w:u w:val="none"/>
              </w:rPr>
            </w:pPr>
          </w:p>
        </w:tc>
        <w:tc>
          <w:tcPr>
            <w:tcW w:w="766" w:type="dxa"/>
            <w:vMerge w:val="restart"/>
            <w:tcBorders>
              <w:top w:val="single" w:color="000000" w:sz="4" w:space="0"/>
              <w:left w:val="single" w:color="000000" w:sz="4" w:space="0"/>
              <w:bottom w:val="nil"/>
              <w:right w:val="single" w:color="000000" w:sz="4" w:space="0"/>
            </w:tcBorders>
            <w:shd w:val="clear"/>
            <w:vAlign w:val="center"/>
          </w:tcPr>
          <w:p w14:paraId="4CF2A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66" w:type="dxa"/>
            <w:tcBorders>
              <w:top w:val="single" w:color="000000" w:sz="4" w:space="0"/>
              <w:left w:val="single" w:color="000000" w:sz="4" w:space="0"/>
              <w:bottom w:val="nil"/>
              <w:right w:val="single" w:color="000000" w:sz="4" w:space="0"/>
            </w:tcBorders>
            <w:shd w:val="clear"/>
            <w:vAlign w:val="center"/>
          </w:tcPr>
          <w:p w14:paraId="6F343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机电类特种设备检验成本</w:t>
            </w:r>
          </w:p>
        </w:tc>
        <w:tc>
          <w:tcPr>
            <w:tcW w:w="766" w:type="dxa"/>
            <w:tcBorders>
              <w:top w:val="single" w:color="000000" w:sz="4" w:space="0"/>
              <w:left w:val="single" w:color="000000" w:sz="4" w:space="0"/>
              <w:bottom w:val="nil"/>
              <w:right w:val="single" w:color="000000" w:sz="4" w:space="0"/>
            </w:tcBorders>
            <w:shd w:val="clear"/>
            <w:vAlign w:val="center"/>
          </w:tcPr>
          <w:p w14:paraId="20821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5296A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766" w:type="dxa"/>
            <w:tcBorders>
              <w:top w:val="single" w:color="000000" w:sz="4" w:space="0"/>
              <w:left w:val="single" w:color="000000" w:sz="4" w:space="0"/>
              <w:bottom w:val="nil"/>
              <w:right w:val="single" w:color="000000" w:sz="4" w:space="0"/>
            </w:tcBorders>
            <w:shd w:val="clear"/>
            <w:vAlign w:val="center"/>
          </w:tcPr>
          <w:p w14:paraId="4458B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7BC94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407B5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66" w:type="dxa"/>
            <w:tcBorders>
              <w:top w:val="single" w:color="000000" w:sz="4" w:space="0"/>
              <w:left w:val="single" w:color="000000" w:sz="4" w:space="0"/>
              <w:bottom w:val="nil"/>
              <w:right w:val="single" w:color="000000" w:sz="4" w:space="0"/>
            </w:tcBorders>
            <w:shd w:val="clear"/>
            <w:vAlign w:val="center"/>
          </w:tcPr>
          <w:p w14:paraId="786FC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66" w:type="dxa"/>
            <w:tcBorders>
              <w:top w:val="single" w:color="000000" w:sz="4" w:space="0"/>
              <w:left w:val="single" w:color="000000" w:sz="4" w:space="0"/>
              <w:bottom w:val="nil"/>
              <w:right w:val="single" w:color="000000" w:sz="4" w:space="0"/>
            </w:tcBorders>
            <w:shd w:val="clear"/>
            <w:vAlign w:val="center"/>
          </w:tcPr>
          <w:p w14:paraId="0F18B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66" w:type="dxa"/>
            <w:tcBorders>
              <w:top w:val="single" w:color="000000" w:sz="4" w:space="0"/>
              <w:left w:val="single" w:color="000000" w:sz="4" w:space="0"/>
              <w:bottom w:val="nil"/>
              <w:right w:val="single" w:color="000000" w:sz="4" w:space="0"/>
            </w:tcBorders>
            <w:shd w:val="clear"/>
            <w:vAlign w:val="center"/>
          </w:tcPr>
          <w:p w14:paraId="7B99DD45">
            <w:pPr>
              <w:jc w:val="center"/>
              <w:rPr>
                <w:rFonts w:hint="eastAsia" w:ascii="宋体" w:hAnsi="宋体" w:eastAsia="宋体" w:cs="宋体"/>
                <w:i w:val="0"/>
                <w:iCs w:val="0"/>
                <w:color w:val="000000"/>
                <w:sz w:val="18"/>
                <w:szCs w:val="18"/>
                <w:u w:val="none"/>
              </w:rPr>
            </w:pPr>
          </w:p>
        </w:tc>
      </w:tr>
      <w:tr w14:paraId="6F837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623C938A">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3B47C2CA">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28C6E7CD">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58C23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承压类特种设备检验成本</w:t>
            </w:r>
          </w:p>
        </w:tc>
        <w:tc>
          <w:tcPr>
            <w:tcW w:w="766" w:type="dxa"/>
            <w:tcBorders>
              <w:top w:val="single" w:color="000000" w:sz="4" w:space="0"/>
              <w:left w:val="single" w:color="000000" w:sz="4" w:space="0"/>
              <w:bottom w:val="nil"/>
              <w:right w:val="single" w:color="000000" w:sz="4" w:space="0"/>
            </w:tcBorders>
            <w:shd w:val="clear"/>
            <w:vAlign w:val="center"/>
          </w:tcPr>
          <w:p w14:paraId="4698D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66" w:type="dxa"/>
            <w:tcBorders>
              <w:top w:val="single" w:color="000000" w:sz="4" w:space="0"/>
              <w:left w:val="single" w:color="000000" w:sz="4" w:space="0"/>
              <w:bottom w:val="nil"/>
              <w:right w:val="single" w:color="000000" w:sz="4" w:space="0"/>
            </w:tcBorders>
            <w:shd w:val="clear"/>
            <w:vAlign w:val="center"/>
          </w:tcPr>
          <w:p w14:paraId="71D26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66" w:type="dxa"/>
            <w:tcBorders>
              <w:top w:val="single" w:color="000000" w:sz="4" w:space="0"/>
              <w:left w:val="single" w:color="000000" w:sz="4" w:space="0"/>
              <w:bottom w:val="nil"/>
              <w:right w:val="single" w:color="000000" w:sz="4" w:space="0"/>
            </w:tcBorders>
            <w:shd w:val="clear"/>
            <w:vAlign w:val="center"/>
          </w:tcPr>
          <w:p w14:paraId="7D740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188</w:t>
            </w:r>
          </w:p>
        </w:tc>
        <w:tc>
          <w:tcPr>
            <w:tcW w:w="766" w:type="dxa"/>
            <w:tcBorders>
              <w:top w:val="single" w:color="000000" w:sz="4" w:space="0"/>
              <w:left w:val="single" w:color="000000" w:sz="4" w:space="0"/>
              <w:bottom w:val="nil"/>
              <w:right w:val="single" w:color="000000" w:sz="4" w:space="0"/>
            </w:tcBorders>
            <w:shd w:val="clear"/>
            <w:vAlign w:val="center"/>
          </w:tcPr>
          <w:p w14:paraId="2FFA1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212.27</w:t>
            </w:r>
          </w:p>
        </w:tc>
        <w:tc>
          <w:tcPr>
            <w:tcW w:w="766" w:type="dxa"/>
            <w:tcBorders>
              <w:top w:val="single" w:color="000000" w:sz="4" w:space="0"/>
              <w:left w:val="single" w:color="000000" w:sz="4" w:space="0"/>
              <w:bottom w:val="nil"/>
              <w:right w:val="single" w:color="000000" w:sz="4" w:space="0"/>
            </w:tcBorders>
            <w:shd w:val="clear"/>
            <w:vAlign w:val="center"/>
          </w:tcPr>
          <w:p w14:paraId="378BF6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66" w:type="dxa"/>
            <w:tcBorders>
              <w:top w:val="single" w:color="000000" w:sz="4" w:space="0"/>
              <w:left w:val="single" w:color="000000" w:sz="4" w:space="0"/>
              <w:bottom w:val="nil"/>
              <w:right w:val="single" w:color="000000" w:sz="4" w:space="0"/>
            </w:tcBorders>
            <w:shd w:val="clear"/>
            <w:vAlign w:val="center"/>
          </w:tcPr>
          <w:p w14:paraId="42B20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66" w:type="dxa"/>
            <w:tcBorders>
              <w:top w:val="single" w:color="000000" w:sz="4" w:space="0"/>
              <w:left w:val="single" w:color="000000" w:sz="4" w:space="0"/>
              <w:bottom w:val="nil"/>
              <w:right w:val="single" w:color="000000" w:sz="4" w:space="0"/>
            </w:tcBorders>
            <w:shd w:val="clear"/>
            <w:vAlign w:val="center"/>
          </w:tcPr>
          <w:p w14:paraId="31BBE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66" w:type="dxa"/>
            <w:tcBorders>
              <w:top w:val="single" w:color="000000" w:sz="4" w:space="0"/>
              <w:left w:val="single" w:color="000000" w:sz="4" w:space="0"/>
              <w:bottom w:val="nil"/>
              <w:right w:val="single" w:color="000000" w:sz="4" w:space="0"/>
            </w:tcBorders>
            <w:shd w:val="clear"/>
            <w:vAlign w:val="center"/>
          </w:tcPr>
          <w:p w14:paraId="4870A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因承压类设备检测设备老旧，需更新换代，导致成本增加</w:t>
            </w:r>
          </w:p>
        </w:tc>
      </w:tr>
      <w:tr w14:paraId="53368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54DB3EAA">
            <w:pPr>
              <w:jc w:val="center"/>
              <w:rPr>
                <w:rFonts w:hint="eastAsia" w:ascii="宋体" w:hAnsi="宋体" w:eastAsia="宋体" w:cs="宋体"/>
                <w:i w:val="0"/>
                <w:iCs w:val="0"/>
                <w:color w:val="000000"/>
                <w:sz w:val="18"/>
                <w:szCs w:val="18"/>
                <w:u w:val="none"/>
              </w:rPr>
            </w:pPr>
          </w:p>
        </w:tc>
        <w:tc>
          <w:tcPr>
            <w:tcW w:w="766" w:type="dxa"/>
            <w:vMerge w:val="restart"/>
            <w:tcBorders>
              <w:top w:val="single" w:color="000000" w:sz="4" w:space="0"/>
              <w:left w:val="single" w:color="000000" w:sz="4" w:space="0"/>
              <w:bottom w:val="nil"/>
              <w:right w:val="single" w:color="000000" w:sz="4" w:space="0"/>
            </w:tcBorders>
            <w:shd w:val="clear"/>
            <w:vAlign w:val="center"/>
          </w:tcPr>
          <w:p w14:paraId="386E7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766" w:type="dxa"/>
            <w:tcBorders>
              <w:top w:val="single" w:color="000000" w:sz="4" w:space="0"/>
              <w:left w:val="single" w:color="000000" w:sz="4" w:space="0"/>
              <w:bottom w:val="nil"/>
              <w:right w:val="single" w:color="000000" w:sz="4" w:space="0"/>
            </w:tcBorders>
            <w:shd w:val="clear"/>
            <w:vAlign w:val="center"/>
          </w:tcPr>
          <w:p w14:paraId="454F3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766" w:type="dxa"/>
            <w:tcBorders>
              <w:top w:val="single" w:color="000000" w:sz="4" w:space="0"/>
              <w:left w:val="single" w:color="000000" w:sz="4" w:space="0"/>
              <w:bottom w:val="nil"/>
              <w:right w:val="single" w:color="000000" w:sz="4" w:space="0"/>
            </w:tcBorders>
            <w:shd w:val="clear"/>
            <w:vAlign w:val="center"/>
          </w:tcPr>
          <w:p w14:paraId="4AE88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完成年非税收入金额</w:t>
            </w:r>
          </w:p>
        </w:tc>
        <w:tc>
          <w:tcPr>
            <w:tcW w:w="766" w:type="dxa"/>
            <w:tcBorders>
              <w:top w:val="single" w:color="000000" w:sz="4" w:space="0"/>
              <w:left w:val="single" w:color="000000" w:sz="4" w:space="0"/>
              <w:bottom w:val="nil"/>
              <w:right w:val="single" w:color="000000" w:sz="4" w:space="0"/>
            </w:tcBorders>
            <w:shd w:val="clear"/>
            <w:vAlign w:val="center"/>
          </w:tcPr>
          <w:p w14:paraId="42391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6E03D0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12888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1200</w:t>
            </w:r>
          </w:p>
        </w:tc>
        <w:tc>
          <w:tcPr>
            <w:tcW w:w="766" w:type="dxa"/>
            <w:tcBorders>
              <w:top w:val="single" w:color="000000" w:sz="4" w:space="0"/>
              <w:left w:val="single" w:color="000000" w:sz="4" w:space="0"/>
              <w:bottom w:val="nil"/>
              <w:right w:val="single" w:color="000000" w:sz="4" w:space="0"/>
            </w:tcBorders>
            <w:shd w:val="clear"/>
            <w:vAlign w:val="center"/>
          </w:tcPr>
          <w:p w14:paraId="113BB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1373.32</w:t>
            </w:r>
          </w:p>
        </w:tc>
        <w:tc>
          <w:tcPr>
            <w:tcW w:w="766" w:type="dxa"/>
            <w:tcBorders>
              <w:top w:val="single" w:color="000000" w:sz="4" w:space="0"/>
              <w:left w:val="single" w:color="000000" w:sz="4" w:space="0"/>
              <w:bottom w:val="nil"/>
              <w:right w:val="single" w:color="000000" w:sz="4" w:space="0"/>
            </w:tcBorders>
            <w:shd w:val="clear"/>
            <w:vAlign w:val="center"/>
          </w:tcPr>
          <w:p w14:paraId="41200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66" w:type="dxa"/>
            <w:tcBorders>
              <w:top w:val="single" w:color="000000" w:sz="4" w:space="0"/>
              <w:left w:val="single" w:color="000000" w:sz="4" w:space="0"/>
              <w:bottom w:val="nil"/>
              <w:right w:val="single" w:color="000000" w:sz="4" w:space="0"/>
            </w:tcBorders>
            <w:shd w:val="clear"/>
            <w:vAlign w:val="center"/>
          </w:tcPr>
          <w:p w14:paraId="6223B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66" w:type="dxa"/>
            <w:tcBorders>
              <w:top w:val="single" w:color="000000" w:sz="4" w:space="0"/>
              <w:left w:val="single" w:color="000000" w:sz="4" w:space="0"/>
              <w:bottom w:val="nil"/>
              <w:right w:val="single" w:color="000000" w:sz="4" w:space="0"/>
            </w:tcBorders>
            <w:shd w:val="clear"/>
            <w:vAlign w:val="center"/>
          </w:tcPr>
          <w:p w14:paraId="54E36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66" w:type="dxa"/>
            <w:tcBorders>
              <w:top w:val="single" w:color="000000" w:sz="4" w:space="0"/>
              <w:left w:val="single" w:color="000000" w:sz="4" w:space="0"/>
              <w:bottom w:val="nil"/>
              <w:right w:val="single" w:color="000000" w:sz="4" w:space="0"/>
            </w:tcBorders>
            <w:shd w:val="clear"/>
            <w:vAlign w:val="center"/>
          </w:tcPr>
          <w:p w14:paraId="387CB543">
            <w:pPr>
              <w:jc w:val="center"/>
              <w:rPr>
                <w:rFonts w:hint="eastAsia" w:ascii="宋体" w:hAnsi="宋体" w:eastAsia="宋体" w:cs="宋体"/>
                <w:i w:val="0"/>
                <w:iCs w:val="0"/>
                <w:color w:val="000000"/>
                <w:sz w:val="18"/>
                <w:szCs w:val="18"/>
                <w:u w:val="none"/>
              </w:rPr>
            </w:pPr>
          </w:p>
        </w:tc>
      </w:tr>
      <w:tr w14:paraId="6376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7DB8966B">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6AE65F9E">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630C8E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66" w:type="dxa"/>
            <w:tcBorders>
              <w:top w:val="single" w:color="000000" w:sz="4" w:space="0"/>
              <w:left w:val="single" w:color="000000" w:sz="4" w:space="0"/>
              <w:bottom w:val="nil"/>
              <w:right w:val="single" w:color="000000" w:sz="4" w:space="0"/>
            </w:tcBorders>
            <w:shd w:val="clear"/>
            <w:vAlign w:val="center"/>
          </w:tcPr>
          <w:p w14:paraId="4EE0B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防止和减少锅炉压力容器与特种设备使用过程中的事故发生</w:t>
            </w:r>
          </w:p>
        </w:tc>
        <w:tc>
          <w:tcPr>
            <w:tcW w:w="766" w:type="dxa"/>
            <w:tcBorders>
              <w:top w:val="single" w:color="000000" w:sz="4" w:space="0"/>
              <w:left w:val="single" w:color="000000" w:sz="4" w:space="0"/>
              <w:bottom w:val="nil"/>
              <w:right w:val="single" w:color="000000" w:sz="4" w:space="0"/>
            </w:tcBorders>
            <w:shd w:val="clear"/>
            <w:vAlign w:val="center"/>
          </w:tcPr>
          <w:p w14:paraId="50860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66" w:type="dxa"/>
            <w:tcBorders>
              <w:top w:val="single" w:color="000000" w:sz="4" w:space="0"/>
              <w:left w:val="single" w:color="000000" w:sz="4" w:space="0"/>
              <w:bottom w:val="nil"/>
              <w:right w:val="single" w:color="000000" w:sz="4" w:space="0"/>
            </w:tcBorders>
            <w:shd w:val="clear"/>
            <w:vAlign w:val="center"/>
          </w:tcPr>
          <w:p w14:paraId="1DB28FA4">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1FC20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766" w:type="dxa"/>
            <w:tcBorders>
              <w:top w:val="single" w:color="000000" w:sz="4" w:space="0"/>
              <w:left w:val="single" w:color="000000" w:sz="4" w:space="0"/>
              <w:bottom w:val="nil"/>
              <w:right w:val="single" w:color="000000" w:sz="4" w:space="0"/>
            </w:tcBorders>
            <w:shd w:val="clear"/>
            <w:vAlign w:val="center"/>
          </w:tcPr>
          <w:p w14:paraId="569D8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766" w:type="dxa"/>
            <w:tcBorders>
              <w:top w:val="single" w:color="000000" w:sz="4" w:space="0"/>
              <w:left w:val="single" w:color="000000" w:sz="4" w:space="0"/>
              <w:bottom w:val="nil"/>
              <w:right w:val="single" w:color="000000" w:sz="4" w:space="0"/>
            </w:tcBorders>
            <w:shd w:val="clear"/>
            <w:vAlign w:val="center"/>
          </w:tcPr>
          <w:p w14:paraId="46F39216">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08DEC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66" w:type="dxa"/>
            <w:tcBorders>
              <w:top w:val="single" w:color="000000" w:sz="4" w:space="0"/>
              <w:left w:val="single" w:color="000000" w:sz="4" w:space="0"/>
              <w:bottom w:val="nil"/>
              <w:right w:val="single" w:color="000000" w:sz="4" w:space="0"/>
            </w:tcBorders>
            <w:shd w:val="clear"/>
            <w:vAlign w:val="center"/>
          </w:tcPr>
          <w:p w14:paraId="29DB1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66" w:type="dxa"/>
            <w:tcBorders>
              <w:top w:val="single" w:color="000000" w:sz="4" w:space="0"/>
              <w:left w:val="single" w:color="000000" w:sz="4" w:space="0"/>
              <w:bottom w:val="nil"/>
              <w:right w:val="single" w:color="000000" w:sz="4" w:space="0"/>
            </w:tcBorders>
            <w:shd w:val="clear"/>
            <w:vAlign w:val="center"/>
          </w:tcPr>
          <w:p w14:paraId="1A0412F1">
            <w:pPr>
              <w:jc w:val="center"/>
              <w:rPr>
                <w:rFonts w:hint="eastAsia" w:ascii="宋体" w:hAnsi="宋体" w:eastAsia="宋体" w:cs="宋体"/>
                <w:i w:val="0"/>
                <w:iCs w:val="0"/>
                <w:color w:val="000000"/>
                <w:sz w:val="18"/>
                <w:szCs w:val="18"/>
                <w:u w:val="none"/>
              </w:rPr>
            </w:pPr>
          </w:p>
        </w:tc>
      </w:tr>
      <w:tr w14:paraId="54E8E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4D7CD85A">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31034FF3">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0D6EE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66" w:type="dxa"/>
            <w:tcBorders>
              <w:top w:val="single" w:color="000000" w:sz="4" w:space="0"/>
              <w:left w:val="single" w:color="000000" w:sz="4" w:space="0"/>
              <w:bottom w:val="nil"/>
              <w:right w:val="single" w:color="000000" w:sz="4" w:space="0"/>
            </w:tcBorders>
            <w:shd w:val="clear"/>
            <w:vAlign w:val="center"/>
          </w:tcPr>
          <w:p w14:paraId="2CD9E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提高锅炉压力容器与特种设备安全监管能力</w:t>
            </w:r>
          </w:p>
        </w:tc>
        <w:tc>
          <w:tcPr>
            <w:tcW w:w="766" w:type="dxa"/>
            <w:tcBorders>
              <w:top w:val="single" w:color="000000" w:sz="4" w:space="0"/>
              <w:left w:val="single" w:color="000000" w:sz="4" w:space="0"/>
              <w:bottom w:val="nil"/>
              <w:right w:val="single" w:color="000000" w:sz="4" w:space="0"/>
            </w:tcBorders>
            <w:shd w:val="clear"/>
            <w:vAlign w:val="center"/>
          </w:tcPr>
          <w:p w14:paraId="7BDE8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66" w:type="dxa"/>
            <w:tcBorders>
              <w:top w:val="single" w:color="000000" w:sz="4" w:space="0"/>
              <w:left w:val="single" w:color="000000" w:sz="4" w:space="0"/>
              <w:bottom w:val="nil"/>
              <w:right w:val="single" w:color="000000" w:sz="4" w:space="0"/>
            </w:tcBorders>
            <w:shd w:val="clear"/>
            <w:vAlign w:val="center"/>
          </w:tcPr>
          <w:p w14:paraId="6AE73226">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37571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766" w:type="dxa"/>
            <w:tcBorders>
              <w:top w:val="single" w:color="000000" w:sz="4" w:space="0"/>
              <w:left w:val="single" w:color="000000" w:sz="4" w:space="0"/>
              <w:bottom w:val="nil"/>
              <w:right w:val="single" w:color="000000" w:sz="4" w:space="0"/>
            </w:tcBorders>
            <w:shd w:val="clear"/>
            <w:vAlign w:val="center"/>
          </w:tcPr>
          <w:p w14:paraId="2B17E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稳步提高</w:t>
            </w:r>
          </w:p>
        </w:tc>
        <w:tc>
          <w:tcPr>
            <w:tcW w:w="766" w:type="dxa"/>
            <w:tcBorders>
              <w:top w:val="single" w:color="000000" w:sz="4" w:space="0"/>
              <w:left w:val="single" w:color="000000" w:sz="4" w:space="0"/>
              <w:bottom w:val="nil"/>
              <w:right w:val="single" w:color="000000" w:sz="4" w:space="0"/>
            </w:tcBorders>
            <w:shd w:val="clear"/>
            <w:vAlign w:val="center"/>
          </w:tcPr>
          <w:p w14:paraId="69792FBA">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2B0CC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66" w:type="dxa"/>
            <w:tcBorders>
              <w:top w:val="single" w:color="000000" w:sz="4" w:space="0"/>
              <w:left w:val="single" w:color="000000" w:sz="4" w:space="0"/>
              <w:bottom w:val="nil"/>
              <w:right w:val="single" w:color="000000" w:sz="4" w:space="0"/>
            </w:tcBorders>
            <w:shd w:val="clear"/>
            <w:vAlign w:val="center"/>
          </w:tcPr>
          <w:p w14:paraId="2CF31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66" w:type="dxa"/>
            <w:tcBorders>
              <w:top w:val="single" w:color="000000" w:sz="4" w:space="0"/>
              <w:left w:val="single" w:color="000000" w:sz="4" w:space="0"/>
              <w:bottom w:val="nil"/>
              <w:right w:val="single" w:color="000000" w:sz="4" w:space="0"/>
            </w:tcBorders>
            <w:shd w:val="clear"/>
            <w:vAlign w:val="center"/>
          </w:tcPr>
          <w:p w14:paraId="6789C201">
            <w:pPr>
              <w:jc w:val="center"/>
              <w:rPr>
                <w:rFonts w:hint="eastAsia" w:ascii="宋体" w:hAnsi="宋体" w:eastAsia="宋体" w:cs="宋体"/>
                <w:i w:val="0"/>
                <w:iCs w:val="0"/>
                <w:color w:val="000000"/>
                <w:sz w:val="18"/>
                <w:szCs w:val="18"/>
                <w:u w:val="none"/>
              </w:rPr>
            </w:pPr>
          </w:p>
        </w:tc>
      </w:tr>
      <w:tr w14:paraId="2FFA5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70DF4595">
            <w:pPr>
              <w:jc w:val="center"/>
              <w:rPr>
                <w:rFonts w:hint="eastAsia" w:ascii="宋体" w:hAnsi="宋体" w:eastAsia="宋体" w:cs="宋体"/>
                <w:i w:val="0"/>
                <w:iCs w:val="0"/>
                <w:color w:val="000000"/>
                <w:sz w:val="18"/>
                <w:szCs w:val="18"/>
                <w:u w:val="none"/>
              </w:rPr>
            </w:pPr>
          </w:p>
        </w:tc>
        <w:tc>
          <w:tcPr>
            <w:tcW w:w="766" w:type="dxa"/>
            <w:vMerge w:val="restart"/>
            <w:tcBorders>
              <w:top w:val="single" w:color="000000" w:sz="4" w:space="0"/>
              <w:left w:val="single" w:color="000000" w:sz="4" w:space="0"/>
              <w:bottom w:val="nil"/>
              <w:right w:val="single" w:color="000000" w:sz="4" w:space="0"/>
            </w:tcBorders>
            <w:shd w:val="clear"/>
            <w:vAlign w:val="center"/>
          </w:tcPr>
          <w:p w14:paraId="77904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766" w:type="dxa"/>
            <w:vMerge w:val="restart"/>
            <w:tcBorders>
              <w:top w:val="single" w:color="000000" w:sz="4" w:space="0"/>
              <w:left w:val="single" w:color="000000" w:sz="4" w:space="0"/>
              <w:bottom w:val="nil"/>
              <w:right w:val="single" w:color="000000" w:sz="4" w:space="0"/>
            </w:tcBorders>
            <w:shd w:val="clear"/>
            <w:vAlign w:val="center"/>
          </w:tcPr>
          <w:p w14:paraId="0EDB6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66" w:type="dxa"/>
            <w:tcBorders>
              <w:top w:val="single" w:color="000000" w:sz="4" w:space="0"/>
              <w:left w:val="single" w:color="000000" w:sz="4" w:space="0"/>
              <w:bottom w:val="nil"/>
              <w:right w:val="single" w:color="000000" w:sz="4" w:space="0"/>
            </w:tcBorders>
            <w:shd w:val="clear"/>
            <w:vAlign w:val="center"/>
          </w:tcPr>
          <w:p w14:paraId="476E7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锅炉压力容器与特种设备被检测单位满意度</w:t>
            </w:r>
          </w:p>
        </w:tc>
        <w:tc>
          <w:tcPr>
            <w:tcW w:w="766" w:type="dxa"/>
            <w:tcBorders>
              <w:top w:val="single" w:color="000000" w:sz="4" w:space="0"/>
              <w:left w:val="single" w:color="000000" w:sz="4" w:space="0"/>
              <w:bottom w:val="nil"/>
              <w:right w:val="single" w:color="000000" w:sz="4" w:space="0"/>
            </w:tcBorders>
            <w:shd w:val="clear"/>
            <w:vAlign w:val="center"/>
          </w:tcPr>
          <w:p w14:paraId="52059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0E539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0172C5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w:t>
            </w:r>
          </w:p>
        </w:tc>
        <w:tc>
          <w:tcPr>
            <w:tcW w:w="766" w:type="dxa"/>
            <w:tcBorders>
              <w:top w:val="single" w:color="000000" w:sz="4" w:space="0"/>
              <w:left w:val="single" w:color="000000" w:sz="4" w:space="0"/>
              <w:bottom w:val="nil"/>
              <w:right w:val="single" w:color="000000" w:sz="4" w:space="0"/>
            </w:tcBorders>
            <w:shd w:val="clear"/>
            <w:vAlign w:val="center"/>
          </w:tcPr>
          <w:p w14:paraId="679E9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5B038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6" w:type="dxa"/>
            <w:tcBorders>
              <w:top w:val="single" w:color="000000" w:sz="4" w:space="0"/>
              <w:left w:val="single" w:color="000000" w:sz="4" w:space="0"/>
              <w:bottom w:val="nil"/>
              <w:right w:val="single" w:color="000000" w:sz="4" w:space="0"/>
            </w:tcBorders>
            <w:shd w:val="clear"/>
            <w:vAlign w:val="center"/>
          </w:tcPr>
          <w:p w14:paraId="180BE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66" w:type="dxa"/>
            <w:tcBorders>
              <w:top w:val="single" w:color="000000" w:sz="4" w:space="0"/>
              <w:left w:val="single" w:color="000000" w:sz="4" w:space="0"/>
              <w:bottom w:val="nil"/>
              <w:right w:val="single" w:color="000000" w:sz="4" w:space="0"/>
            </w:tcBorders>
            <w:shd w:val="clear"/>
            <w:vAlign w:val="center"/>
          </w:tcPr>
          <w:p w14:paraId="0BBC7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66" w:type="dxa"/>
            <w:tcBorders>
              <w:top w:val="single" w:color="000000" w:sz="4" w:space="0"/>
              <w:left w:val="single" w:color="000000" w:sz="4" w:space="0"/>
              <w:bottom w:val="nil"/>
              <w:right w:val="single" w:color="000000" w:sz="4" w:space="0"/>
            </w:tcBorders>
            <w:shd w:val="clear"/>
            <w:vAlign w:val="center"/>
          </w:tcPr>
          <w:p w14:paraId="6DF05380">
            <w:pPr>
              <w:jc w:val="center"/>
              <w:rPr>
                <w:rFonts w:hint="eastAsia" w:ascii="宋体" w:hAnsi="宋体" w:eastAsia="宋体" w:cs="宋体"/>
                <w:i w:val="0"/>
                <w:iCs w:val="0"/>
                <w:color w:val="000000"/>
                <w:sz w:val="18"/>
                <w:szCs w:val="18"/>
                <w:u w:val="none"/>
              </w:rPr>
            </w:pPr>
          </w:p>
        </w:tc>
      </w:tr>
      <w:tr w14:paraId="3F9E5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vAlign w:val="center"/>
          </w:tcPr>
          <w:p w14:paraId="4FBDF9A5">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469FB9C6">
            <w:pPr>
              <w:jc w:val="center"/>
              <w:rPr>
                <w:rFonts w:hint="eastAsia" w:ascii="宋体" w:hAnsi="宋体" w:eastAsia="宋体" w:cs="宋体"/>
                <w:i w:val="0"/>
                <w:iCs w:val="0"/>
                <w:color w:val="000000"/>
                <w:sz w:val="18"/>
                <w:szCs w:val="18"/>
                <w:u w:val="none"/>
              </w:rPr>
            </w:pPr>
          </w:p>
        </w:tc>
        <w:tc>
          <w:tcPr>
            <w:tcW w:w="766" w:type="dxa"/>
            <w:vMerge w:val="continue"/>
            <w:tcBorders>
              <w:top w:val="single" w:color="000000" w:sz="4" w:space="0"/>
              <w:left w:val="single" w:color="000000" w:sz="4" w:space="0"/>
              <w:bottom w:val="nil"/>
              <w:right w:val="single" w:color="000000" w:sz="4" w:space="0"/>
            </w:tcBorders>
            <w:shd w:val="clear"/>
            <w:vAlign w:val="center"/>
          </w:tcPr>
          <w:p w14:paraId="306D4949">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nil"/>
              <w:right w:val="single" w:color="000000" w:sz="4" w:space="0"/>
            </w:tcBorders>
            <w:shd w:val="clear"/>
            <w:vAlign w:val="center"/>
          </w:tcPr>
          <w:p w14:paraId="5DBA1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参加培训人员满意度</w:t>
            </w:r>
          </w:p>
        </w:tc>
        <w:tc>
          <w:tcPr>
            <w:tcW w:w="766" w:type="dxa"/>
            <w:tcBorders>
              <w:top w:val="single" w:color="000000" w:sz="4" w:space="0"/>
              <w:left w:val="single" w:color="000000" w:sz="4" w:space="0"/>
              <w:bottom w:val="nil"/>
              <w:right w:val="single" w:color="000000" w:sz="4" w:space="0"/>
            </w:tcBorders>
            <w:shd w:val="clear"/>
            <w:vAlign w:val="center"/>
          </w:tcPr>
          <w:p w14:paraId="5692C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66" w:type="dxa"/>
            <w:tcBorders>
              <w:top w:val="single" w:color="000000" w:sz="4" w:space="0"/>
              <w:left w:val="single" w:color="000000" w:sz="4" w:space="0"/>
              <w:bottom w:val="nil"/>
              <w:right w:val="single" w:color="000000" w:sz="4" w:space="0"/>
            </w:tcBorders>
            <w:shd w:val="clear"/>
            <w:vAlign w:val="center"/>
          </w:tcPr>
          <w:p w14:paraId="367AB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66" w:type="dxa"/>
            <w:tcBorders>
              <w:top w:val="single" w:color="000000" w:sz="4" w:space="0"/>
              <w:left w:val="single" w:color="000000" w:sz="4" w:space="0"/>
              <w:bottom w:val="nil"/>
              <w:right w:val="single" w:color="000000" w:sz="4" w:space="0"/>
            </w:tcBorders>
            <w:shd w:val="clear"/>
            <w:vAlign w:val="center"/>
          </w:tcPr>
          <w:p w14:paraId="13AD91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98</w:t>
            </w:r>
          </w:p>
        </w:tc>
        <w:tc>
          <w:tcPr>
            <w:tcW w:w="766" w:type="dxa"/>
            <w:tcBorders>
              <w:top w:val="single" w:color="000000" w:sz="4" w:space="0"/>
              <w:left w:val="single" w:color="000000" w:sz="4" w:space="0"/>
              <w:bottom w:val="nil"/>
              <w:right w:val="single" w:color="000000" w:sz="4" w:space="0"/>
            </w:tcBorders>
            <w:shd w:val="clear"/>
            <w:vAlign w:val="center"/>
          </w:tcPr>
          <w:p w14:paraId="41C6E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nil"/>
              <w:right w:val="single" w:color="000000" w:sz="4" w:space="0"/>
            </w:tcBorders>
            <w:shd w:val="clear"/>
            <w:vAlign w:val="center"/>
          </w:tcPr>
          <w:p w14:paraId="10FD9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66" w:type="dxa"/>
            <w:tcBorders>
              <w:top w:val="single" w:color="000000" w:sz="4" w:space="0"/>
              <w:left w:val="single" w:color="000000" w:sz="4" w:space="0"/>
              <w:bottom w:val="nil"/>
              <w:right w:val="single" w:color="000000" w:sz="4" w:space="0"/>
            </w:tcBorders>
            <w:shd w:val="clear"/>
            <w:vAlign w:val="center"/>
          </w:tcPr>
          <w:p w14:paraId="4DE9F5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66" w:type="dxa"/>
            <w:tcBorders>
              <w:top w:val="single" w:color="000000" w:sz="4" w:space="0"/>
              <w:left w:val="single" w:color="000000" w:sz="4" w:space="0"/>
              <w:bottom w:val="nil"/>
              <w:right w:val="single" w:color="000000" w:sz="4" w:space="0"/>
            </w:tcBorders>
            <w:shd w:val="clear"/>
            <w:vAlign w:val="center"/>
          </w:tcPr>
          <w:p w14:paraId="0796F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66" w:type="dxa"/>
            <w:tcBorders>
              <w:top w:val="single" w:color="000000" w:sz="4" w:space="0"/>
              <w:left w:val="single" w:color="000000" w:sz="4" w:space="0"/>
              <w:bottom w:val="nil"/>
              <w:right w:val="single" w:color="000000" w:sz="4" w:space="0"/>
            </w:tcBorders>
            <w:shd w:val="clear"/>
            <w:vAlign w:val="center"/>
          </w:tcPr>
          <w:p w14:paraId="03E8FB20">
            <w:pPr>
              <w:jc w:val="center"/>
              <w:rPr>
                <w:rFonts w:hint="eastAsia" w:ascii="宋体" w:hAnsi="宋体" w:eastAsia="宋体" w:cs="宋体"/>
                <w:i w:val="0"/>
                <w:iCs w:val="0"/>
                <w:color w:val="000000"/>
                <w:sz w:val="18"/>
                <w:szCs w:val="18"/>
                <w:u w:val="none"/>
              </w:rPr>
            </w:pPr>
          </w:p>
        </w:tc>
      </w:tr>
      <w:tr w14:paraId="3455D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6894" w:type="dxa"/>
            <w:gridSpan w:val="9"/>
            <w:tcBorders>
              <w:top w:val="single" w:color="000000" w:sz="4" w:space="0"/>
              <w:left w:val="single" w:color="000000" w:sz="4" w:space="0"/>
              <w:bottom w:val="single" w:color="000000" w:sz="4" w:space="0"/>
              <w:right w:val="single" w:color="000000" w:sz="4" w:space="0"/>
            </w:tcBorders>
            <w:shd w:val="clear"/>
            <w:vAlign w:val="center"/>
          </w:tcPr>
          <w:p w14:paraId="7F29C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32064A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04B00A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92.43</w:t>
            </w:r>
          </w:p>
        </w:tc>
        <w:tc>
          <w:tcPr>
            <w:tcW w:w="766" w:type="dxa"/>
            <w:tcBorders>
              <w:top w:val="single" w:color="000000" w:sz="4" w:space="0"/>
              <w:left w:val="single" w:color="000000" w:sz="4" w:space="0"/>
              <w:bottom w:val="single" w:color="000000" w:sz="4" w:space="0"/>
              <w:right w:val="single" w:color="000000" w:sz="4" w:space="0"/>
            </w:tcBorders>
            <w:shd w:val="clear"/>
            <w:vAlign w:val="center"/>
          </w:tcPr>
          <w:p w14:paraId="2938DC47">
            <w:pPr>
              <w:jc w:val="center"/>
              <w:rPr>
                <w:rFonts w:hint="eastAsia" w:ascii="宋体" w:hAnsi="宋体" w:eastAsia="宋体" w:cs="宋体"/>
                <w:i w:val="0"/>
                <w:iCs w:val="0"/>
                <w:color w:val="000000"/>
                <w:sz w:val="18"/>
                <w:szCs w:val="18"/>
                <w:u w:val="none"/>
              </w:rPr>
            </w:pPr>
          </w:p>
        </w:tc>
      </w:tr>
    </w:tbl>
    <w:p w14:paraId="236E6FAC">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（三）部门项目绩效评价结果。</w:t>
      </w:r>
    </w:p>
    <w:p w14:paraId="611C2EE2">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以</w:t>
      </w:r>
      <w:r>
        <w:rPr>
          <w:rFonts w:hint="eastAsia" w:ascii="FangSong_GB2312" w:hAnsi="FangSong_GB2312" w:eastAsia="FangSong_GB2312" w:cs="FangSong_GB2312"/>
          <w:kern w:val="0"/>
          <w:sz w:val="32"/>
          <w:szCs w:val="32"/>
          <w:lang w:val="en-US" w:eastAsia="zh-CN"/>
        </w:rPr>
        <w:t>特种设备安全监管</w:t>
      </w:r>
      <w:r>
        <w:rPr>
          <w:rFonts w:ascii="FangSong_GB2312" w:hAnsi="FangSong_GB2312" w:eastAsia="FangSong_GB2312" w:cs="FangSong_GB2312"/>
          <w:kern w:val="0"/>
          <w:sz w:val="32"/>
          <w:szCs w:val="32"/>
        </w:rPr>
        <w:t>项目为例，该项目绩效评价综合</w:t>
      </w:r>
      <w:r>
        <w:rPr>
          <w:rFonts w:ascii="FangSong_GB2312" w:hAnsi="FangSong_GB2312" w:eastAsia="FangSong_GB2312" w:cs="FangSong_GB2312"/>
          <w:color w:val="auto"/>
          <w:kern w:val="0"/>
          <w:sz w:val="32"/>
          <w:szCs w:val="32"/>
        </w:rPr>
        <w:t>得分为</w:t>
      </w:r>
      <w:r>
        <w:rPr>
          <w:rFonts w:hint="eastAsia" w:eastAsia="宋体"/>
          <w:color w:val="auto"/>
          <w:kern w:val="0"/>
          <w:sz w:val="32"/>
          <w:szCs w:val="32"/>
          <w:u w:val="single" w:color="000AFF"/>
          <w:lang w:val="en-US" w:eastAsia="zh-CN"/>
        </w:rPr>
        <w:t>92.43</w:t>
      </w:r>
      <w:r>
        <w:rPr>
          <w:rFonts w:ascii="FangSong_GB2312" w:hAnsi="FangSong_GB2312" w:eastAsia="FangSong_GB2312" w:cs="FangSong_GB2312"/>
          <w:color w:val="auto"/>
          <w:kern w:val="0"/>
          <w:sz w:val="32"/>
          <w:szCs w:val="32"/>
        </w:rPr>
        <w:t>分，绩效评价结果为“优”。部门项目绩效评价得分情况详见部门（单位）具体绩效评价结果。</w:t>
      </w:r>
    </w:p>
    <w:p w14:paraId="61A6DAC6">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（四）部门（单位）预算绩效管理制度和核心绩效指标标准体系建设情况。</w:t>
      </w:r>
    </w:p>
    <w:p w14:paraId="09690FBB">
      <w:pPr>
        <w:pStyle w:val="30"/>
        <w:widowControl/>
        <w:spacing w:before="240" w:after="240" w:line="560" w:lineRule="atLeast"/>
        <w:ind w:firstLine="640"/>
        <w:jc w:val="left"/>
        <w:rPr>
          <w:rFonts w:ascii="FangSong_GB2312" w:hAnsi="FangSong_GB2312" w:eastAsia="FangSong_GB2312" w:cs="FangSong_GB2312"/>
          <w:color w:val="auto"/>
          <w:kern w:val="0"/>
          <w:sz w:val="32"/>
          <w:szCs w:val="32"/>
        </w:rPr>
      </w:pPr>
      <w:r>
        <w:rPr>
          <w:rFonts w:ascii="FangSong_GB2312" w:hAnsi="FangSong_GB2312" w:eastAsia="FangSong_GB2312" w:cs="FangSong_GB2312"/>
          <w:color w:val="auto"/>
          <w:kern w:val="0"/>
          <w:sz w:val="32"/>
          <w:szCs w:val="32"/>
        </w:rPr>
        <w:t>已建立预算绩效管理制度，完善全流程绩效管理。推进核心绩效指标标准体系建设，细化指标分类，强化指标应用，提升绩效评价规范化水平。</w:t>
      </w:r>
    </w:p>
    <w:p w14:paraId="1787D46D">
      <w:pPr>
        <w:pStyle w:val="5"/>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14:paraId="7C0A6692">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一、财政拨款收入：</w:t>
      </w:r>
      <w:r>
        <w:rPr>
          <w:rFonts w:ascii="FangSong_GB2312" w:hAnsi="FangSong_GB2312" w:eastAsia="FangSong_GB2312" w:cs="FangSong_GB2312"/>
          <w:kern w:val="0"/>
          <w:sz w:val="32"/>
          <w:szCs w:val="32"/>
        </w:rPr>
        <w:t>从同级财政部门取得的各类财政拨款，包括一般公共预算财政拨款、政府性基金预算财政拨款、国有资本经营预算财政拨款。</w:t>
      </w:r>
    </w:p>
    <w:p w14:paraId="5C623E74">
      <w:pPr>
        <w:pStyle w:val="30"/>
        <w:widowControl/>
        <w:spacing w:before="240" w:after="240" w:line="560" w:lineRule="atLeast"/>
        <w:ind w:firstLine="643"/>
        <w:jc w:val="left"/>
        <w:rPr>
          <w:rFonts w:ascii="Times New Roman" w:hAnsi="Times New Roman" w:eastAsia="Times New Roman" w:cs="Times New Roman"/>
          <w:kern w:val="0"/>
          <w:sz w:val="24"/>
        </w:rPr>
      </w:pPr>
      <w:r>
        <w:rPr>
          <w:rFonts w:hint="eastAsia" w:ascii="FangSong_GB2312" w:hAnsi="FangSong_GB2312" w:eastAsia="FangSong_GB2312" w:cs="FangSong_GB2312"/>
          <w:b/>
          <w:bCs/>
          <w:kern w:val="0"/>
          <w:sz w:val="32"/>
          <w:szCs w:val="32"/>
          <w:lang w:val="en-US" w:eastAsia="zh-CN"/>
        </w:rPr>
        <w:t>二</w:t>
      </w:r>
      <w:r>
        <w:rPr>
          <w:rFonts w:ascii="FangSong_GB2312" w:hAnsi="FangSong_GB2312" w:eastAsia="FangSong_GB2312" w:cs="FangSong_GB2312"/>
          <w:b/>
          <w:bCs/>
          <w:kern w:val="0"/>
          <w:sz w:val="32"/>
          <w:szCs w:val="32"/>
        </w:rPr>
        <w:t>、经营收入：</w:t>
      </w:r>
      <w:r>
        <w:rPr>
          <w:rFonts w:ascii="FangSong_GB2312" w:hAnsi="FangSong_GB2312" w:eastAsia="FangSong_GB2312" w:cs="FangSong_GB2312"/>
          <w:kern w:val="0"/>
          <w:sz w:val="32"/>
          <w:szCs w:val="32"/>
        </w:rPr>
        <w:t>指事业单位在专业业务活动及其辅助活动之外开展非独立核算经营活动取得的收入。</w:t>
      </w:r>
    </w:p>
    <w:p w14:paraId="5391D64E">
      <w:pPr>
        <w:pStyle w:val="30"/>
        <w:widowControl/>
        <w:spacing w:before="240" w:after="240" w:line="560" w:lineRule="atLeast"/>
        <w:ind w:firstLine="643"/>
        <w:jc w:val="left"/>
        <w:rPr>
          <w:rFonts w:ascii="Times New Roman" w:hAnsi="Times New Roman" w:eastAsia="Times New Roman" w:cs="Times New Roman"/>
          <w:kern w:val="0"/>
          <w:sz w:val="24"/>
        </w:rPr>
      </w:pPr>
      <w:r>
        <w:rPr>
          <w:rFonts w:hint="eastAsia" w:ascii="FangSong_GB2312" w:hAnsi="FangSong_GB2312" w:eastAsia="FangSong_GB2312" w:cs="FangSong_GB2312"/>
          <w:b/>
          <w:bCs/>
          <w:kern w:val="0"/>
          <w:sz w:val="32"/>
          <w:szCs w:val="32"/>
          <w:lang w:val="en-US" w:eastAsia="zh-CN"/>
        </w:rPr>
        <w:t>三</w:t>
      </w:r>
      <w:r>
        <w:rPr>
          <w:rFonts w:ascii="FangSong_GB2312" w:hAnsi="FangSong_GB2312" w:eastAsia="FangSong_GB2312" w:cs="FangSong_GB2312"/>
          <w:b/>
          <w:bCs/>
          <w:kern w:val="0"/>
          <w:sz w:val="32"/>
          <w:szCs w:val="32"/>
        </w:rPr>
        <w:t>、使用非财政拨款结余（含专用结余）：</w:t>
      </w:r>
      <w:r>
        <w:rPr>
          <w:rFonts w:ascii="FangSong_GB2312" w:hAnsi="FangSong_GB2312" w:eastAsia="FangSong_GB2312" w:cs="FangSong_GB2312"/>
          <w:kern w:val="0"/>
          <w:sz w:val="32"/>
          <w:szCs w:val="32"/>
        </w:rPr>
        <w:t>指事业单位按照预算管理要求使用非财政拨款结余弥补收支差额的金额，以及使用专用结余安排支出的金额。</w:t>
      </w:r>
    </w:p>
    <w:p w14:paraId="78911287">
      <w:pPr>
        <w:pStyle w:val="30"/>
        <w:widowControl/>
        <w:spacing w:before="240" w:after="240" w:line="560" w:lineRule="atLeast"/>
        <w:ind w:firstLine="643"/>
        <w:jc w:val="left"/>
        <w:rPr>
          <w:rFonts w:ascii="Times New Roman" w:hAnsi="Times New Roman" w:eastAsia="Times New Roman" w:cs="Times New Roman"/>
          <w:kern w:val="0"/>
          <w:sz w:val="24"/>
        </w:rPr>
      </w:pPr>
      <w:r>
        <w:rPr>
          <w:rFonts w:hint="eastAsia" w:ascii="FangSong_GB2312" w:hAnsi="FangSong_GB2312" w:eastAsia="FangSong_GB2312" w:cs="FangSong_GB2312"/>
          <w:b/>
          <w:bCs/>
          <w:kern w:val="0"/>
          <w:sz w:val="32"/>
          <w:szCs w:val="32"/>
          <w:lang w:val="en-US" w:eastAsia="zh-CN"/>
        </w:rPr>
        <w:t>四</w:t>
      </w:r>
      <w:r>
        <w:rPr>
          <w:rFonts w:ascii="FangSong_GB2312" w:hAnsi="FangSong_GB2312" w:eastAsia="FangSong_GB2312" w:cs="FangSong_GB2312"/>
          <w:b/>
          <w:bCs/>
          <w:kern w:val="0"/>
          <w:sz w:val="32"/>
          <w:szCs w:val="32"/>
        </w:rPr>
        <w:t>、年初结转和结余：</w:t>
      </w:r>
      <w:r>
        <w:rPr>
          <w:rFonts w:ascii="FangSong_GB2312" w:hAnsi="FangSong_GB2312" w:eastAsia="FangSong_GB2312" w:cs="FangSong_GB2312"/>
          <w:kern w:val="0"/>
          <w:sz w:val="32"/>
          <w:szCs w:val="32"/>
        </w:rPr>
        <w:t>指单位上年结转本年使用的基本支出结转、项目支出结转和结余、经营结余。</w:t>
      </w:r>
    </w:p>
    <w:p w14:paraId="6F3C95BD">
      <w:pPr>
        <w:pStyle w:val="30"/>
        <w:widowControl/>
        <w:spacing w:before="240" w:after="240" w:line="560" w:lineRule="atLeast"/>
        <w:ind w:firstLine="643"/>
        <w:jc w:val="left"/>
        <w:rPr>
          <w:rFonts w:ascii="Times New Roman" w:hAnsi="Times New Roman" w:eastAsia="Times New Roman" w:cs="Times New Roman"/>
          <w:kern w:val="0"/>
          <w:sz w:val="24"/>
        </w:rPr>
      </w:pPr>
      <w:r>
        <w:rPr>
          <w:rFonts w:hint="eastAsia" w:ascii="FangSong_GB2312" w:hAnsi="FangSong_GB2312" w:eastAsia="FangSong_GB2312" w:cs="FangSong_GB2312"/>
          <w:b/>
          <w:bCs/>
          <w:kern w:val="0"/>
          <w:sz w:val="32"/>
          <w:szCs w:val="32"/>
          <w:lang w:val="en-US" w:eastAsia="zh-CN"/>
        </w:rPr>
        <w:t>五</w:t>
      </w:r>
      <w:r>
        <w:rPr>
          <w:rFonts w:ascii="FangSong_GB2312" w:hAnsi="FangSong_GB2312" w:eastAsia="FangSong_GB2312" w:cs="FangSong_GB2312"/>
          <w:b/>
          <w:bCs/>
          <w:kern w:val="0"/>
          <w:sz w:val="32"/>
          <w:szCs w:val="32"/>
        </w:rPr>
        <w:t>、结余分配：</w:t>
      </w:r>
      <w:r>
        <w:rPr>
          <w:rFonts w:ascii="FangSong_GB2312" w:hAnsi="FangSong_GB2312" w:eastAsia="FangSong_GB2312" w:cs="FangSong_GB2312"/>
          <w:kern w:val="0"/>
          <w:sz w:val="32"/>
          <w:szCs w:val="32"/>
        </w:rPr>
        <w:t>指单位按规定缴纳企业所得税以及从非财政拨款结余或经营结余中提取各类结余的情况。</w:t>
      </w:r>
    </w:p>
    <w:p w14:paraId="20282C07">
      <w:pPr>
        <w:pStyle w:val="30"/>
        <w:widowControl/>
        <w:spacing w:before="240" w:after="240" w:line="560" w:lineRule="atLeast"/>
        <w:ind w:firstLine="643"/>
        <w:jc w:val="left"/>
        <w:rPr>
          <w:rFonts w:ascii="Times New Roman" w:hAnsi="Times New Roman" w:eastAsia="Times New Roman" w:cs="Times New Roman"/>
          <w:kern w:val="0"/>
          <w:sz w:val="24"/>
        </w:rPr>
      </w:pPr>
      <w:r>
        <w:rPr>
          <w:rFonts w:hint="eastAsia" w:ascii="FangSong_GB2312" w:hAnsi="FangSong_GB2312" w:eastAsia="FangSong_GB2312" w:cs="FangSong_GB2312"/>
          <w:b/>
          <w:bCs/>
          <w:kern w:val="0"/>
          <w:sz w:val="32"/>
          <w:szCs w:val="32"/>
          <w:lang w:val="en-US" w:eastAsia="zh-CN"/>
        </w:rPr>
        <w:t>六</w:t>
      </w:r>
      <w:r>
        <w:rPr>
          <w:rFonts w:ascii="FangSong_GB2312" w:hAnsi="FangSong_GB2312" w:eastAsia="FangSong_GB2312" w:cs="FangSong_GB2312"/>
          <w:b/>
          <w:bCs/>
          <w:kern w:val="0"/>
          <w:sz w:val="32"/>
          <w:szCs w:val="32"/>
        </w:rPr>
        <w:t>、年末结转和结余资金：</w:t>
      </w:r>
      <w:r>
        <w:rPr>
          <w:rFonts w:ascii="FangSong_GB2312" w:hAnsi="FangSong_GB2312" w:eastAsia="FangSong_GB2312" w:cs="FangSong_GB2312"/>
          <w:kern w:val="0"/>
          <w:sz w:val="32"/>
          <w:szCs w:val="32"/>
        </w:rPr>
        <w:t>指单位结转下年的基本支出结转、项目支出结转和结余、经营结余。</w:t>
      </w:r>
    </w:p>
    <w:p w14:paraId="30BDA880">
      <w:pPr>
        <w:pStyle w:val="30"/>
        <w:widowControl/>
        <w:spacing w:before="240" w:after="240" w:line="560" w:lineRule="atLeast"/>
        <w:ind w:firstLine="643"/>
        <w:jc w:val="left"/>
        <w:rPr>
          <w:rFonts w:ascii="Times New Roman" w:hAnsi="Times New Roman" w:eastAsia="Times New Roman" w:cs="Times New Roman"/>
          <w:kern w:val="0"/>
          <w:sz w:val="24"/>
        </w:rPr>
      </w:pPr>
      <w:r>
        <w:rPr>
          <w:rFonts w:hint="eastAsia" w:ascii="FangSong_GB2312" w:hAnsi="FangSong_GB2312" w:eastAsia="FangSong_GB2312" w:cs="FangSong_GB2312"/>
          <w:b/>
          <w:bCs/>
          <w:kern w:val="0"/>
          <w:sz w:val="32"/>
          <w:szCs w:val="32"/>
          <w:lang w:val="en-US" w:eastAsia="zh-CN"/>
        </w:rPr>
        <w:t>七</w:t>
      </w:r>
      <w:r>
        <w:rPr>
          <w:rFonts w:ascii="FangSong_GB2312" w:hAnsi="FangSong_GB2312" w:eastAsia="FangSong_GB2312" w:cs="FangSong_GB2312"/>
          <w:b/>
          <w:bCs/>
          <w:kern w:val="0"/>
          <w:sz w:val="32"/>
          <w:szCs w:val="32"/>
        </w:rPr>
        <w:t>、基本支出：</w:t>
      </w:r>
      <w:r>
        <w:rPr>
          <w:rFonts w:ascii="FangSong_GB2312" w:hAnsi="FangSong_GB2312" w:eastAsia="FangSong_GB2312" w:cs="FangSong_GB2312"/>
          <w:kern w:val="0"/>
          <w:sz w:val="32"/>
          <w:szCs w:val="32"/>
        </w:rPr>
        <w:t>指为保障机构正常运转、完成日常工作任务所发生的支出，包括人员经费和公用经费。</w:t>
      </w:r>
    </w:p>
    <w:p w14:paraId="6798E2D3">
      <w:pPr>
        <w:pStyle w:val="30"/>
        <w:widowControl/>
        <w:spacing w:before="240" w:after="240" w:line="560" w:lineRule="atLeast"/>
        <w:ind w:firstLine="643"/>
        <w:jc w:val="left"/>
        <w:rPr>
          <w:rFonts w:ascii="Times New Roman" w:hAnsi="Times New Roman" w:eastAsia="Times New Roman" w:cs="Times New Roman"/>
          <w:kern w:val="0"/>
          <w:sz w:val="24"/>
        </w:rPr>
      </w:pPr>
      <w:r>
        <w:rPr>
          <w:rFonts w:hint="eastAsia" w:ascii="FangSong_GB2312" w:hAnsi="FangSong_GB2312" w:eastAsia="FangSong_GB2312" w:cs="FangSong_GB2312"/>
          <w:b/>
          <w:bCs/>
          <w:color w:val="000000"/>
          <w:kern w:val="0"/>
          <w:sz w:val="32"/>
          <w:szCs w:val="32"/>
          <w:lang w:val="en-US" w:eastAsia="zh-CN"/>
        </w:rPr>
        <w:t>八</w:t>
      </w:r>
      <w:r>
        <w:rPr>
          <w:rFonts w:ascii="FangSong_GB2312" w:hAnsi="FangSong_GB2312" w:eastAsia="FangSong_GB2312" w:cs="FangSong_GB2312"/>
          <w:b/>
          <w:bCs/>
          <w:color w:val="000000"/>
          <w:kern w:val="0"/>
          <w:sz w:val="32"/>
          <w:szCs w:val="32"/>
        </w:rPr>
        <w:t>、项目支出：</w:t>
      </w:r>
      <w:r>
        <w:rPr>
          <w:rFonts w:ascii="FangSong_GB2312" w:hAnsi="FangSong_GB2312" w:eastAsia="FangSong_GB2312" w:cs="FangSong_GB2312"/>
          <w:color w:val="000000"/>
          <w:kern w:val="0"/>
          <w:sz w:val="32"/>
          <w:szCs w:val="32"/>
        </w:rPr>
        <w:t>指单位为完成特定的行政工作任务或事业发展目标，在基本支出之外发生的各项支出。</w:t>
      </w:r>
    </w:p>
    <w:p w14:paraId="04244DE4">
      <w:pPr>
        <w:pStyle w:val="30"/>
        <w:widowControl/>
        <w:spacing w:before="240" w:after="240" w:line="560" w:lineRule="atLeast"/>
        <w:ind w:firstLine="643"/>
        <w:jc w:val="left"/>
        <w:rPr>
          <w:rFonts w:ascii="Times New Roman" w:hAnsi="Times New Roman" w:eastAsia="Times New Roman" w:cs="Times New Roman"/>
          <w:kern w:val="0"/>
          <w:sz w:val="24"/>
        </w:rPr>
      </w:pPr>
      <w:r>
        <w:rPr>
          <w:rFonts w:hint="eastAsia" w:ascii="FangSong_GB2312" w:hAnsi="FangSong_GB2312" w:eastAsia="FangSong_GB2312" w:cs="FangSong_GB2312"/>
          <w:b/>
          <w:bCs/>
          <w:kern w:val="0"/>
          <w:sz w:val="32"/>
          <w:szCs w:val="32"/>
          <w:lang w:val="en-US" w:eastAsia="zh-CN"/>
        </w:rPr>
        <w:t>九</w:t>
      </w:r>
      <w:r>
        <w:rPr>
          <w:rFonts w:ascii="FangSong_GB2312" w:hAnsi="FangSong_GB2312" w:eastAsia="FangSong_GB2312" w:cs="FangSong_GB2312"/>
          <w:b/>
          <w:bCs/>
          <w:kern w:val="0"/>
          <w:sz w:val="32"/>
          <w:szCs w:val="32"/>
        </w:rPr>
        <w:t>、经营支出：</w:t>
      </w:r>
      <w:r>
        <w:rPr>
          <w:rFonts w:ascii="FangSong_GB2312" w:hAnsi="FangSong_GB2312" w:eastAsia="FangSong_GB2312" w:cs="FangSong_GB2312"/>
          <w:kern w:val="0"/>
          <w:sz w:val="32"/>
          <w:szCs w:val="32"/>
        </w:rPr>
        <w:t>指事业单位在专业业务活动及其辅助活动之外开展非独立核算经营活动发生的支出。</w:t>
      </w:r>
    </w:p>
    <w:p w14:paraId="383B3B52">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十、“三公”经费：</w:t>
      </w:r>
      <w:r>
        <w:rPr>
          <w:rFonts w:ascii="FangSong_GB2312" w:hAnsi="FangSong_GB2312" w:eastAsia="FangSong_GB2312" w:cs="FangSong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维修费、过路过桥费、保险费、安全奖励费用等支出；公务接待费反映部门（单位）按规定开支的各类公务接待（含外宾接待）费用。</w:t>
      </w:r>
    </w:p>
    <w:p w14:paraId="0CCF84E6">
      <w:pPr>
        <w:widowControl/>
        <w:spacing w:before="240" w:after="240"/>
        <w:jc w:val="left"/>
        <w:rPr>
          <w:rFonts w:ascii="Times New Roman" w:hAnsi="Times New Roman" w:eastAsia="Times New Roman" w:cs="Times New Roman"/>
          <w:kern w:val="0"/>
          <w:sz w:val="24"/>
        </w:rPr>
      </w:pPr>
    </w:p>
    <w:p w14:paraId="483F5A69">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14:paraId="6904DFE1">
      <w:pPr>
        <w:widowControl/>
        <w:spacing w:before="240" w:after="240"/>
        <w:jc w:val="left"/>
        <w:rPr>
          <w:rFonts w:ascii="Times New Roman" w:hAnsi="Times New Roman" w:eastAsia="Times New Roman" w:cs="Times New Roman"/>
          <w:kern w:val="0"/>
          <w:sz w:val="24"/>
        </w:rPr>
      </w:pPr>
    </w:p>
    <w:p w14:paraId="27D9F70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本部门（单位）决算公开信息反馈和联系方式：</w:t>
      </w:r>
    </w:p>
    <w:p w14:paraId="3AC74B6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联系人：</w:t>
      </w:r>
      <w:r>
        <w:rPr>
          <w:rFonts w:ascii="FangSong_GB2312" w:hAnsi="FangSong_GB2312" w:eastAsia="FangSong_GB2312" w:cs="FangSong_GB2312"/>
          <w:kern w:val="0"/>
          <w:sz w:val="32"/>
          <w:szCs w:val="32"/>
          <w:lang w:eastAsia="en-US"/>
        </w:rPr>
        <w:t>陆梦瑶</w:t>
      </w:r>
      <w:r>
        <w:rPr>
          <w:rFonts w:ascii="Times New Roman" w:hAnsi="Times New Roman" w:eastAsia="Times New Roman" w:cs="Times New Roman"/>
          <w:kern w:val="0"/>
          <w:sz w:val="32"/>
          <w:szCs w:val="32"/>
          <w:lang w:eastAsia="en-US"/>
        </w:rPr>
        <w:t xml:space="preserve">              </w:t>
      </w:r>
      <w:r>
        <w:rPr>
          <w:rFonts w:ascii="FangSong_GB2312" w:hAnsi="FangSong_GB2312" w:eastAsia="FangSong_GB2312" w:cs="FangSong_GB2312"/>
          <w:kern w:val="0"/>
          <w:sz w:val="32"/>
          <w:szCs w:val="32"/>
        </w:rPr>
        <w:t>联系电话：</w:t>
      </w:r>
      <w:r>
        <w:rPr>
          <w:rFonts w:ascii="FangSong_GB2312" w:hAnsi="FangSong_GB2312" w:eastAsia="FangSong_GB2312" w:cs="FangSong_GB2312"/>
          <w:kern w:val="0"/>
          <w:sz w:val="32"/>
          <w:szCs w:val="32"/>
          <w:lang w:eastAsia="en-US"/>
        </w:rPr>
        <w:t>0483-8350064-</w:t>
      </w:r>
      <w:r>
        <w:rPr>
          <w:rFonts w:ascii="Calibri" w:hAnsi="Calibri" w:eastAsia="Calibri" w:cs="Calibri"/>
          <w:kern w:val="0"/>
          <w:sz w:val="32"/>
          <w:szCs w:val="32"/>
          <w:lang w:eastAsia="en-US"/>
        </w:rPr>
        <w:t> </w:t>
      </w:r>
    </w:p>
    <w:p w14:paraId="0B97DA3D">
      <w:pPr>
        <w:widowControl/>
        <w:spacing w:before="240" w:after="240"/>
        <w:jc w:val="left"/>
        <w:rPr>
          <w:rFonts w:ascii="Times New Roman" w:hAnsi="Times New Roman" w:eastAsia="Times New Roman" w:cs="Times New Roman"/>
          <w:kern w:val="0"/>
          <w:sz w:val="24"/>
        </w:rPr>
      </w:pPr>
    </w:p>
    <w:p w14:paraId="7A210AD8">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部门（单位）决算表</w:t>
      </w:r>
    </w:p>
    <w:p w14:paraId="1564BE66">
      <w:pPr>
        <w:pStyle w:val="30"/>
        <w:widowControl/>
        <w:spacing w:before="240" w:after="240"/>
        <w:ind w:left="0" w:right="0"/>
        <w:jc w:val="center"/>
        <w:rPr>
          <w:rFonts w:ascii="Times New Roman" w:hAnsi="Times New Roman" w:eastAsia="Times New Roman" w:cs="Times New Roman"/>
          <w:kern w:val="0"/>
          <w:sz w:val="24"/>
        </w:rPr>
      </w:pPr>
      <w:r>
        <w:rPr>
          <w:rFonts w:ascii="Times New Roman" w:hAnsi="Times New Roman" w:eastAsia="Times New Roman" w:cs="Times New Roman"/>
          <w:kern w:val="0"/>
          <w:sz w:val="24"/>
          <w:lang w:eastAsia="en-US"/>
        </w:rPr>
        <w:t> </w:t>
      </w:r>
    </w:p>
    <w:p w14:paraId="6A620EAB">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见附件。</w:t>
      </w:r>
    </w:p>
    <w:bookmarkEnd w:id="0"/>
    <w:p w14:paraId="7F02B046">
      <w:pPr>
        <w:adjustRightInd w:val="0"/>
        <w:snapToGrid w:val="0"/>
        <w:rPr>
          <w:rFonts w:ascii="宋体" w:hAnsi="宋体"/>
          <w:b/>
          <w:sz w:val="32"/>
          <w:szCs w:val="32"/>
        </w:rPr>
      </w:pPr>
    </w:p>
    <w:p w14:paraId="16B721BE">
      <w:pPr>
        <w:adjustRightInd w:val="0"/>
        <w:snapToGrid w:val="0"/>
        <w:rPr>
          <w:rFonts w:ascii="宋体" w:hAnsi="宋体"/>
          <w:b/>
          <w:sz w:val="32"/>
          <w:szCs w:val="32"/>
        </w:rPr>
      </w:pPr>
    </w:p>
    <w:p w14:paraId="064DC7E7">
      <w:pPr>
        <w:tabs>
          <w:tab w:val="left" w:pos="8415"/>
        </w:tabs>
      </w:pPr>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_zheng_xiao_biao_song_ti">
    <w:altName w:val="Segoe Print"/>
    <w:panose1 w:val="00000000000000000000"/>
    <w:charset w:val="00"/>
    <w:family w:val="auto"/>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D7EF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282D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4854C94"/>
    <w:rsid w:val="0D935B07"/>
    <w:rsid w:val="10A32505"/>
    <w:rsid w:val="120314AE"/>
    <w:rsid w:val="13390EFF"/>
    <w:rsid w:val="1DF74DA4"/>
    <w:rsid w:val="2BFD7524"/>
    <w:rsid w:val="335B4705"/>
    <w:rsid w:val="36070CBD"/>
    <w:rsid w:val="39A20CFD"/>
    <w:rsid w:val="448156A1"/>
    <w:rsid w:val="55060133"/>
    <w:rsid w:val="62D556ED"/>
    <w:rsid w:val="69CC4E56"/>
    <w:rsid w:val="6F3C482C"/>
    <w:rsid w:val="7349576A"/>
    <w:rsid w:val="762E2C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9"/>
    <w:qFormat/>
    <w:uiPriority w:val="0"/>
    <w:pPr>
      <w:keepNext/>
      <w:keepLines/>
      <w:spacing w:before="260" w:after="260" w:line="416" w:lineRule="auto"/>
      <w:outlineLvl w:val="2"/>
    </w:pPr>
    <w:rPr>
      <w:b/>
      <w:bCs/>
      <w:sz w:val="32"/>
      <w:szCs w:val="32"/>
    </w:rPr>
  </w:style>
  <w:style w:type="paragraph" w:styleId="7">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8">
    <w:name w:val="toc 7"/>
    <w:basedOn w:val="1"/>
    <w:next w:val="1"/>
    <w:autoRedefine/>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autoRedefine/>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autoRedefine/>
    <w:qFormat/>
    <w:uiPriority w:val="0"/>
    <w:pPr>
      <w:ind w:left="1470"/>
      <w:jc w:val="left"/>
    </w:pPr>
    <w:rPr>
      <w:sz w:val="20"/>
      <w:szCs w:val="20"/>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autoRedefine/>
    <w:qFormat/>
    <w:uiPriority w:val="0"/>
    <w:pPr>
      <w:ind w:left="630"/>
      <w:jc w:val="left"/>
    </w:pPr>
    <w:rPr>
      <w:sz w:val="20"/>
      <w:szCs w:val="20"/>
    </w:rPr>
  </w:style>
  <w:style w:type="paragraph" w:styleId="17">
    <w:name w:val="toc 6"/>
    <w:basedOn w:val="1"/>
    <w:next w:val="1"/>
    <w:autoRedefine/>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autoRedefine/>
    <w:qFormat/>
    <w:uiPriority w:val="0"/>
    <w:pPr>
      <w:ind w:left="1680"/>
      <w:jc w:val="left"/>
    </w:pPr>
    <w:rPr>
      <w:sz w:val="20"/>
      <w:szCs w:val="20"/>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Char"/>
    <w:basedOn w:val="21"/>
    <w:link w:val="7"/>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Char"/>
    <w:link w:val="25"/>
    <w:qFormat/>
    <w:locked/>
    <w:uiPriority w:val="0"/>
    <w:rPr>
      <w:rFonts w:eastAsia="仿宋_GB2312"/>
      <w:sz w:val="30"/>
      <w:szCs w:val="22"/>
      <w:lang w:bidi="ar-SA"/>
    </w:rPr>
  </w:style>
  <w:style w:type="character" w:customStyle="1" w:styleId="27">
    <w:name w:val="页脚 Char"/>
    <w:basedOn w:val="21"/>
    <w:link w:val="13"/>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Char"/>
    <w:basedOn w:val="21"/>
    <w:link w:val="6"/>
    <w:qFormat/>
    <w:uiPriority w:val="0"/>
    <w:rPr>
      <w:b/>
      <w:bCs/>
      <w:kern w:val="2"/>
      <w:sz w:val="32"/>
      <w:szCs w:val="32"/>
    </w:rPr>
  </w:style>
  <w:style w:type="paragraph" w:customStyle="1" w:styleId="30">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27</Pages>
  <Words>10524</Words>
  <Characters>11395</Characters>
  <Lines>1</Lines>
  <Paragraphs>1</Paragraphs>
  <TotalTime>2</TotalTime>
  <ScaleCrop>false</ScaleCrop>
  <LinksUpToDate>false</LinksUpToDate>
  <CharactersWithSpaces>11595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酸奶袋儿</cp:lastModifiedBy>
  <cp:lastPrinted>2021-04-16T00:45:00Z</cp:lastPrinted>
  <dcterms:modified xsi:type="dcterms:W3CDTF">2026-08-21T08:52:24Z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2052-12.1.0.28043</vt:lpwstr>
  </property>
  <property fmtid="{D5CDD505-2E9C-101B-9397-08002B2CF9AE}" pid="4" name="KSOTemplateDocerSaveRecord">
    <vt:lpwstr>eyJoZGlkIjoiYzJkNGZjODQ2Zjk0OGExODM2NGI5YTk1MjMwYTAxZGQiLCJ1c2VySWQiOiI3NjM4NzA0ODcifQ==</vt:lpwstr>
  </property>
</Properties>
</file>