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45DC3E">
      <w:pPr>
        <w:spacing w:line="360" w:lineRule="auto"/>
        <w:jc w:val="center"/>
        <w:rPr>
          <w:rFonts w:ascii="宋体" w:hAnsi="宋体"/>
          <w:sz w:val="24"/>
        </w:rPr>
      </w:pPr>
    </w:p>
    <w:p w14:paraId="781F0199">
      <w:pPr>
        <w:spacing w:line="360" w:lineRule="auto"/>
        <w:jc w:val="center"/>
        <w:rPr>
          <w:rFonts w:ascii="宋体" w:hAnsi="宋体"/>
          <w:sz w:val="24"/>
        </w:rPr>
      </w:pPr>
    </w:p>
    <w:p w14:paraId="588D4AEF">
      <w:pPr>
        <w:spacing w:line="360" w:lineRule="auto"/>
        <w:jc w:val="center"/>
        <w:rPr>
          <w:rFonts w:ascii="宋体" w:hAnsi="宋体"/>
          <w:sz w:val="24"/>
        </w:rPr>
      </w:pPr>
    </w:p>
    <w:p w14:paraId="3F809282">
      <w:pPr>
        <w:spacing w:line="360" w:lineRule="auto"/>
        <w:jc w:val="center"/>
        <w:rPr>
          <w:rFonts w:ascii="宋体" w:hAnsi="宋体"/>
          <w:sz w:val="24"/>
        </w:rPr>
      </w:pPr>
    </w:p>
    <w:p w14:paraId="42815D58">
      <w:pPr>
        <w:spacing w:line="360" w:lineRule="auto"/>
        <w:jc w:val="center"/>
        <w:rPr>
          <w:rFonts w:ascii="宋体" w:hAnsi="宋体"/>
          <w:b/>
          <w:bCs/>
          <w:sz w:val="52"/>
          <w:szCs w:val="52"/>
        </w:rPr>
      </w:pPr>
      <w:r>
        <w:rPr>
          <w:rFonts w:ascii="宋体" w:hAnsi="宋体"/>
          <w:b/>
          <w:bCs/>
          <w:sz w:val="52"/>
          <w:szCs w:val="52"/>
        </w:rPr>
        <w:t>2025</w:t>
      </w:r>
      <w:r>
        <w:rPr>
          <w:rFonts w:hint="eastAsia" w:ascii="宋体" w:hAnsi="宋体"/>
          <w:b/>
          <w:bCs/>
          <w:sz w:val="52"/>
          <w:szCs w:val="52"/>
        </w:rPr>
        <w:t>年度内蒙古自治区特种设备检验研究院鄂尔多斯分院</w:t>
      </w:r>
    </w:p>
    <w:p w14:paraId="77E6C3D2">
      <w:pPr>
        <w:spacing w:line="360" w:lineRule="auto"/>
        <w:jc w:val="center"/>
        <w:rPr>
          <w:rFonts w:hint="eastAsia" w:ascii="宋体" w:hAnsi="宋体"/>
          <w:b/>
          <w:bCs/>
          <w:sz w:val="52"/>
          <w:szCs w:val="52"/>
        </w:rPr>
      </w:pPr>
      <w:r>
        <w:rPr>
          <w:rFonts w:hint="eastAsia" w:ascii="宋体" w:hAnsi="宋体"/>
          <w:b/>
          <w:bCs/>
          <w:sz w:val="52"/>
          <w:szCs w:val="52"/>
          <w:lang w:val="en-US" w:eastAsia="zh-CN"/>
        </w:rPr>
        <w:t>决算</w:t>
      </w:r>
      <w:r>
        <w:rPr>
          <w:rFonts w:hint="eastAsia" w:ascii="宋体" w:hAnsi="宋体"/>
          <w:b/>
          <w:bCs/>
          <w:sz w:val="52"/>
          <w:szCs w:val="52"/>
        </w:rPr>
        <w:t>公开报告</w:t>
      </w:r>
    </w:p>
    <w:p w14:paraId="4B9A04FF">
      <w:pPr>
        <w:spacing w:line="360" w:lineRule="auto"/>
        <w:jc w:val="center"/>
        <w:rPr>
          <w:rFonts w:hint="eastAsia" w:ascii="宋体" w:hAnsi="宋体"/>
          <w:b/>
          <w:bCs/>
          <w:sz w:val="52"/>
          <w:szCs w:val="52"/>
        </w:rPr>
      </w:pPr>
    </w:p>
    <w:p w14:paraId="5E0139DB">
      <w:pPr>
        <w:spacing w:line="360" w:lineRule="auto"/>
        <w:jc w:val="center"/>
        <w:rPr>
          <w:rFonts w:hint="eastAsia" w:ascii="宋体" w:hAnsi="宋体"/>
          <w:b/>
          <w:bCs/>
          <w:sz w:val="52"/>
          <w:szCs w:val="52"/>
        </w:rPr>
      </w:pPr>
    </w:p>
    <w:p w14:paraId="00BF4FBD">
      <w:pPr>
        <w:spacing w:line="360" w:lineRule="auto"/>
        <w:jc w:val="center"/>
        <w:rPr>
          <w:rFonts w:hint="eastAsia" w:ascii="宋体" w:hAnsi="宋体"/>
          <w:b/>
          <w:bCs/>
          <w:sz w:val="52"/>
          <w:szCs w:val="52"/>
        </w:rPr>
      </w:pPr>
    </w:p>
    <w:p w14:paraId="2AD4AE09">
      <w:pPr>
        <w:spacing w:line="360" w:lineRule="auto"/>
        <w:jc w:val="both"/>
        <w:rPr>
          <w:rFonts w:hint="eastAsia" w:ascii="宋体" w:hAnsi="宋体"/>
          <w:b/>
          <w:bCs/>
          <w:sz w:val="52"/>
          <w:szCs w:val="52"/>
        </w:rPr>
      </w:pPr>
    </w:p>
    <w:p w14:paraId="1E3A0ED5">
      <w:pPr>
        <w:spacing w:line="360" w:lineRule="auto"/>
        <w:jc w:val="center"/>
        <w:rPr>
          <w:rFonts w:hint="eastAsia" w:ascii="FangSong_GB2312" w:hAnsi="FangSong_GB2312" w:eastAsia="FangSong_GB2312" w:cs="FangSong_GB2312"/>
          <w:b/>
          <w:bCs/>
          <w:color w:val="auto"/>
          <w:kern w:val="0"/>
          <w:sz w:val="32"/>
          <w:szCs w:val="32"/>
          <w:lang w:val="en-US" w:eastAsia="zh-CN" w:bidi="ar-SA"/>
        </w:rPr>
      </w:pPr>
      <w:r>
        <w:rPr>
          <w:rFonts w:hint="eastAsia" w:ascii="FangSong_GB2312" w:hAnsi="FangSong_GB2312" w:eastAsia="FangSong_GB2312" w:cs="FangSong_GB2312"/>
          <w:b/>
          <w:bCs/>
          <w:color w:val="auto"/>
          <w:kern w:val="0"/>
          <w:sz w:val="32"/>
          <w:szCs w:val="32"/>
          <w:lang w:val="en-US" w:eastAsia="zh-CN" w:bidi="ar-SA"/>
        </w:rPr>
        <w:t>单位名称：内蒙古自治区特种设备检验研究院</w:t>
      </w:r>
    </w:p>
    <w:p w14:paraId="187D0D77">
      <w:pPr>
        <w:spacing w:line="360" w:lineRule="auto"/>
        <w:jc w:val="center"/>
        <w:rPr>
          <w:rFonts w:hint="eastAsia" w:ascii="FangSong_GB2312" w:hAnsi="FangSong_GB2312" w:eastAsia="FangSong_GB2312" w:cs="FangSong_GB2312"/>
          <w:b/>
          <w:bCs/>
          <w:color w:val="auto"/>
          <w:kern w:val="0"/>
          <w:sz w:val="32"/>
          <w:szCs w:val="32"/>
          <w:lang w:val="en-US" w:eastAsia="zh-CN" w:bidi="ar-SA"/>
        </w:rPr>
      </w:pPr>
      <w:r>
        <w:rPr>
          <w:rFonts w:hint="eastAsia" w:ascii="FangSong_GB2312" w:hAnsi="FangSong_GB2312" w:eastAsia="FangSong_GB2312" w:cs="FangSong_GB2312"/>
          <w:b/>
          <w:bCs/>
          <w:color w:val="auto"/>
          <w:kern w:val="0"/>
          <w:sz w:val="32"/>
          <w:szCs w:val="32"/>
          <w:lang w:val="en-US" w:eastAsia="zh-CN" w:bidi="ar-SA"/>
        </w:rPr>
        <w:t>鄂尔多斯分院</w:t>
      </w:r>
    </w:p>
    <w:p w14:paraId="47062660">
      <w:pPr>
        <w:spacing w:line="360" w:lineRule="auto"/>
        <w:jc w:val="both"/>
        <w:rPr>
          <w:rFonts w:hint="eastAsia" w:ascii="FangSong_GB2312" w:hAnsi="FangSong_GB2312" w:eastAsia="FangSong_GB2312" w:cs="FangSong_GB2312"/>
          <w:b/>
          <w:bCs/>
          <w:color w:val="auto"/>
          <w:kern w:val="0"/>
          <w:sz w:val="32"/>
          <w:szCs w:val="32"/>
          <w:lang w:val="en-US" w:eastAsia="zh-CN" w:bidi="ar-SA"/>
        </w:rPr>
      </w:pPr>
      <w:r>
        <w:rPr>
          <w:rFonts w:hint="eastAsia" w:ascii="FangSong_GB2312" w:hAnsi="FangSong_GB2312" w:eastAsia="FangSong_GB2312" w:cs="FangSong_GB2312"/>
          <w:b/>
          <w:bCs/>
          <w:color w:val="auto"/>
          <w:kern w:val="0"/>
          <w:sz w:val="32"/>
          <w:szCs w:val="32"/>
          <w:lang w:val="en-US" w:eastAsia="zh-CN" w:bidi="ar-SA"/>
        </w:rPr>
        <w:t xml:space="preserve">      单位负责人：马玉华</w:t>
      </w:r>
    </w:p>
    <w:p w14:paraId="0CA3A7EB">
      <w:pPr>
        <w:spacing w:line="360" w:lineRule="auto"/>
        <w:jc w:val="both"/>
        <w:rPr>
          <w:rFonts w:hint="eastAsia" w:ascii="FangSong_GB2312" w:hAnsi="FangSong_GB2312" w:eastAsia="FangSong_GB2312" w:cs="FangSong_GB2312"/>
          <w:b/>
          <w:bCs/>
          <w:color w:val="auto"/>
          <w:kern w:val="0"/>
          <w:sz w:val="32"/>
          <w:szCs w:val="32"/>
          <w:lang w:val="en-US" w:eastAsia="zh-CN" w:bidi="ar-SA"/>
        </w:rPr>
      </w:pPr>
      <w:r>
        <w:rPr>
          <w:rFonts w:hint="eastAsia" w:ascii="FangSong_GB2312" w:hAnsi="FangSong_GB2312" w:eastAsia="FangSong_GB2312" w:cs="FangSong_GB2312"/>
          <w:b/>
          <w:bCs/>
          <w:color w:val="auto"/>
          <w:kern w:val="0"/>
          <w:sz w:val="32"/>
          <w:szCs w:val="32"/>
          <w:lang w:val="en-US" w:eastAsia="zh-CN" w:bidi="ar-SA"/>
        </w:rPr>
        <w:t xml:space="preserve">      财务负责人：郝小霞</w:t>
      </w:r>
    </w:p>
    <w:p w14:paraId="6831E555">
      <w:pPr>
        <w:spacing w:line="360" w:lineRule="auto"/>
        <w:jc w:val="both"/>
        <w:rPr>
          <w:rFonts w:hint="eastAsia" w:ascii="FangSong_GB2312" w:hAnsi="FangSong_GB2312" w:eastAsia="FangSong_GB2312" w:cs="FangSong_GB2312"/>
          <w:b/>
          <w:bCs/>
          <w:color w:val="auto"/>
          <w:kern w:val="0"/>
          <w:sz w:val="32"/>
          <w:szCs w:val="32"/>
          <w:lang w:val="en-US" w:eastAsia="zh-CN" w:bidi="ar-SA"/>
        </w:rPr>
      </w:pPr>
      <w:r>
        <w:rPr>
          <w:rFonts w:hint="eastAsia" w:ascii="FangSong_GB2312" w:hAnsi="FangSong_GB2312" w:eastAsia="FangSong_GB2312" w:cs="FangSong_GB2312"/>
          <w:b/>
          <w:bCs/>
          <w:color w:val="auto"/>
          <w:kern w:val="0"/>
          <w:sz w:val="32"/>
          <w:szCs w:val="32"/>
          <w:lang w:val="en-US" w:eastAsia="zh-CN" w:bidi="ar-SA"/>
        </w:rPr>
        <w:t xml:space="preserve">      编制人：冯帅</w:t>
      </w:r>
    </w:p>
    <w:p w14:paraId="708EF9C4">
      <w:pPr>
        <w:spacing w:line="360" w:lineRule="auto"/>
        <w:jc w:val="both"/>
        <w:rPr>
          <w:rFonts w:hint="default" w:ascii="宋体" w:hAnsi="宋体"/>
          <w:b/>
          <w:bCs/>
          <w:sz w:val="32"/>
          <w:szCs w:val="32"/>
          <w:lang w:val="en-US" w:eastAsia="zh-CN"/>
        </w:rPr>
      </w:pPr>
      <w:r>
        <w:rPr>
          <w:rFonts w:hint="eastAsia" w:ascii="FangSong_GB2312" w:hAnsi="FangSong_GB2312" w:eastAsia="FangSong_GB2312" w:cs="FangSong_GB2312"/>
          <w:b/>
          <w:bCs/>
          <w:color w:val="auto"/>
          <w:kern w:val="0"/>
          <w:sz w:val="32"/>
          <w:szCs w:val="32"/>
          <w:lang w:val="en-US" w:eastAsia="zh-CN" w:bidi="ar-SA"/>
        </w:rPr>
        <w:t xml:space="preserve">      报送日期：2026年8月</w:t>
      </w:r>
      <w:bookmarkStart w:id="1" w:name="_GoBack"/>
      <w:bookmarkEnd w:id="1"/>
    </w:p>
    <w:p w14:paraId="6AF33ABC">
      <w:pPr>
        <w:spacing w:line="360" w:lineRule="auto"/>
        <w:jc w:val="center"/>
        <w:rPr>
          <w:rFonts w:ascii="宋体" w:hAnsi="宋体"/>
          <w:b/>
          <w:bCs/>
          <w:sz w:val="52"/>
          <w:szCs w:val="52"/>
        </w:rPr>
      </w:pPr>
    </w:p>
    <w:p w14:paraId="10212A6C">
      <w:pPr>
        <w:spacing w:line="360" w:lineRule="auto"/>
        <w:jc w:val="center"/>
        <w:rPr>
          <w:rFonts w:ascii="宋体" w:hAnsi="宋体"/>
          <w:b/>
          <w:bCs/>
          <w:sz w:val="52"/>
          <w:szCs w:val="52"/>
        </w:rPr>
      </w:pPr>
    </w:p>
    <w:p w14:paraId="454CAC92">
      <w:pPr>
        <w:rPr>
          <w:rFonts w:ascii="仿宋" w:hAnsi="仿宋" w:eastAsia="仿宋"/>
          <w:b/>
          <w:sz w:val="32"/>
          <w:szCs w:val="32"/>
        </w:rPr>
        <w:sectPr>
          <w:footerReference r:id="rId3" w:type="default"/>
          <w:pgSz w:w="11906" w:h="16838"/>
          <w:pgMar w:top="1440" w:right="1800" w:bottom="1440" w:left="1800" w:header="0" w:footer="720" w:gutter="0"/>
          <w:cols w:space="425" w:num="1"/>
          <w:docGrid w:type="lines" w:linePitch="312" w:charSpace="0"/>
        </w:sectPr>
      </w:pPr>
    </w:p>
    <w:p w14:paraId="1C9A9517">
      <w:pPr>
        <w:pStyle w:val="29"/>
        <w:widowControl/>
        <w:spacing w:after="240"/>
        <w:jc w:val="center"/>
        <w:rPr>
          <w:rFonts w:ascii="Times New Roman" w:hAnsi="Times New Roman" w:eastAsia="Times New Roman" w:cs="Times New Roman"/>
          <w:kern w:val="0"/>
          <w:sz w:val="24"/>
        </w:rPr>
      </w:pPr>
      <w:bookmarkStart w:id="0" w:name="a000"/>
      <w:r>
        <w:rPr>
          <w:rFonts w:ascii="FangSong_GB2312" w:hAnsi="FangSong_GB2312" w:eastAsia="FangSong_GB2312" w:cs="FangSong_GB2312"/>
          <w:b/>
          <w:bCs/>
          <w:kern w:val="0"/>
          <w:sz w:val="48"/>
          <w:szCs w:val="48"/>
        </w:rPr>
        <w:t>目录</w:t>
      </w:r>
    </w:p>
    <w:p w14:paraId="58B18539">
      <w:pPr>
        <w:widowControl/>
        <w:spacing w:before="240" w:after="240"/>
        <w:jc w:val="left"/>
        <w:rPr>
          <w:rFonts w:ascii="Times New Roman" w:hAnsi="Times New Roman" w:eastAsia="Times New Roman" w:cs="Times New Roman"/>
          <w:kern w:val="0"/>
          <w:sz w:val="24"/>
        </w:rPr>
      </w:pPr>
      <w:r>
        <w:rPr>
          <w:rFonts w:ascii="Times New Roman" w:hAnsi="Times New Roman" w:eastAsia="Times New Roman" w:cs="Times New Roman"/>
          <w:b/>
          <w:bCs/>
          <w:kern w:val="0"/>
          <w:sz w:val="24"/>
        </w:rPr>
        <w:t> </w:t>
      </w:r>
    </w:p>
    <w:p w14:paraId="3AE09017">
      <w:pPr>
        <w:pStyle w:val="29"/>
        <w:widowControl/>
        <w:spacing w:before="240" w:after="240" w:line="360" w:lineRule="auto"/>
        <w:jc w:val="left"/>
        <w:rPr>
          <w:rFonts w:ascii="Times New Roman" w:hAnsi="Times New Roman" w:eastAsia="Times New Roman" w:cs="Times New Roman"/>
          <w:kern w:val="0"/>
          <w:sz w:val="24"/>
        </w:rPr>
      </w:pPr>
      <w:r>
        <w:rPr>
          <w:rFonts w:ascii="黑体" w:hAnsi="黑体" w:eastAsia="黑体" w:cs="黑体"/>
          <w:kern w:val="0"/>
          <w:sz w:val="32"/>
          <w:szCs w:val="32"/>
        </w:rPr>
        <w:t>第一部分</w:t>
      </w:r>
      <w:r>
        <w:rPr>
          <w:rFonts w:ascii="Calibri" w:hAnsi="Calibri" w:eastAsia="Calibri" w:cs="Calibri"/>
          <w:kern w:val="0"/>
          <w:sz w:val="32"/>
          <w:szCs w:val="32"/>
          <w:lang w:eastAsia="en-US"/>
        </w:rPr>
        <w:t> </w:t>
      </w:r>
      <w:r>
        <w:rPr>
          <w:rFonts w:ascii="黑体" w:hAnsi="黑体" w:eastAsia="黑体" w:cs="黑体"/>
          <w:kern w:val="0"/>
          <w:sz w:val="32"/>
          <w:szCs w:val="32"/>
          <w:lang w:eastAsia="en-US"/>
        </w:rPr>
        <w:t xml:space="preserve"> </w:t>
      </w:r>
      <w:r>
        <w:rPr>
          <w:rFonts w:ascii="黑体" w:hAnsi="黑体" w:eastAsia="黑体" w:cs="黑体"/>
          <w:kern w:val="0"/>
          <w:sz w:val="32"/>
          <w:szCs w:val="32"/>
        </w:rPr>
        <w:t>部门（单位）概况</w:t>
      </w:r>
    </w:p>
    <w:p w14:paraId="474BB94D">
      <w:pPr>
        <w:pStyle w:val="29"/>
        <w:widowControl/>
        <w:spacing w:before="240" w:after="240" w:line="360" w:lineRule="auto"/>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一、主要职能、职责</w:t>
      </w:r>
    </w:p>
    <w:p w14:paraId="05D6F046">
      <w:pPr>
        <w:pStyle w:val="29"/>
        <w:widowControl/>
        <w:spacing w:before="240" w:after="240" w:line="360" w:lineRule="auto"/>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二、部门（单位）机构设置及决算单位构成情况</w:t>
      </w:r>
    </w:p>
    <w:p w14:paraId="6AA80347">
      <w:pPr>
        <w:pStyle w:val="29"/>
        <w:widowControl/>
        <w:spacing w:before="240" w:after="240" w:line="360" w:lineRule="auto"/>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三、</w:t>
      </w:r>
      <w:r>
        <w:rPr>
          <w:rFonts w:eastAsia="Times New Roman"/>
          <w:kern w:val="0"/>
          <w:sz w:val="32"/>
          <w:szCs w:val="32"/>
          <w:lang w:eastAsia="en-US"/>
        </w:rPr>
        <w:t>2025</w:t>
      </w:r>
      <w:r>
        <w:rPr>
          <w:rFonts w:ascii="FangSong_GB2312" w:hAnsi="FangSong_GB2312" w:eastAsia="FangSong_GB2312" w:cs="FangSong_GB2312"/>
          <w:kern w:val="0"/>
          <w:sz w:val="32"/>
          <w:szCs w:val="32"/>
        </w:rPr>
        <w:t>年度部门（单位）主要工作完成情况</w:t>
      </w:r>
    </w:p>
    <w:p w14:paraId="183963E1">
      <w:pPr>
        <w:pStyle w:val="29"/>
        <w:widowControl/>
        <w:spacing w:before="240" w:after="240" w:line="360" w:lineRule="auto"/>
        <w:jc w:val="left"/>
        <w:rPr>
          <w:rFonts w:ascii="Times New Roman" w:hAnsi="Times New Roman" w:eastAsia="Times New Roman" w:cs="Times New Roman"/>
          <w:kern w:val="0"/>
          <w:sz w:val="24"/>
        </w:rPr>
      </w:pPr>
      <w:r>
        <w:rPr>
          <w:rFonts w:ascii="黑体" w:hAnsi="黑体" w:eastAsia="黑体" w:cs="黑体"/>
          <w:kern w:val="0"/>
          <w:sz w:val="32"/>
          <w:szCs w:val="32"/>
        </w:rPr>
        <w:t>第二部分</w:t>
      </w:r>
      <w:r>
        <w:rPr>
          <w:rFonts w:ascii="Calibri" w:hAnsi="Calibri" w:eastAsia="Calibri" w:cs="Calibri"/>
          <w:kern w:val="0"/>
          <w:sz w:val="32"/>
          <w:szCs w:val="32"/>
          <w:lang w:eastAsia="en-US"/>
        </w:rPr>
        <w:t> </w:t>
      </w:r>
      <w:r>
        <w:rPr>
          <w:rFonts w:ascii="黑体" w:hAnsi="黑体" w:eastAsia="黑体" w:cs="黑体"/>
          <w:kern w:val="0"/>
          <w:sz w:val="32"/>
          <w:szCs w:val="32"/>
          <w:lang w:eastAsia="en-US"/>
        </w:rPr>
        <w:t xml:space="preserve"> </w:t>
      </w:r>
      <w:r>
        <w:rPr>
          <w:rFonts w:ascii="黑体" w:hAnsi="黑体" w:eastAsia="黑体" w:cs="黑体"/>
          <w:kern w:val="0"/>
          <w:sz w:val="32"/>
          <w:szCs w:val="32"/>
        </w:rPr>
        <w:t>部门（单位）决算情况说明</w:t>
      </w:r>
    </w:p>
    <w:p w14:paraId="1FA18630">
      <w:pPr>
        <w:pStyle w:val="29"/>
        <w:widowControl/>
        <w:spacing w:before="240" w:after="240" w:line="360" w:lineRule="auto"/>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一、收入支出决算总体情况说明</w:t>
      </w:r>
    </w:p>
    <w:p w14:paraId="136EB165">
      <w:pPr>
        <w:pStyle w:val="29"/>
        <w:widowControl/>
        <w:spacing w:before="240" w:after="240" w:line="360" w:lineRule="auto"/>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二、收入决算情况说明</w:t>
      </w:r>
    </w:p>
    <w:p w14:paraId="56A963F6">
      <w:pPr>
        <w:pStyle w:val="29"/>
        <w:widowControl/>
        <w:spacing w:before="240" w:after="240" w:line="360" w:lineRule="auto"/>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三、支出决算情况说明</w:t>
      </w:r>
    </w:p>
    <w:p w14:paraId="5B0B9788">
      <w:pPr>
        <w:pStyle w:val="29"/>
        <w:widowControl/>
        <w:spacing w:before="240" w:after="240" w:line="360" w:lineRule="auto"/>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四、财政拨款收入支出决算总体情况说明</w:t>
      </w:r>
    </w:p>
    <w:p w14:paraId="2364D41B">
      <w:pPr>
        <w:pStyle w:val="29"/>
        <w:widowControl/>
        <w:spacing w:before="240" w:after="240" w:line="360" w:lineRule="auto"/>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五、一般公共预算财政拨款支出决算情况说明</w:t>
      </w:r>
    </w:p>
    <w:p w14:paraId="1104D1A3">
      <w:pPr>
        <w:pStyle w:val="29"/>
        <w:widowControl/>
        <w:spacing w:before="240" w:after="240" w:line="360" w:lineRule="auto"/>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六、一般公共预算财政拨款基本支出决算情况说明</w:t>
      </w:r>
    </w:p>
    <w:p w14:paraId="5D017EAD">
      <w:pPr>
        <w:pStyle w:val="29"/>
        <w:widowControl/>
        <w:spacing w:before="240" w:after="240" w:line="360" w:lineRule="auto"/>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七、一般公共预算财政拨款项目支出决算情况说明</w:t>
      </w:r>
    </w:p>
    <w:p w14:paraId="742EFD42">
      <w:pPr>
        <w:pStyle w:val="29"/>
        <w:widowControl/>
        <w:spacing w:before="240" w:after="240" w:line="360" w:lineRule="auto"/>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八、财政拨款“三公”经费支出决算情况说明</w:t>
      </w:r>
    </w:p>
    <w:p w14:paraId="53DA91C2">
      <w:pPr>
        <w:pStyle w:val="29"/>
        <w:widowControl/>
        <w:spacing w:before="240" w:after="240" w:line="360" w:lineRule="auto"/>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九、政府性基金预算财政拨款支出决算情况说明</w:t>
      </w:r>
    </w:p>
    <w:p w14:paraId="55AAE955">
      <w:pPr>
        <w:pStyle w:val="29"/>
        <w:widowControl/>
        <w:spacing w:before="240" w:after="240" w:line="360" w:lineRule="auto"/>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十、国有资本经营预算财政拨款支出决算情况说明</w:t>
      </w:r>
    </w:p>
    <w:p w14:paraId="42F62CDE">
      <w:pPr>
        <w:pStyle w:val="29"/>
        <w:widowControl/>
        <w:spacing w:before="240" w:after="240" w:line="360" w:lineRule="auto"/>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十一、机关运行经费（公用经费）支出决算情况说明</w:t>
      </w:r>
    </w:p>
    <w:p w14:paraId="6EEFEF60">
      <w:pPr>
        <w:pStyle w:val="29"/>
        <w:widowControl/>
        <w:spacing w:before="240" w:after="240" w:line="360" w:lineRule="auto"/>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十二、政府采购支出决算情况说明</w:t>
      </w:r>
    </w:p>
    <w:p w14:paraId="7ACC66EB">
      <w:pPr>
        <w:pStyle w:val="29"/>
        <w:widowControl/>
        <w:spacing w:before="240" w:after="240" w:line="360" w:lineRule="auto"/>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十三、国有资产占用情况说明</w:t>
      </w:r>
    </w:p>
    <w:p w14:paraId="137CA9D8">
      <w:pPr>
        <w:pStyle w:val="29"/>
        <w:widowControl/>
        <w:spacing w:before="240" w:after="240" w:line="360" w:lineRule="auto"/>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十四、预算绩效情况说明</w:t>
      </w:r>
    </w:p>
    <w:p w14:paraId="67C569CE">
      <w:pPr>
        <w:pStyle w:val="29"/>
        <w:widowControl/>
        <w:spacing w:before="240" w:after="240" w:line="360" w:lineRule="auto"/>
        <w:jc w:val="left"/>
        <w:rPr>
          <w:rFonts w:ascii="Times New Roman" w:hAnsi="Times New Roman" w:eastAsia="Times New Roman" w:cs="Times New Roman"/>
          <w:kern w:val="0"/>
          <w:sz w:val="24"/>
        </w:rPr>
      </w:pPr>
      <w:r>
        <w:rPr>
          <w:rFonts w:ascii="黑体" w:hAnsi="黑体" w:eastAsia="黑体" w:cs="黑体"/>
          <w:kern w:val="0"/>
          <w:sz w:val="32"/>
          <w:szCs w:val="32"/>
        </w:rPr>
        <w:t>第三部分</w:t>
      </w:r>
      <w:r>
        <w:rPr>
          <w:rFonts w:ascii="Calibri" w:hAnsi="Calibri" w:eastAsia="Calibri" w:cs="Calibri"/>
          <w:kern w:val="0"/>
          <w:sz w:val="32"/>
          <w:szCs w:val="32"/>
          <w:lang w:eastAsia="en-US"/>
        </w:rPr>
        <w:t> </w:t>
      </w:r>
      <w:r>
        <w:rPr>
          <w:rFonts w:ascii="黑体" w:hAnsi="黑体" w:eastAsia="黑体" w:cs="黑体"/>
          <w:kern w:val="0"/>
          <w:sz w:val="32"/>
          <w:szCs w:val="32"/>
          <w:lang w:eastAsia="en-US"/>
        </w:rPr>
        <w:t xml:space="preserve"> </w:t>
      </w:r>
      <w:r>
        <w:rPr>
          <w:rFonts w:ascii="黑体" w:hAnsi="黑体" w:eastAsia="黑体" w:cs="黑体"/>
          <w:kern w:val="0"/>
          <w:sz w:val="32"/>
          <w:szCs w:val="32"/>
        </w:rPr>
        <w:t>名词解释</w:t>
      </w:r>
    </w:p>
    <w:p w14:paraId="7811AA0E">
      <w:pPr>
        <w:pStyle w:val="29"/>
        <w:widowControl/>
        <w:spacing w:before="240" w:after="240" w:line="360" w:lineRule="auto"/>
        <w:jc w:val="left"/>
        <w:rPr>
          <w:rFonts w:ascii="Times New Roman" w:hAnsi="Times New Roman" w:eastAsia="Times New Roman" w:cs="Times New Roman"/>
          <w:kern w:val="0"/>
          <w:sz w:val="24"/>
        </w:rPr>
      </w:pPr>
      <w:r>
        <w:rPr>
          <w:rFonts w:ascii="黑体" w:hAnsi="黑体" w:eastAsia="黑体" w:cs="黑体"/>
          <w:kern w:val="0"/>
          <w:sz w:val="32"/>
          <w:szCs w:val="32"/>
        </w:rPr>
        <w:t>第四部分</w:t>
      </w:r>
      <w:r>
        <w:rPr>
          <w:rFonts w:ascii="Calibri" w:hAnsi="Calibri" w:eastAsia="Calibri" w:cs="Calibri"/>
          <w:kern w:val="0"/>
          <w:sz w:val="32"/>
          <w:szCs w:val="32"/>
          <w:lang w:eastAsia="en-US"/>
        </w:rPr>
        <w:t> </w:t>
      </w:r>
      <w:r>
        <w:rPr>
          <w:rFonts w:ascii="黑体" w:hAnsi="黑体" w:eastAsia="黑体" w:cs="黑体"/>
          <w:kern w:val="0"/>
          <w:sz w:val="32"/>
          <w:szCs w:val="32"/>
          <w:lang w:eastAsia="en-US"/>
        </w:rPr>
        <w:t xml:space="preserve"> </w:t>
      </w:r>
      <w:r>
        <w:rPr>
          <w:rFonts w:ascii="黑体" w:hAnsi="黑体" w:eastAsia="黑体" w:cs="黑体"/>
          <w:kern w:val="0"/>
          <w:sz w:val="32"/>
          <w:szCs w:val="32"/>
        </w:rPr>
        <w:t>决算公开联系方式及信息反馈渠道</w:t>
      </w:r>
    </w:p>
    <w:p w14:paraId="00238C34">
      <w:pPr>
        <w:pStyle w:val="29"/>
        <w:widowControl/>
        <w:spacing w:before="240" w:after="240" w:line="360" w:lineRule="auto"/>
        <w:jc w:val="left"/>
        <w:rPr>
          <w:rFonts w:ascii="Times New Roman" w:hAnsi="Times New Roman" w:eastAsia="Times New Roman" w:cs="Times New Roman"/>
          <w:kern w:val="0"/>
          <w:sz w:val="24"/>
        </w:rPr>
      </w:pPr>
      <w:r>
        <w:rPr>
          <w:rFonts w:ascii="黑体" w:hAnsi="黑体" w:eastAsia="黑体" w:cs="黑体"/>
          <w:kern w:val="0"/>
          <w:sz w:val="32"/>
          <w:szCs w:val="32"/>
        </w:rPr>
        <w:t>第五部分</w:t>
      </w:r>
      <w:r>
        <w:rPr>
          <w:rFonts w:ascii="Calibri" w:hAnsi="Calibri" w:eastAsia="Calibri" w:cs="Calibri"/>
          <w:kern w:val="0"/>
          <w:sz w:val="32"/>
          <w:szCs w:val="32"/>
          <w:lang w:eastAsia="en-US"/>
        </w:rPr>
        <w:t> </w:t>
      </w:r>
      <w:r>
        <w:rPr>
          <w:rFonts w:ascii="黑体" w:hAnsi="黑体" w:eastAsia="黑体" w:cs="黑体"/>
          <w:kern w:val="0"/>
          <w:sz w:val="32"/>
          <w:szCs w:val="32"/>
          <w:lang w:eastAsia="en-US"/>
        </w:rPr>
        <w:t xml:space="preserve"> </w:t>
      </w:r>
      <w:r>
        <w:rPr>
          <w:rFonts w:ascii="黑体" w:hAnsi="黑体" w:eastAsia="黑体" w:cs="黑体"/>
          <w:kern w:val="0"/>
          <w:sz w:val="32"/>
          <w:szCs w:val="32"/>
        </w:rPr>
        <w:t>部门（单位）决算表</w:t>
      </w:r>
    </w:p>
    <w:p w14:paraId="58803240">
      <w:pPr>
        <w:pStyle w:val="29"/>
        <w:widowControl/>
        <w:spacing w:before="240" w:after="240" w:line="360" w:lineRule="auto"/>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一、收入支出决算总表</w:t>
      </w:r>
    </w:p>
    <w:p w14:paraId="60337800">
      <w:pPr>
        <w:pStyle w:val="29"/>
        <w:widowControl/>
        <w:spacing w:before="240" w:after="240" w:line="360" w:lineRule="auto"/>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二、收入决算表</w:t>
      </w:r>
    </w:p>
    <w:p w14:paraId="14236D96">
      <w:pPr>
        <w:pStyle w:val="29"/>
        <w:widowControl/>
        <w:spacing w:before="240" w:after="240" w:line="360" w:lineRule="auto"/>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三、支出决算表</w:t>
      </w:r>
    </w:p>
    <w:p w14:paraId="0255B021">
      <w:pPr>
        <w:pStyle w:val="29"/>
        <w:widowControl/>
        <w:spacing w:before="240" w:after="240" w:line="360" w:lineRule="auto"/>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四、财政拨款收入支出决算总表</w:t>
      </w:r>
    </w:p>
    <w:p w14:paraId="5D87C59C">
      <w:pPr>
        <w:pStyle w:val="29"/>
        <w:widowControl/>
        <w:spacing w:before="240" w:after="240" w:line="360" w:lineRule="auto"/>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五、一般公共预算财政拨款支出决算表</w:t>
      </w:r>
    </w:p>
    <w:p w14:paraId="2961AE16">
      <w:pPr>
        <w:pStyle w:val="29"/>
        <w:widowControl/>
        <w:spacing w:before="240" w:after="240" w:line="360" w:lineRule="auto"/>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六、一般公共预算财政拨款基本支出决算明细表</w:t>
      </w:r>
    </w:p>
    <w:p w14:paraId="35588544">
      <w:pPr>
        <w:pStyle w:val="29"/>
        <w:widowControl/>
        <w:spacing w:before="240" w:after="240" w:line="360" w:lineRule="auto"/>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七、一般公共预算财政拨款项目支出决算明细表</w:t>
      </w:r>
    </w:p>
    <w:p w14:paraId="4EE63D33">
      <w:pPr>
        <w:pStyle w:val="29"/>
        <w:widowControl/>
        <w:spacing w:before="240" w:after="240" w:line="360" w:lineRule="auto"/>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八、政府性基金预算财政拨款收入支出决算表</w:t>
      </w:r>
    </w:p>
    <w:p w14:paraId="5A08FEF8">
      <w:pPr>
        <w:pStyle w:val="29"/>
        <w:widowControl/>
        <w:spacing w:before="240" w:after="240" w:line="360" w:lineRule="auto"/>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九、国有资本经营预算财政拨款收入支出决算表</w:t>
      </w:r>
    </w:p>
    <w:p w14:paraId="529DBA43">
      <w:pPr>
        <w:pStyle w:val="29"/>
        <w:widowControl/>
        <w:spacing w:before="240" w:after="240" w:line="360" w:lineRule="auto"/>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十、财政拨款“三公”经费支出决算表</w:t>
      </w:r>
    </w:p>
    <w:p w14:paraId="33E14474">
      <w:pPr>
        <w:pStyle w:val="29"/>
        <w:widowControl/>
        <w:spacing w:before="240" w:after="240" w:line="360" w:lineRule="auto"/>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十一、机关运行经费支出、国有资产占用情况及政府采购支出信息表</w:t>
      </w:r>
    </w:p>
    <w:p w14:paraId="26B073B2">
      <w:pPr>
        <w:pStyle w:val="3"/>
        <w:keepNext w:val="0"/>
        <w:keepLines w:val="0"/>
        <w:widowControl/>
        <w:spacing w:before="0" w:after="0" w:line="360" w:lineRule="auto"/>
        <w:ind w:left="0" w:right="0"/>
        <w:jc w:val="center"/>
        <w:rPr>
          <w:rFonts w:ascii="方正小标宋简体" w:hAnsi="方正小标宋简体" w:eastAsia="方正小标宋简体" w:cs="方正小标宋简体"/>
          <w:b w:val="0"/>
          <w:bCs w:val="0"/>
          <w:kern w:val="0"/>
          <w:sz w:val="36"/>
          <w:szCs w:val="36"/>
        </w:rPr>
      </w:pPr>
    </w:p>
    <w:p w14:paraId="2EA37C68">
      <w:pPr>
        <w:pStyle w:val="3"/>
        <w:keepNext w:val="0"/>
        <w:keepLines w:val="0"/>
        <w:widowControl/>
        <w:spacing w:before="0" w:after="0" w:line="360" w:lineRule="auto"/>
        <w:ind w:left="0" w:right="0"/>
        <w:jc w:val="center"/>
        <w:rPr>
          <w:rFonts w:ascii="方正小标宋简体" w:hAnsi="方正小标宋简体" w:eastAsia="方正小标宋简体" w:cs="方正小标宋简体"/>
          <w:b w:val="0"/>
          <w:bCs w:val="0"/>
          <w:kern w:val="0"/>
          <w:sz w:val="36"/>
          <w:szCs w:val="36"/>
        </w:rPr>
      </w:pPr>
    </w:p>
    <w:p w14:paraId="63626A36">
      <w:pPr>
        <w:pStyle w:val="3"/>
        <w:keepNext w:val="0"/>
        <w:keepLines w:val="0"/>
        <w:widowControl/>
        <w:spacing w:before="0" w:after="0" w:line="360" w:lineRule="auto"/>
        <w:ind w:left="0" w:right="0"/>
        <w:jc w:val="center"/>
        <w:rPr>
          <w:rFonts w:ascii="方正小标宋简体" w:hAnsi="方正小标宋简体" w:eastAsia="方正小标宋简体" w:cs="方正小标宋简体"/>
          <w:b w:val="0"/>
          <w:bCs w:val="0"/>
          <w:kern w:val="0"/>
          <w:sz w:val="36"/>
          <w:szCs w:val="36"/>
        </w:rPr>
      </w:pPr>
    </w:p>
    <w:p w14:paraId="06C60826">
      <w:pPr>
        <w:pStyle w:val="3"/>
        <w:keepNext w:val="0"/>
        <w:keepLines w:val="0"/>
        <w:widowControl/>
        <w:spacing w:before="0" w:after="0" w:line="360" w:lineRule="auto"/>
        <w:ind w:left="0" w:right="0"/>
        <w:jc w:val="center"/>
        <w:rPr>
          <w:rFonts w:ascii="方正小标宋简体" w:hAnsi="方正小标宋简体" w:eastAsia="方正小标宋简体" w:cs="方正小标宋简体"/>
          <w:b w:val="0"/>
          <w:bCs w:val="0"/>
          <w:kern w:val="0"/>
          <w:sz w:val="36"/>
          <w:szCs w:val="36"/>
        </w:rPr>
      </w:pPr>
    </w:p>
    <w:p w14:paraId="2EFF9F6C">
      <w:pPr>
        <w:pStyle w:val="3"/>
        <w:keepNext w:val="0"/>
        <w:keepLines w:val="0"/>
        <w:widowControl/>
        <w:spacing w:before="0" w:after="0" w:line="360" w:lineRule="auto"/>
        <w:ind w:left="0" w:right="0"/>
        <w:jc w:val="center"/>
        <w:rPr>
          <w:rFonts w:ascii="方正小标宋简体" w:hAnsi="方正小标宋简体" w:eastAsia="方正小标宋简体" w:cs="方正小标宋简体"/>
          <w:b w:val="0"/>
          <w:bCs w:val="0"/>
          <w:kern w:val="0"/>
          <w:sz w:val="36"/>
          <w:szCs w:val="36"/>
        </w:rPr>
      </w:pPr>
    </w:p>
    <w:p w14:paraId="43A98B8D">
      <w:pPr>
        <w:pStyle w:val="3"/>
        <w:keepNext w:val="0"/>
        <w:keepLines w:val="0"/>
        <w:widowControl/>
        <w:spacing w:before="0" w:after="0" w:line="360" w:lineRule="auto"/>
        <w:ind w:left="0" w:right="0"/>
        <w:jc w:val="center"/>
        <w:rPr>
          <w:rFonts w:ascii="方正小标宋简体" w:hAnsi="方正小标宋简体" w:eastAsia="方正小标宋简体" w:cs="方正小标宋简体"/>
          <w:b w:val="0"/>
          <w:bCs w:val="0"/>
          <w:kern w:val="0"/>
          <w:sz w:val="36"/>
          <w:szCs w:val="36"/>
        </w:rPr>
      </w:pPr>
    </w:p>
    <w:p w14:paraId="04017E5D">
      <w:pPr>
        <w:pStyle w:val="3"/>
        <w:keepNext w:val="0"/>
        <w:keepLines w:val="0"/>
        <w:widowControl/>
        <w:spacing w:before="0" w:after="0" w:line="360" w:lineRule="auto"/>
        <w:ind w:left="0" w:right="0"/>
        <w:jc w:val="center"/>
        <w:rPr>
          <w:rFonts w:ascii="方正小标宋简体" w:hAnsi="方正小标宋简体" w:eastAsia="方正小标宋简体" w:cs="方正小标宋简体"/>
          <w:b w:val="0"/>
          <w:bCs w:val="0"/>
          <w:kern w:val="0"/>
          <w:sz w:val="36"/>
          <w:szCs w:val="36"/>
        </w:rPr>
      </w:pPr>
    </w:p>
    <w:p w14:paraId="66E877E1">
      <w:pPr>
        <w:pStyle w:val="3"/>
        <w:keepNext w:val="0"/>
        <w:keepLines w:val="0"/>
        <w:widowControl/>
        <w:spacing w:before="0" w:after="0" w:line="360" w:lineRule="auto"/>
        <w:ind w:left="0" w:right="0"/>
        <w:jc w:val="center"/>
        <w:rPr>
          <w:rFonts w:ascii="方正小标宋简体" w:hAnsi="方正小标宋简体" w:eastAsia="方正小标宋简体" w:cs="方正小标宋简体"/>
          <w:b w:val="0"/>
          <w:bCs w:val="0"/>
          <w:kern w:val="0"/>
          <w:sz w:val="36"/>
          <w:szCs w:val="36"/>
        </w:rPr>
      </w:pPr>
    </w:p>
    <w:p w14:paraId="20900674">
      <w:pPr>
        <w:pStyle w:val="3"/>
        <w:keepNext w:val="0"/>
        <w:keepLines w:val="0"/>
        <w:widowControl/>
        <w:spacing w:before="0" w:after="0" w:line="360" w:lineRule="auto"/>
        <w:ind w:left="0" w:right="0"/>
        <w:jc w:val="center"/>
        <w:rPr>
          <w:rFonts w:ascii="方正小标宋简体" w:hAnsi="方正小标宋简体" w:eastAsia="方正小标宋简体" w:cs="方正小标宋简体"/>
          <w:b w:val="0"/>
          <w:bCs w:val="0"/>
          <w:kern w:val="0"/>
          <w:sz w:val="36"/>
          <w:szCs w:val="36"/>
        </w:rPr>
      </w:pPr>
    </w:p>
    <w:p w14:paraId="4BE65920">
      <w:pPr>
        <w:pStyle w:val="3"/>
        <w:keepNext w:val="0"/>
        <w:keepLines w:val="0"/>
        <w:widowControl/>
        <w:spacing w:before="0" w:after="0" w:line="360" w:lineRule="auto"/>
        <w:ind w:left="0" w:right="0"/>
        <w:jc w:val="center"/>
        <w:rPr>
          <w:rFonts w:ascii="方正小标宋简体" w:hAnsi="方正小标宋简体" w:eastAsia="方正小标宋简体" w:cs="方正小标宋简体"/>
          <w:b w:val="0"/>
          <w:bCs w:val="0"/>
          <w:kern w:val="0"/>
          <w:sz w:val="36"/>
          <w:szCs w:val="36"/>
        </w:rPr>
      </w:pPr>
    </w:p>
    <w:p w14:paraId="2048CD2B">
      <w:pPr>
        <w:pStyle w:val="3"/>
        <w:keepNext w:val="0"/>
        <w:keepLines w:val="0"/>
        <w:widowControl/>
        <w:spacing w:before="0" w:after="0" w:line="360" w:lineRule="auto"/>
        <w:ind w:left="0" w:right="0"/>
        <w:jc w:val="center"/>
        <w:rPr>
          <w:rFonts w:ascii="方正小标宋简体" w:hAnsi="方正小标宋简体" w:eastAsia="方正小标宋简体" w:cs="方正小标宋简体"/>
          <w:b w:val="0"/>
          <w:bCs w:val="0"/>
          <w:kern w:val="0"/>
          <w:sz w:val="36"/>
          <w:szCs w:val="36"/>
        </w:rPr>
      </w:pPr>
    </w:p>
    <w:p w14:paraId="7E043ED0">
      <w:pPr>
        <w:pStyle w:val="3"/>
        <w:keepNext w:val="0"/>
        <w:keepLines w:val="0"/>
        <w:widowControl/>
        <w:spacing w:before="0" w:after="0" w:line="360" w:lineRule="auto"/>
        <w:ind w:left="0" w:right="0"/>
        <w:jc w:val="center"/>
        <w:rPr>
          <w:rFonts w:ascii="方正小标宋简体" w:hAnsi="方正小标宋简体" w:eastAsia="方正小标宋简体" w:cs="方正小标宋简体"/>
          <w:b w:val="0"/>
          <w:bCs w:val="0"/>
          <w:kern w:val="0"/>
          <w:sz w:val="36"/>
          <w:szCs w:val="36"/>
        </w:rPr>
      </w:pPr>
    </w:p>
    <w:p w14:paraId="2966764E">
      <w:pPr>
        <w:pStyle w:val="3"/>
        <w:keepNext w:val="0"/>
        <w:keepLines w:val="0"/>
        <w:widowControl/>
        <w:spacing w:before="0" w:after="0" w:line="360" w:lineRule="auto"/>
        <w:ind w:left="0" w:right="0"/>
        <w:jc w:val="center"/>
        <w:rPr>
          <w:rFonts w:ascii="方正小标宋简体" w:hAnsi="方正小标宋简体" w:eastAsia="方正小标宋简体" w:cs="方正小标宋简体"/>
          <w:b w:val="0"/>
          <w:bCs w:val="0"/>
          <w:kern w:val="0"/>
          <w:sz w:val="36"/>
          <w:szCs w:val="36"/>
        </w:rPr>
      </w:pPr>
    </w:p>
    <w:p w14:paraId="71E9C6F1">
      <w:pPr>
        <w:pStyle w:val="3"/>
        <w:keepNext w:val="0"/>
        <w:keepLines w:val="0"/>
        <w:widowControl/>
        <w:spacing w:before="0" w:after="0" w:line="360" w:lineRule="auto"/>
        <w:ind w:left="0" w:right="0"/>
        <w:jc w:val="center"/>
        <w:rPr>
          <w:rFonts w:ascii="方正小标宋简体" w:hAnsi="方正小标宋简体" w:eastAsia="方正小标宋简体" w:cs="方正小标宋简体"/>
          <w:b w:val="0"/>
          <w:bCs w:val="0"/>
          <w:kern w:val="0"/>
          <w:sz w:val="36"/>
          <w:szCs w:val="36"/>
        </w:rPr>
      </w:pPr>
    </w:p>
    <w:p w14:paraId="51FE0E55">
      <w:pPr>
        <w:pStyle w:val="3"/>
        <w:keepNext w:val="0"/>
        <w:keepLines w:val="0"/>
        <w:widowControl/>
        <w:spacing w:before="0" w:after="0" w:line="360" w:lineRule="auto"/>
        <w:ind w:left="0" w:right="0"/>
        <w:jc w:val="center"/>
        <w:rPr>
          <w:rFonts w:ascii="方正小标宋简体" w:hAnsi="方正小标宋简体" w:eastAsia="方正小标宋简体" w:cs="方正小标宋简体"/>
          <w:b w:val="0"/>
          <w:bCs w:val="0"/>
          <w:kern w:val="0"/>
          <w:sz w:val="36"/>
          <w:szCs w:val="36"/>
        </w:rPr>
      </w:pPr>
    </w:p>
    <w:p w14:paraId="73B93415">
      <w:pPr>
        <w:pStyle w:val="3"/>
        <w:keepNext w:val="0"/>
        <w:keepLines w:val="0"/>
        <w:widowControl/>
        <w:spacing w:before="0" w:after="0" w:line="360" w:lineRule="auto"/>
        <w:ind w:left="0" w:right="0"/>
        <w:jc w:val="center"/>
        <w:rPr>
          <w:rFonts w:ascii="方正小标宋简体" w:hAnsi="方正小标宋简体" w:eastAsia="方正小标宋简体" w:cs="方正小标宋简体"/>
          <w:b w:val="0"/>
          <w:bCs w:val="0"/>
          <w:kern w:val="0"/>
          <w:sz w:val="36"/>
          <w:szCs w:val="36"/>
        </w:rPr>
      </w:pPr>
    </w:p>
    <w:p w14:paraId="765AE8A3">
      <w:pPr>
        <w:pStyle w:val="3"/>
        <w:keepNext w:val="0"/>
        <w:keepLines w:val="0"/>
        <w:widowControl/>
        <w:spacing w:before="0" w:after="0" w:line="360" w:lineRule="auto"/>
        <w:ind w:left="0" w:right="0"/>
        <w:jc w:val="center"/>
        <w:rPr>
          <w:rFonts w:ascii="方正小标宋简体" w:hAnsi="方正小标宋简体" w:eastAsia="方正小标宋简体" w:cs="方正小标宋简体"/>
          <w:b w:val="0"/>
          <w:bCs w:val="0"/>
          <w:kern w:val="0"/>
          <w:sz w:val="36"/>
          <w:szCs w:val="36"/>
        </w:rPr>
      </w:pPr>
    </w:p>
    <w:p w14:paraId="0C02C271">
      <w:pPr>
        <w:pStyle w:val="3"/>
        <w:keepNext w:val="0"/>
        <w:keepLines w:val="0"/>
        <w:widowControl/>
        <w:spacing w:before="0" w:after="0" w:line="360" w:lineRule="auto"/>
        <w:ind w:left="0" w:right="0"/>
        <w:jc w:val="center"/>
        <w:rPr>
          <w:rFonts w:ascii="Times New Roman" w:hAnsi="Times New Roman" w:eastAsia="Times New Roman" w:cs="Times New Roman"/>
          <w:b/>
          <w:bCs/>
          <w:kern w:val="0"/>
          <w:sz w:val="36"/>
          <w:szCs w:val="36"/>
        </w:rPr>
      </w:pPr>
      <w:r>
        <w:rPr>
          <w:rFonts w:ascii="方正小标宋简体" w:hAnsi="方正小标宋简体" w:eastAsia="方正小标宋简体" w:cs="方正小标宋简体"/>
          <w:b w:val="0"/>
          <w:bCs w:val="0"/>
          <w:kern w:val="0"/>
          <w:sz w:val="36"/>
          <w:szCs w:val="36"/>
        </w:rPr>
        <w:t>第一部分</w:t>
      </w:r>
      <w:r>
        <w:rPr>
          <w:rFonts w:ascii="方正小标宋简体" w:hAnsi="方正小标宋简体" w:eastAsia="方正小标宋简体" w:cs="方正小标宋简体"/>
          <w:b w:val="0"/>
          <w:bCs w:val="0"/>
          <w:kern w:val="0"/>
          <w:sz w:val="36"/>
          <w:szCs w:val="36"/>
          <w:lang w:eastAsia="en-US"/>
        </w:rPr>
        <w:t xml:space="preserve">  </w:t>
      </w:r>
      <w:r>
        <w:rPr>
          <w:rFonts w:ascii="方正小标宋简体" w:hAnsi="方正小标宋简体" w:eastAsia="方正小标宋简体" w:cs="方正小标宋简体"/>
          <w:b w:val="0"/>
          <w:bCs w:val="0"/>
          <w:kern w:val="0"/>
          <w:sz w:val="36"/>
          <w:szCs w:val="36"/>
        </w:rPr>
        <w:t>部门（单位）概况</w:t>
      </w:r>
    </w:p>
    <w:p w14:paraId="755E0A73">
      <w:pPr>
        <w:pStyle w:val="29"/>
        <w:widowControl/>
        <w:spacing w:before="240" w:after="240" w:line="600" w:lineRule="atLeast"/>
        <w:ind w:firstLine="643"/>
        <w:jc w:val="left"/>
        <w:rPr>
          <w:rFonts w:ascii="Times New Roman" w:hAnsi="Times New Roman" w:eastAsia="Times New Roman" w:cs="Times New Roman"/>
          <w:kern w:val="0"/>
          <w:sz w:val="24"/>
        </w:rPr>
      </w:pPr>
      <w:r>
        <w:rPr>
          <w:rFonts w:ascii="黑体" w:hAnsi="黑体" w:eastAsia="黑体" w:cs="黑体"/>
          <w:b/>
          <w:bCs/>
          <w:kern w:val="0"/>
          <w:sz w:val="32"/>
          <w:szCs w:val="32"/>
        </w:rPr>
        <w:t>一、主要职能、职责</w:t>
      </w:r>
    </w:p>
    <w:p w14:paraId="44BDB34B">
      <w:pPr>
        <w:spacing w:before="101" w:line="231" w:lineRule="auto"/>
        <w:ind w:left="674"/>
        <w:rPr>
          <w:rFonts w:ascii="Arial"/>
          <w:sz w:val="21"/>
        </w:rPr>
      </w:pPr>
      <w:r>
        <w:rPr>
          <w:rFonts w:ascii="楷体" w:hAnsi="楷体" w:eastAsia="楷体" w:cs="楷体"/>
          <w:spacing w:val="4"/>
          <w:sz w:val="31"/>
          <w:szCs w:val="31"/>
        </w:rPr>
        <w:t>（一）单位职能</w:t>
      </w:r>
    </w:p>
    <w:p w14:paraId="425E8528">
      <w:pPr>
        <w:pStyle w:val="8"/>
        <w:spacing w:before="101" w:line="370" w:lineRule="auto"/>
        <w:ind w:firstLine="694"/>
        <w:jc w:val="both"/>
        <w:rPr>
          <w:rFonts w:ascii="FangSong_GB2312" w:hAnsi="FangSong_GB2312" w:eastAsia="FangSong_GB2312" w:cs="FangSong_GB2312"/>
          <w:color w:val="auto"/>
          <w:kern w:val="0"/>
          <w:sz w:val="32"/>
          <w:szCs w:val="32"/>
          <w:lang w:val="en-US" w:eastAsia="zh-CN" w:bidi="ar-SA"/>
        </w:rPr>
      </w:pPr>
      <w:r>
        <w:rPr>
          <w:rFonts w:ascii="FangSong_GB2312" w:hAnsi="FangSong_GB2312" w:eastAsia="FangSong_GB2312" w:cs="FangSong_GB2312"/>
          <w:color w:val="auto"/>
          <w:kern w:val="0"/>
          <w:sz w:val="32"/>
          <w:szCs w:val="32"/>
          <w:lang w:val="en-US" w:eastAsia="zh-CN" w:bidi="ar-SA"/>
        </w:rPr>
        <w:t>内蒙古自治区特种设备检验研究院鄂尔多斯分院前身为鄂尔多斯市特种设备检验所，是经原国家质量监督检验检疫总局进行资格核准，授权从事特种设备法定检验及相关委托检验的公益性事业单位。202</w:t>
      </w:r>
      <w:r>
        <w:rPr>
          <w:rFonts w:hint="eastAsia" w:ascii="FangSong_GB2312" w:hAnsi="FangSong_GB2312" w:eastAsia="FangSong_GB2312" w:cs="FangSong_GB2312"/>
          <w:color w:val="auto"/>
          <w:kern w:val="0"/>
          <w:sz w:val="32"/>
          <w:szCs w:val="32"/>
          <w:lang w:val="en-US" w:eastAsia="zh-CN" w:bidi="ar-SA"/>
        </w:rPr>
        <w:t>1</w:t>
      </w:r>
      <w:r>
        <w:rPr>
          <w:rFonts w:ascii="FangSong_GB2312" w:hAnsi="FangSong_GB2312" w:eastAsia="FangSong_GB2312" w:cs="FangSong_GB2312"/>
          <w:color w:val="auto"/>
          <w:kern w:val="0"/>
          <w:sz w:val="32"/>
          <w:szCs w:val="32"/>
          <w:lang w:val="en-US" w:eastAsia="zh-CN" w:bidi="ar-SA"/>
        </w:rPr>
        <w:t>年3月按照中共内蒙古自治区委员会机构编制委员会《关于自治区市场监督管理局所属事业单位机构职能编制的批复》(内机编办发〔2020〕148号〕要求，我单位及其余原驻盟市特检所与原自治区特种设备检验研究院、原自治区锅炉压力容器检验研究院合并组建为内蒙古自治区特种设备检验研究院，我单位为其分支机构。</w:t>
      </w:r>
    </w:p>
    <w:p w14:paraId="573939C4">
      <w:pPr>
        <w:spacing w:before="267" w:line="230" w:lineRule="auto"/>
        <w:ind w:left="674"/>
        <w:rPr>
          <w:rFonts w:ascii="Arial"/>
          <w:sz w:val="21"/>
        </w:rPr>
      </w:pPr>
      <w:r>
        <w:rPr>
          <w:rFonts w:ascii="楷体" w:hAnsi="楷体" w:eastAsia="楷体" w:cs="楷体"/>
          <w:spacing w:val="4"/>
          <w:sz w:val="31"/>
          <w:szCs w:val="31"/>
        </w:rPr>
        <w:t>（二）单位职责</w:t>
      </w:r>
    </w:p>
    <w:p w14:paraId="62DBA847">
      <w:pPr>
        <w:pStyle w:val="8"/>
        <w:spacing w:before="101" w:line="370" w:lineRule="auto"/>
        <w:ind w:firstLine="694"/>
        <w:jc w:val="both"/>
        <w:rPr>
          <w:rFonts w:ascii="FangSong_GB2312" w:hAnsi="FangSong_GB2312" w:eastAsia="FangSong_GB2312" w:cs="FangSong_GB2312"/>
          <w:color w:val="auto"/>
          <w:kern w:val="0"/>
          <w:sz w:val="32"/>
          <w:szCs w:val="32"/>
          <w:lang w:val="en-US" w:eastAsia="zh-CN" w:bidi="ar-SA"/>
        </w:rPr>
      </w:pPr>
      <w:r>
        <w:rPr>
          <w:rFonts w:ascii="FangSong_GB2312" w:hAnsi="FangSong_GB2312" w:eastAsia="FangSong_GB2312" w:cs="FangSong_GB2312"/>
          <w:color w:val="auto"/>
          <w:kern w:val="0"/>
          <w:sz w:val="32"/>
          <w:szCs w:val="32"/>
          <w:lang w:val="en-US" w:eastAsia="zh-CN" w:bidi="ar-SA"/>
        </w:rPr>
        <w:t>我单位目前具有锅炉、压力容器、压力管道、电梯、起重机械、厂内机动车辆的监督检验及定期检验、安全阀校验、锅炉水质检测等39项检验资质，还可开展特种设备操作人员培训、锅炉能效测试、电梯限速器检测等工作，资质数量位居自治区内同类检验机构前列，检验能力基本满足了鄂尔多斯市经济社会发展需求。</w:t>
      </w:r>
    </w:p>
    <w:p w14:paraId="62198CC1">
      <w:pPr>
        <w:pStyle w:val="29"/>
        <w:widowControl/>
        <w:spacing w:before="240" w:after="240" w:line="600" w:lineRule="atLeast"/>
        <w:ind w:firstLine="643"/>
        <w:jc w:val="left"/>
        <w:rPr>
          <w:rFonts w:ascii="Times New Roman" w:hAnsi="Times New Roman" w:eastAsia="Times New Roman" w:cs="Times New Roman"/>
          <w:kern w:val="0"/>
          <w:sz w:val="24"/>
        </w:rPr>
      </w:pPr>
      <w:r>
        <w:rPr>
          <w:rFonts w:ascii="黑体" w:hAnsi="黑体" w:eastAsia="黑体" w:cs="黑体"/>
          <w:b/>
          <w:bCs/>
          <w:kern w:val="0"/>
          <w:sz w:val="32"/>
          <w:szCs w:val="32"/>
        </w:rPr>
        <w:t>二、部门（单位）机构设置及决算单位构成情况</w:t>
      </w:r>
    </w:p>
    <w:p w14:paraId="234D14D7">
      <w:pPr>
        <w:pStyle w:val="8"/>
        <w:spacing w:before="101" w:line="372" w:lineRule="auto"/>
        <w:ind w:right="103" w:firstLine="640" w:firstLineChars="200"/>
      </w:pPr>
      <w:r>
        <w:rPr>
          <w:rFonts w:ascii="FangSong_GB2312" w:hAnsi="FangSong_GB2312" w:eastAsia="FangSong_GB2312" w:cs="FangSong_GB2312"/>
          <w:snapToGrid/>
          <w:color w:val="auto"/>
          <w:kern w:val="0"/>
          <w:sz w:val="32"/>
          <w:szCs w:val="32"/>
          <w:lang w:val="en-US" w:eastAsia="zh-CN" w:bidi="ar-SA"/>
        </w:rPr>
        <w:t>1.根据单位职责分工，本单位现设置正科级内设机构 17个，其中行政管理和服务科室</w:t>
      </w:r>
      <w:r>
        <w:rPr>
          <w:rFonts w:hint="eastAsia" w:ascii="FangSong_GB2312" w:hAnsi="FangSong_GB2312" w:eastAsia="FangSong_GB2312" w:cs="FangSong_GB2312"/>
          <w:snapToGrid/>
          <w:color w:val="auto"/>
          <w:kern w:val="0"/>
          <w:sz w:val="32"/>
          <w:szCs w:val="32"/>
          <w:lang w:val="en-US" w:eastAsia="zh-CN" w:bidi="ar-SA"/>
        </w:rPr>
        <w:t>5</w:t>
      </w:r>
      <w:r>
        <w:rPr>
          <w:rFonts w:ascii="FangSong_GB2312" w:hAnsi="FangSong_GB2312" w:eastAsia="FangSong_GB2312" w:cs="FangSong_GB2312"/>
          <w:snapToGrid/>
          <w:color w:val="auto"/>
          <w:kern w:val="0"/>
          <w:sz w:val="32"/>
          <w:szCs w:val="32"/>
          <w:lang w:val="en-US" w:eastAsia="zh-CN" w:bidi="ar-SA"/>
        </w:rPr>
        <w:t>个，分别是：</w:t>
      </w:r>
      <w:r>
        <w:rPr>
          <w:rFonts w:hint="eastAsia" w:ascii="FangSong_GB2312" w:hAnsi="FangSong_GB2312" w:eastAsia="FangSong_GB2312" w:cs="FangSong_GB2312"/>
          <w:snapToGrid/>
          <w:color w:val="auto"/>
          <w:kern w:val="0"/>
          <w:sz w:val="32"/>
          <w:szCs w:val="32"/>
          <w:lang w:val="en-US" w:eastAsia="zh-CN" w:bidi="ar-SA"/>
        </w:rPr>
        <w:t>综合管理部</w:t>
      </w:r>
      <w:r>
        <w:rPr>
          <w:rFonts w:ascii="FangSong_GB2312" w:hAnsi="FangSong_GB2312" w:eastAsia="FangSong_GB2312" w:cs="FangSong_GB2312"/>
          <w:snapToGrid/>
          <w:color w:val="auto"/>
          <w:kern w:val="0"/>
          <w:sz w:val="32"/>
          <w:szCs w:val="32"/>
          <w:lang w:val="en-US" w:eastAsia="zh-CN" w:bidi="ar-SA"/>
        </w:rPr>
        <w:t>、</w:t>
      </w:r>
      <w:r>
        <w:rPr>
          <w:rFonts w:hint="eastAsia" w:ascii="FangSong_GB2312" w:hAnsi="FangSong_GB2312" w:eastAsia="FangSong_GB2312" w:cs="FangSong_GB2312"/>
          <w:snapToGrid/>
          <w:color w:val="auto"/>
          <w:kern w:val="0"/>
          <w:sz w:val="32"/>
          <w:szCs w:val="32"/>
          <w:lang w:val="en-US" w:eastAsia="zh-CN" w:bidi="ar-SA"/>
        </w:rPr>
        <w:t>质量与业务管理部</w:t>
      </w:r>
      <w:r>
        <w:rPr>
          <w:rFonts w:ascii="FangSong_GB2312" w:hAnsi="FangSong_GB2312" w:eastAsia="FangSong_GB2312" w:cs="FangSong_GB2312"/>
          <w:snapToGrid/>
          <w:color w:val="auto"/>
          <w:kern w:val="0"/>
          <w:sz w:val="32"/>
          <w:szCs w:val="32"/>
          <w:lang w:val="en-US" w:eastAsia="zh-CN" w:bidi="ar-SA"/>
        </w:rPr>
        <w:t>、</w:t>
      </w:r>
      <w:r>
        <w:rPr>
          <w:rFonts w:hint="eastAsia" w:ascii="FangSong_GB2312" w:hAnsi="FangSong_GB2312" w:eastAsia="FangSong_GB2312" w:cs="FangSong_GB2312"/>
          <w:snapToGrid/>
          <w:color w:val="auto"/>
          <w:kern w:val="0"/>
          <w:sz w:val="32"/>
          <w:szCs w:val="32"/>
          <w:lang w:val="en-US" w:eastAsia="zh-CN" w:bidi="ar-SA"/>
        </w:rPr>
        <w:t>科研发展部</w:t>
      </w:r>
      <w:r>
        <w:rPr>
          <w:rFonts w:ascii="FangSong_GB2312" w:hAnsi="FangSong_GB2312" w:eastAsia="FangSong_GB2312" w:cs="FangSong_GB2312"/>
          <w:snapToGrid/>
          <w:color w:val="auto"/>
          <w:kern w:val="0"/>
          <w:sz w:val="32"/>
          <w:szCs w:val="32"/>
          <w:lang w:val="en-US" w:eastAsia="zh-CN" w:bidi="ar-SA"/>
        </w:rPr>
        <w:t>、</w:t>
      </w:r>
      <w:r>
        <w:rPr>
          <w:rFonts w:hint="eastAsia" w:ascii="FangSong_GB2312" w:hAnsi="FangSong_GB2312" w:eastAsia="FangSong_GB2312" w:cs="FangSong_GB2312"/>
          <w:snapToGrid/>
          <w:color w:val="auto"/>
          <w:kern w:val="0"/>
          <w:sz w:val="32"/>
          <w:szCs w:val="32"/>
          <w:lang w:val="en-US" w:eastAsia="zh-CN" w:bidi="ar-SA"/>
        </w:rPr>
        <w:t>党群工作部、财务核算分中心</w:t>
      </w:r>
      <w:r>
        <w:rPr>
          <w:rFonts w:ascii="FangSong_GB2312" w:hAnsi="FangSong_GB2312" w:eastAsia="FangSong_GB2312" w:cs="FangSong_GB2312"/>
          <w:snapToGrid/>
          <w:color w:val="auto"/>
          <w:kern w:val="0"/>
          <w:sz w:val="32"/>
          <w:szCs w:val="32"/>
          <w:lang w:val="en-US" w:eastAsia="zh-CN" w:bidi="ar-SA"/>
        </w:rPr>
        <w:t>；检验业务科室</w:t>
      </w:r>
      <w:r>
        <w:rPr>
          <w:rFonts w:hint="eastAsia" w:ascii="FangSong_GB2312" w:hAnsi="FangSong_GB2312" w:eastAsia="FangSong_GB2312" w:cs="FangSong_GB2312"/>
          <w:snapToGrid/>
          <w:color w:val="auto"/>
          <w:kern w:val="0"/>
          <w:sz w:val="32"/>
          <w:szCs w:val="32"/>
          <w:lang w:val="en-US" w:eastAsia="zh-CN" w:bidi="ar-SA"/>
        </w:rPr>
        <w:t>8</w:t>
      </w:r>
      <w:r>
        <w:rPr>
          <w:rFonts w:ascii="FangSong_GB2312" w:hAnsi="FangSong_GB2312" w:eastAsia="FangSong_GB2312" w:cs="FangSong_GB2312"/>
          <w:snapToGrid/>
          <w:color w:val="auto"/>
          <w:kern w:val="0"/>
          <w:sz w:val="32"/>
          <w:szCs w:val="32"/>
          <w:lang w:val="en-US" w:eastAsia="zh-CN" w:bidi="ar-SA"/>
        </w:rPr>
        <w:t>个；分别是：</w:t>
      </w:r>
      <w:r>
        <w:rPr>
          <w:rFonts w:hint="eastAsia" w:ascii="FangSong_GB2312" w:hAnsi="FangSong_GB2312" w:eastAsia="FangSong_GB2312" w:cs="FangSong_GB2312"/>
          <w:snapToGrid/>
          <w:color w:val="auto"/>
          <w:kern w:val="0"/>
          <w:sz w:val="32"/>
          <w:szCs w:val="32"/>
          <w:lang w:val="en-US" w:eastAsia="zh-CN" w:bidi="ar-SA"/>
        </w:rPr>
        <w:t>机电</w:t>
      </w:r>
      <w:r>
        <w:rPr>
          <w:rFonts w:ascii="FangSong_GB2312" w:hAnsi="FangSong_GB2312" w:eastAsia="FangSong_GB2312" w:cs="FangSong_GB2312"/>
          <w:snapToGrid/>
          <w:color w:val="auto"/>
          <w:kern w:val="0"/>
          <w:sz w:val="32"/>
          <w:szCs w:val="32"/>
          <w:lang w:val="en-US" w:eastAsia="zh-CN" w:bidi="ar-SA"/>
        </w:rPr>
        <w:t>检验一</w:t>
      </w:r>
      <w:r>
        <w:rPr>
          <w:rFonts w:hint="eastAsia" w:ascii="FangSong_GB2312" w:hAnsi="FangSong_GB2312" w:eastAsia="FangSong_GB2312" w:cs="FangSong_GB2312"/>
          <w:snapToGrid/>
          <w:color w:val="auto"/>
          <w:kern w:val="0"/>
          <w:sz w:val="32"/>
          <w:szCs w:val="32"/>
          <w:lang w:val="en-US" w:eastAsia="zh-CN" w:bidi="ar-SA"/>
        </w:rPr>
        <w:t>部</w:t>
      </w:r>
      <w:r>
        <w:rPr>
          <w:rFonts w:ascii="FangSong_GB2312" w:hAnsi="FangSong_GB2312" w:eastAsia="FangSong_GB2312" w:cs="FangSong_GB2312"/>
          <w:snapToGrid/>
          <w:color w:val="auto"/>
          <w:kern w:val="0"/>
          <w:sz w:val="32"/>
          <w:szCs w:val="32"/>
          <w:lang w:val="en-US" w:eastAsia="zh-CN" w:bidi="ar-SA"/>
        </w:rPr>
        <w:t>、</w:t>
      </w:r>
      <w:r>
        <w:rPr>
          <w:rFonts w:hint="eastAsia" w:ascii="FangSong_GB2312" w:hAnsi="FangSong_GB2312" w:eastAsia="FangSong_GB2312" w:cs="FangSong_GB2312"/>
          <w:snapToGrid/>
          <w:color w:val="auto"/>
          <w:kern w:val="0"/>
          <w:sz w:val="32"/>
          <w:szCs w:val="32"/>
          <w:lang w:val="en-US" w:eastAsia="zh-CN" w:bidi="ar-SA"/>
        </w:rPr>
        <w:t>机电</w:t>
      </w:r>
      <w:r>
        <w:rPr>
          <w:rFonts w:ascii="FangSong_GB2312" w:hAnsi="FangSong_GB2312" w:eastAsia="FangSong_GB2312" w:cs="FangSong_GB2312"/>
          <w:snapToGrid/>
          <w:color w:val="auto"/>
          <w:kern w:val="0"/>
          <w:sz w:val="32"/>
          <w:szCs w:val="32"/>
          <w:lang w:val="en-US" w:eastAsia="zh-CN" w:bidi="ar-SA"/>
        </w:rPr>
        <w:t>检验二</w:t>
      </w:r>
      <w:r>
        <w:rPr>
          <w:rFonts w:hint="eastAsia" w:ascii="FangSong_GB2312" w:hAnsi="FangSong_GB2312" w:eastAsia="FangSong_GB2312" w:cs="FangSong_GB2312"/>
          <w:snapToGrid/>
          <w:color w:val="auto"/>
          <w:kern w:val="0"/>
          <w:sz w:val="32"/>
          <w:szCs w:val="32"/>
          <w:lang w:val="en-US" w:eastAsia="zh-CN" w:bidi="ar-SA"/>
        </w:rPr>
        <w:t>部</w:t>
      </w:r>
      <w:r>
        <w:rPr>
          <w:rFonts w:ascii="FangSong_GB2312" w:hAnsi="FangSong_GB2312" w:eastAsia="FangSong_GB2312" w:cs="FangSong_GB2312"/>
          <w:snapToGrid/>
          <w:color w:val="auto"/>
          <w:kern w:val="0"/>
          <w:sz w:val="32"/>
          <w:szCs w:val="32"/>
          <w:lang w:val="en-US" w:eastAsia="zh-CN" w:bidi="ar-SA"/>
        </w:rPr>
        <w:t>、锅炉检验</w:t>
      </w:r>
      <w:r>
        <w:rPr>
          <w:rFonts w:hint="eastAsia" w:ascii="FangSong_GB2312" w:hAnsi="FangSong_GB2312" w:eastAsia="FangSong_GB2312" w:cs="FangSong_GB2312"/>
          <w:snapToGrid/>
          <w:color w:val="auto"/>
          <w:kern w:val="0"/>
          <w:sz w:val="32"/>
          <w:szCs w:val="32"/>
          <w:lang w:val="en-US" w:eastAsia="zh-CN" w:bidi="ar-SA"/>
        </w:rPr>
        <w:t>部</w:t>
      </w:r>
      <w:r>
        <w:rPr>
          <w:rFonts w:ascii="FangSong_GB2312" w:hAnsi="FangSong_GB2312" w:eastAsia="FangSong_GB2312" w:cs="FangSong_GB2312"/>
          <w:snapToGrid/>
          <w:color w:val="auto"/>
          <w:kern w:val="0"/>
          <w:sz w:val="32"/>
          <w:szCs w:val="32"/>
          <w:lang w:val="en-US" w:eastAsia="zh-CN" w:bidi="ar-SA"/>
        </w:rPr>
        <w:t>、</w:t>
      </w:r>
      <w:r>
        <w:rPr>
          <w:rFonts w:hint="eastAsia" w:ascii="FangSong_GB2312" w:hAnsi="FangSong_GB2312" w:eastAsia="FangSong_GB2312" w:cs="FangSong_GB2312"/>
          <w:snapToGrid/>
          <w:color w:val="auto"/>
          <w:kern w:val="0"/>
          <w:sz w:val="32"/>
          <w:szCs w:val="32"/>
          <w:lang w:val="en-US" w:eastAsia="zh-CN" w:bidi="ar-SA"/>
        </w:rPr>
        <w:t>容器</w:t>
      </w:r>
      <w:r>
        <w:rPr>
          <w:rFonts w:ascii="FangSong_GB2312" w:hAnsi="FangSong_GB2312" w:eastAsia="FangSong_GB2312" w:cs="FangSong_GB2312"/>
          <w:snapToGrid/>
          <w:color w:val="auto"/>
          <w:kern w:val="0"/>
          <w:sz w:val="32"/>
          <w:szCs w:val="32"/>
          <w:lang w:val="en-US" w:eastAsia="zh-CN" w:bidi="ar-SA"/>
        </w:rPr>
        <w:t>管道检验</w:t>
      </w:r>
      <w:r>
        <w:rPr>
          <w:rFonts w:hint="eastAsia" w:ascii="FangSong_GB2312" w:hAnsi="FangSong_GB2312" w:eastAsia="FangSong_GB2312" w:cs="FangSong_GB2312"/>
          <w:snapToGrid/>
          <w:color w:val="auto"/>
          <w:kern w:val="0"/>
          <w:sz w:val="32"/>
          <w:szCs w:val="32"/>
          <w:lang w:val="en-US" w:eastAsia="zh-CN" w:bidi="ar-SA"/>
        </w:rPr>
        <w:t>一部</w:t>
      </w:r>
      <w:r>
        <w:rPr>
          <w:rFonts w:ascii="FangSong_GB2312" w:hAnsi="FangSong_GB2312" w:eastAsia="FangSong_GB2312" w:cs="FangSong_GB2312"/>
          <w:snapToGrid/>
          <w:color w:val="auto"/>
          <w:kern w:val="0"/>
          <w:sz w:val="32"/>
          <w:szCs w:val="32"/>
          <w:lang w:val="en-US" w:eastAsia="zh-CN" w:bidi="ar-SA"/>
        </w:rPr>
        <w:t>、</w:t>
      </w:r>
      <w:r>
        <w:rPr>
          <w:rFonts w:hint="eastAsia" w:ascii="FangSong_GB2312" w:hAnsi="FangSong_GB2312" w:eastAsia="FangSong_GB2312" w:cs="FangSong_GB2312"/>
          <w:snapToGrid/>
          <w:color w:val="auto"/>
          <w:kern w:val="0"/>
          <w:sz w:val="32"/>
          <w:szCs w:val="32"/>
          <w:lang w:val="en-US" w:eastAsia="zh-CN" w:bidi="ar-SA"/>
        </w:rPr>
        <w:t>容器</w:t>
      </w:r>
      <w:r>
        <w:rPr>
          <w:rFonts w:ascii="FangSong_GB2312" w:hAnsi="FangSong_GB2312" w:eastAsia="FangSong_GB2312" w:cs="FangSong_GB2312"/>
          <w:snapToGrid/>
          <w:color w:val="auto"/>
          <w:kern w:val="0"/>
          <w:sz w:val="32"/>
          <w:szCs w:val="32"/>
          <w:lang w:val="en-US" w:eastAsia="zh-CN" w:bidi="ar-SA"/>
        </w:rPr>
        <w:t>管道检验</w:t>
      </w:r>
      <w:r>
        <w:rPr>
          <w:rFonts w:hint="eastAsia" w:ascii="FangSong_GB2312" w:hAnsi="FangSong_GB2312" w:eastAsia="FangSong_GB2312" w:cs="FangSong_GB2312"/>
          <w:snapToGrid/>
          <w:color w:val="auto"/>
          <w:kern w:val="0"/>
          <w:sz w:val="32"/>
          <w:szCs w:val="32"/>
          <w:lang w:val="en-US" w:eastAsia="zh-CN" w:bidi="ar-SA"/>
        </w:rPr>
        <w:t>二部</w:t>
      </w:r>
      <w:r>
        <w:rPr>
          <w:rFonts w:ascii="FangSong_GB2312" w:hAnsi="FangSong_GB2312" w:eastAsia="FangSong_GB2312" w:cs="FangSong_GB2312"/>
          <w:snapToGrid/>
          <w:color w:val="auto"/>
          <w:kern w:val="0"/>
          <w:sz w:val="32"/>
          <w:szCs w:val="32"/>
          <w:lang w:val="en-US" w:eastAsia="zh-CN" w:bidi="ar-SA"/>
        </w:rPr>
        <w:t>、</w:t>
      </w:r>
      <w:r>
        <w:rPr>
          <w:rFonts w:hint="eastAsia" w:ascii="FangSong_GB2312" w:hAnsi="FangSong_GB2312" w:eastAsia="FangSong_GB2312" w:cs="FangSong_GB2312"/>
          <w:snapToGrid/>
          <w:color w:val="auto"/>
          <w:kern w:val="0"/>
          <w:sz w:val="32"/>
          <w:szCs w:val="32"/>
          <w:lang w:val="en-US" w:eastAsia="zh-CN" w:bidi="ar-SA"/>
        </w:rPr>
        <w:t>容器</w:t>
      </w:r>
      <w:r>
        <w:rPr>
          <w:rFonts w:ascii="FangSong_GB2312" w:hAnsi="FangSong_GB2312" w:eastAsia="FangSong_GB2312" w:cs="FangSong_GB2312"/>
          <w:snapToGrid/>
          <w:color w:val="auto"/>
          <w:kern w:val="0"/>
          <w:sz w:val="32"/>
          <w:szCs w:val="32"/>
          <w:lang w:val="en-US" w:eastAsia="zh-CN" w:bidi="ar-SA"/>
        </w:rPr>
        <w:t>管道检验</w:t>
      </w:r>
      <w:r>
        <w:rPr>
          <w:rFonts w:hint="eastAsia" w:ascii="FangSong_GB2312" w:hAnsi="FangSong_GB2312" w:eastAsia="FangSong_GB2312" w:cs="FangSong_GB2312"/>
          <w:snapToGrid/>
          <w:color w:val="auto"/>
          <w:kern w:val="0"/>
          <w:sz w:val="32"/>
          <w:szCs w:val="32"/>
          <w:lang w:val="en-US" w:eastAsia="zh-CN" w:bidi="ar-SA"/>
        </w:rPr>
        <w:t>三部</w:t>
      </w:r>
      <w:r>
        <w:rPr>
          <w:rFonts w:ascii="FangSong_GB2312" w:hAnsi="FangSong_GB2312" w:eastAsia="FangSong_GB2312" w:cs="FangSong_GB2312"/>
          <w:snapToGrid/>
          <w:color w:val="auto"/>
          <w:kern w:val="0"/>
          <w:sz w:val="32"/>
          <w:szCs w:val="32"/>
          <w:lang w:val="en-US" w:eastAsia="zh-CN" w:bidi="ar-SA"/>
        </w:rPr>
        <w:t>、气瓶检</w:t>
      </w:r>
      <w:r>
        <w:rPr>
          <w:rFonts w:hint="eastAsia" w:ascii="FangSong_GB2312" w:hAnsi="FangSong_GB2312" w:eastAsia="FangSong_GB2312" w:cs="FangSong_GB2312"/>
          <w:snapToGrid/>
          <w:color w:val="auto"/>
          <w:kern w:val="0"/>
          <w:sz w:val="32"/>
          <w:szCs w:val="32"/>
          <w:lang w:val="en-US" w:eastAsia="zh-CN" w:bidi="ar-SA"/>
        </w:rPr>
        <w:t>验部</w:t>
      </w:r>
      <w:r>
        <w:rPr>
          <w:rFonts w:ascii="FangSong_GB2312" w:hAnsi="FangSong_GB2312" w:eastAsia="FangSong_GB2312" w:cs="FangSong_GB2312"/>
          <w:snapToGrid/>
          <w:color w:val="auto"/>
          <w:kern w:val="0"/>
          <w:sz w:val="32"/>
          <w:szCs w:val="32"/>
          <w:lang w:val="en-US" w:eastAsia="zh-CN" w:bidi="ar-SA"/>
        </w:rPr>
        <w:t>、</w:t>
      </w:r>
      <w:r>
        <w:rPr>
          <w:rFonts w:hint="eastAsia" w:ascii="FangSong_GB2312" w:hAnsi="FangSong_GB2312" w:eastAsia="FangSong_GB2312" w:cs="FangSong_GB2312"/>
          <w:snapToGrid/>
          <w:color w:val="auto"/>
          <w:kern w:val="0"/>
          <w:sz w:val="32"/>
          <w:szCs w:val="32"/>
          <w:lang w:val="en-US" w:eastAsia="zh-CN" w:bidi="ar-SA"/>
        </w:rPr>
        <w:t>锅炉能效与安全职卫部</w:t>
      </w:r>
      <w:r>
        <w:rPr>
          <w:rFonts w:ascii="FangSong_GB2312" w:hAnsi="FangSong_GB2312" w:eastAsia="FangSong_GB2312" w:cs="FangSong_GB2312"/>
          <w:snapToGrid/>
          <w:color w:val="auto"/>
          <w:kern w:val="0"/>
          <w:sz w:val="32"/>
          <w:szCs w:val="32"/>
          <w:lang w:val="en-US" w:eastAsia="zh-CN" w:bidi="ar-SA"/>
        </w:rPr>
        <w:t>。</w:t>
      </w:r>
      <w:r>
        <w:rPr>
          <w:rFonts w:hint="eastAsia" w:ascii="FangSong_GB2312" w:hAnsi="FangSong_GB2312" w:eastAsia="FangSong_GB2312" w:cs="FangSong_GB2312"/>
          <w:snapToGrid/>
          <w:color w:val="auto"/>
          <w:kern w:val="0"/>
          <w:sz w:val="32"/>
          <w:szCs w:val="32"/>
          <w:lang w:val="en-US" w:eastAsia="zh-CN" w:bidi="ar-SA"/>
        </w:rPr>
        <w:t>本</w:t>
      </w:r>
      <w:r>
        <w:rPr>
          <w:rFonts w:ascii="FangSong_GB2312" w:hAnsi="FangSong_GB2312" w:eastAsia="FangSong_GB2312" w:cs="FangSong_GB2312"/>
          <w:snapToGrid/>
          <w:color w:val="auto"/>
          <w:kern w:val="0"/>
          <w:sz w:val="32"/>
          <w:szCs w:val="32"/>
          <w:lang w:val="en-US" w:eastAsia="zh-CN" w:bidi="ar-SA"/>
        </w:rPr>
        <w:t>单位无下属单位。</w:t>
      </w:r>
    </w:p>
    <w:p w14:paraId="7D644183">
      <w:pPr>
        <w:pStyle w:val="8"/>
        <w:widowControl w:val="0"/>
        <w:kinsoku/>
        <w:autoSpaceDE/>
        <w:autoSpaceDN/>
        <w:adjustRightInd/>
        <w:snapToGrid/>
        <w:spacing w:before="101" w:line="372" w:lineRule="auto"/>
        <w:ind w:right="103" w:firstLine="640" w:firstLineChars="200"/>
        <w:jc w:val="both"/>
        <w:textAlignment w:val="auto"/>
        <w:rPr>
          <w:rFonts w:ascii="FangSong_GB2312" w:hAnsi="FangSong_GB2312" w:eastAsia="FangSong_GB2312" w:cs="FangSong_GB2312"/>
          <w:kern w:val="0"/>
          <w:sz w:val="32"/>
          <w:szCs w:val="32"/>
        </w:rPr>
      </w:pPr>
      <w:r>
        <w:rPr>
          <w:rFonts w:ascii="FangSong_GB2312" w:hAnsi="FangSong_GB2312" w:eastAsia="FangSong_GB2312" w:cs="FangSong_GB2312"/>
          <w:snapToGrid/>
          <w:color w:val="auto"/>
          <w:kern w:val="0"/>
          <w:sz w:val="32"/>
          <w:szCs w:val="32"/>
          <w:lang w:val="en-US" w:eastAsia="zh-CN" w:bidi="ar-SA"/>
        </w:rPr>
        <w:t>2.从决算单位构成看，纳入内蒙古自治区特种设备检验研究院鄂尔多斯分院 202</w:t>
      </w:r>
      <w:r>
        <w:rPr>
          <w:rFonts w:hint="eastAsia" w:ascii="FangSong_GB2312" w:hAnsi="FangSong_GB2312" w:eastAsia="FangSong_GB2312" w:cs="FangSong_GB2312"/>
          <w:snapToGrid/>
          <w:color w:val="auto"/>
          <w:kern w:val="0"/>
          <w:sz w:val="32"/>
          <w:szCs w:val="32"/>
          <w:lang w:val="en-US" w:eastAsia="zh-CN" w:bidi="ar-SA"/>
        </w:rPr>
        <w:t>5</w:t>
      </w:r>
      <w:r>
        <w:rPr>
          <w:rFonts w:ascii="FangSong_GB2312" w:hAnsi="FangSong_GB2312" w:eastAsia="FangSong_GB2312" w:cs="FangSong_GB2312"/>
          <w:snapToGrid/>
          <w:color w:val="auto"/>
          <w:kern w:val="0"/>
          <w:sz w:val="32"/>
          <w:szCs w:val="32"/>
          <w:lang w:val="en-US" w:eastAsia="zh-CN" w:bidi="ar-SA"/>
        </w:rPr>
        <w:t xml:space="preserve"> 年单位汇总决算编制范围的预算单位共计 1 家，具体包括：内蒙古自治区特种设备检验研究院鄂尔多斯分院。详细情况见表：</w:t>
      </w:r>
    </w:p>
    <w:tbl>
      <w:tblPr>
        <w:tblStyle w:val="19"/>
        <w:tblW w:w="7080" w:type="dxa"/>
        <w:jc w:val="center"/>
        <w:tblLayout w:type="fixed"/>
        <w:tblCellMar>
          <w:top w:w="15" w:type="dxa"/>
          <w:left w:w="15" w:type="dxa"/>
          <w:bottom w:w="15" w:type="dxa"/>
          <w:right w:w="15" w:type="dxa"/>
        </w:tblCellMar>
      </w:tblPr>
      <w:tblGrid>
        <w:gridCol w:w="583"/>
        <w:gridCol w:w="1600"/>
        <w:gridCol w:w="4897"/>
      </w:tblGrid>
      <w:tr w14:paraId="013B8B42">
        <w:tblPrEx>
          <w:tblCellMar>
            <w:top w:w="15" w:type="dxa"/>
            <w:left w:w="15" w:type="dxa"/>
            <w:bottom w:w="15" w:type="dxa"/>
            <w:right w:w="15" w:type="dxa"/>
          </w:tblCellMar>
        </w:tblPrEx>
        <w:trPr>
          <w:trHeight w:val="459" w:hRule="atLeast"/>
          <w:tblHeader/>
          <w:jc w:val="center"/>
        </w:trPr>
        <w:tc>
          <w:tcPr>
            <w:tcW w:w="583" w:type="dxa"/>
            <w:tcBorders>
              <w:top w:val="outset" w:color="808080" w:sz="6" w:space="0"/>
              <w:left w:val="outset" w:color="808080" w:sz="6" w:space="0"/>
              <w:bottom w:val="outset" w:color="808080" w:sz="6" w:space="0"/>
              <w:right w:val="outset" w:color="808080" w:sz="6" w:space="0"/>
            </w:tcBorders>
            <w:noWrap w:val="0"/>
            <w:tcMar>
              <w:top w:w="15" w:type="dxa"/>
              <w:left w:w="22" w:type="dxa"/>
              <w:bottom w:w="15" w:type="dxa"/>
              <w:right w:w="22" w:type="dxa"/>
            </w:tcMar>
            <w:vAlign w:val="center"/>
          </w:tcPr>
          <w:p w14:paraId="2FFEEF4D">
            <w:pPr>
              <w:widowControl/>
              <w:jc w:val="center"/>
              <w:rPr>
                <w:rFonts w:ascii="Times New Roman" w:hAnsi="Times New Roman" w:eastAsia="Times New Roman" w:cs="Times New Roman"/>
                <w:b w:val="0"/>
                <w:bCs w:val="0"/>
                <w:i w:val="0"/>
                <w:iCs w:val="0"/>
                <w:smallCaps w:val="0"/>
                <w:color w:val="000000"/>
                <w:kern w:val="0"/>
                <w:sz w:val="24"/>
              </w:rPr>
            </w:pPr>
            <w:r>
              <w:rPr>
                <w:rFonts w:ascii="FangSong_GB2312" w:hAnsi="FangSong_GB2312" w:eastAsia="FangSong_GB2312" w:cs="FangSong_GB2312"/>
                <w:b w:val="0"/>
                <w:bCs w:val="0"/>
                <w:i w:val="0"/>
                <w:iCs w:val="0"/>
                <w:smallCaps w:val="0"/>
                <w:color w:val="000000"/>
                <w:kern w:val="0"/>
                <w:sz w:val="24"/>
              </w:rPr>
              <w:t>序号</w:t>
            </w:r>
          </w:p>
        </w:tc>
        <w:tc>
          <w:tcPr>
            <w:tcW w:w="1600" w:type="dxa"/>
            <w:tcBorders>
              <w:top w:val="outset" w:color="808080" w:sz="6" w:space="0"/>
              <w:left w:val="outset" w:color="808080" w:sz="6" w:space="0"/>
              <w:bottom w:val="outset" w:color="808080" w:sz="6" w:space="0"/>
              <w:right w:val="outset" w:color="808080" w:sz="6" w:space="0"/>
            </w:tcBorders>
            <w:noWrap w:val="0"/>
            <w:tcMar>
              <w:top w:w="15" w:type="dxa"/>
              <w:left w:w="22" w:type="dxa"/>
              <w:bottom w:w="15" w:type="dxa"/>
              <w:right w:w="22" w:type="dxa"/>
            </w:tcMar>
            <w:vAlign w:val="center"/>
          </w:tcPr>
          <w:p w14:paraId="49B6687B">
            <w:pPr>
              <w:widowControl/>
              <w:jc w:val="center"/>
              <w:rPr>
                <w:rFonts w:ascii="Times New Roman" w:hAnsi="Times New Roman" w:eastAsia="Times New Roman" w:cs="Times New Roman"/>
                <w:b w:val="0"/>
                <w:bCs w:val="0"/>
                <w:i w:val="0"/>
                <w:iCs w:val="0"/>
                <w:smallCaps w:val="0"/>
                <w:color w:val="000000"/>
                <w:kern w:val="0"/>
                <w:sz w:val="24"/>
              </w:rPr>
            </w:pPr>
            <w:r>
              <w:rPr>
                <w:rFonts w:ascii="FangSong_GB2312" w:hAnsi="FangSong_GB2312" w:eastAsia="FangSong_GB2312" w:cs="FangSong_GB2312"/>
                <w:b w:val="0"/>
                <w:bCs w:val="0"/>
                <w:i w:val="0"/>
                <w:iCs w:val="0"/>
                <w:smallCaps w:val="0"/>
                <w:color w:val="000000"/>
                <w:kern w:val="0"/>
                <w:sz w:val="24"/>
              </w:rPr>
              <w:t>单位名称</w:t>
            </w:r>
          </w:p>
        </w:tc>
        <w:tc>
          <w:tcPr>
            <w:tcW w:w="4897" w:type="dxa"/>
            <w:tcBorders>
              <w:top w:val="outset" w:color="808080" w:sz="6" w:space="0"/>
              <w:left w:val="outset" w:color="808080" w:sz="6" w:space="0"/>
              <w:bottom w:val="outset" w:color="808080" w:sz="6" w:space="0"/>
              <w:right w:val="outset" w:color="808080" w:sz="6" w:space="0"/>
            </w:tcBorders>
            <w:noWrap w:val="0"/>
            <w:tcMar>
              <w:top w:w="15" w:type="dxa"/>
              <w:left w:w="22" w:type="dxa"/>
              <w:bottom w:w="15" w:type="dxa"/>
              <w:right w:w="22" w:type="dxa"/>
            </w:tcMar>
            <w:vAlign w:val="center"/>
          </w:tcPr>
          <w:p w14:paraId="66F371C0">
            <w:pPr>
              <w:widowControl/>
              <w:jc w:val="center"/>
              <w:rPr>
                <w:rFonts w:ascii="Times New Roman" w:hAnsi="Times New Roman" w:eastAsia="Times New Roman" w:cs="Times New Roman"/>
                <w:b w:val="0"/>
                <w:bCs w:val="0"/>
                <w:i w:val="0"/>
                <w:iCs w:val="0"/>
                <w:smallCaps w:val="0"/>
                <w:color w:val="000000"/>
                <w:kern w:val="0"/>
                <w:sz w:val="24"/>
              </w:rPr>
            </w:pPr>
            <w:r>
              <w:rPr>
                <w:rFonts w:ascii="FangSong_GB2312" w:hAnsi="FangSong_GB2312" w:eastAsia="FangSong_GB2312" w:cs="FangSong_GB2312"/>
                <w:b w:val="0"/>
                <w:bCs w:val="0"/>
                <w:i w:val="0"/>
                <w:iCs w:val="0"/>
                <w:smallCaps w:val="0"/>
                <w:color w:val="000000"/>
                <w:kern w:val="0"/>
                <w:sz w:val="24"/>
              </w:rPr>
              <w:t>单位性质</w:t>
            </w:r>
          </w:p>
        </w:tc>
      </w:tr>
      <w:tr w14:paraId="68748069">
        <w:tblPrEx>
          <w:tblCellMar>
            <w:top w:w="15" w:type="dxa"/>
            <w:left w:w="15" w:type="dxa"/>
            <w:bottom w:w="15" w:type="dxa"/>
            <w:right w:w="15" w:type="dxa"/>
          </w:tblCellMar>
        </w:tblPrEx>
        <w:trPr>
          <w:trHeight w:val="369" w:hRule="atLeast"/>
          <w:jc w:val="center"/>
        </w:trPr>
        <w:tc>
          <w:tcPr>
            <w:tcW w:w="583" w:type="dxa"/>
            <w:tcBorders>
              <w:top w:val="outset" w:color="808080" w:sz="6" w:space="0"/>
              <w:left w:val="outset" w:color="808080" w:sz="6" w:space="0"/>
              <w:bottom w:val="outset" w:color="808080" w:sz="6" w:space="0"/>
              <w:right w:val="outset" w:color="808080" w:sz="6" w:space="0"/>
            </w:tcBorders>
            <w:noWrap w:val="0"/>
            <w:tcMar>
              <w:top w:w="15" w:type="dxa"/>
              <w:left w:w="22" w:type="dxa"/>
              <w:bottom w:w="15" w:type="dxa"/>
              <w:right w:w="22" w:type="dxa"/>
            </w:tcMar>
            <w:vAlign w:val="center"/>
          </w:tcPr>
          <w:p w14:paraId="4DDB6562">
            <w:pPr>
              <w:widowControl/>
              <w:jc w:val="center"/>
              <w:rPr>
                <w:rFonts w:hint="eastAsia" w:ascii="Times New Roman" w:hAnsi="Times New Roman" w:eastAsia="宋体" w:cs="Times New Roman"/>
                <w:b w:val="0"/>
                <w:bCs w:val="0"/>
                <w:i w:val="0"/>
                <w:iCs w:val="0"/>
                <w:smallCaps w:val="0"/>
                <w:color w:val="000000"/>
                <w:kern w:val="0"/>
                <w:sz w:val="24"/>
                <w:lang w:val="en-US" w:eastAsia="zh-CN"/>
              </w:rPr>
            </w:pPr>
            <w:r>
              <w:rPr>
                <w:rFonts w:hint="eastAsia" w:cs="Times New Roman"/>
                <w:b w:val="0"/>
                <w:bCs w:val="0"/>
                <w:i w:val="0"/>
                <w:iCs w:val="0"/>
                <w:smallCaps w:val="0"/>
                <w:color w:val="000000"/>
                <w:kern w:val="0"/>
                <w:sz w:val="24"/>
                <w:lang w:val="en-US" w:eastAsia="zh-CN"/>
              </w:rPr>
              <w:t>1</w:t>
            </w:r>
          </w:p>
        </w:tc>
        <w:tc>
          <w:tcPr>
            <w:tcW w:w="1600" w:type="dxa"/>
            <w:tcBorders>
              <w:top w:val="outset" w:color="808080" w:sz="6" w:space="0"/>
              <w:left w:val="outset" w:color="808080" w:sz="6" w:space="0"/>
              <w:bottom w:val="outset" w:color="808080" w:sz="6" w:space="0"/>
              <w:right w:val="outset" w:color="808080" w:sz="6" w:space="0"/>
            </w:tcBorders>
            <w:noWrap w:val="0"/>
            <w:tcMar>
              <w:top w:w="15" w:type="dxa"/>
              <w:left w:w="22" w:type="dxa"/>
              <w:bottom w:w="15" w:type="dxa"/>
              <w:right w:w="22" w:type="dxa"/>
            </w:tcMar>
            <w:vAlign w:val="center"/>
          </w:tcPr>
          <w:p w14:paraId="1D3CA603">
            <w:pPr>
              <w:widowControl/>
              <w:jc w:val="left"/>
              <w:rPr>
                <w:rFonts w:hint="default" w:ascii="Times New Roman" w:hAnsi="Times New Roman" w:eastAsia="宋体" w:cs="Times New Roman"/>
                <w:b w:val="0"/>
                <w:bCs w:val="0"/>
                <w:i w:val="0"/>
                <w:iCs w:val="0"/>
                <w:smallCaps w:val="0"/>
                <w:color w:val="000000"/>
                <w:kern w:val="0"/>
                <w:sz w:val="24"/>
                <w:lang w:val="en-US" w:eastAsia="zh-CN"/>
              </w:rPr>
            </w:pPr>
            <w:r>
              <w:rPr>
                <w:rFonts w:hint="eastAsia" w:ascii="FangSong_GB2312" w:hAnsi="FangSong_GB2312" w:eastAsia="FangSong_GB2312" w:cs="FangSong_GB2312"/>
                <w:snapToGrid/>
                <w:color w:val="auto"/>
                <w:kern w:val="0"/>
                <w:sz w:val="32"/>
                <w:szCs w:val="32"/>
                <w:lang w:val="en-US" w:eastAsia="zh-CN" w:bidi="ar-SA"/>
              </w:rPr>
              <w:t>内蒙古自治区特种设备检验研究院鄂尔多斯分院</w:t>
            </w:r>
          </w:p>
        </w:tc>
        <w:tc>
          <w:tcPr>
            <w:tcW w:w="4897" w:type="dxa"/>
            <w:tcBorders>
              <w:top w:val="outset" w:color="808080" w:sz="6" w:space="0"/>
              <w:left w:val="outset" w:color="808080" w:sz="6" w:space="0"/>
              <w:bottom w:val="outset" w:color="808080" w:sz="6" w:space="0"/>
              <w:right w:val="outset" w:color="808080" w:sz="6" w:space="0"/>
            </w:tcBorders>
            <w:noWrap w:val="0"/>
            <w:tcMar>
              <w:top w:w="15" w:type="dxa"/>
              <w:left w:w="22" w:type="dxa"/>
              <w:bottom w:w="15" w:type="dxa"/>
              <w:right w:w="22" w:type="dxa"/>
            </w:tcMar>
            <w:vAlign w:val="center"/>
          </w:tcPr>
          <w:p w14:paraId="33118767">
            <w:pPr>
              <w:widowControl/>
              <w:jc w:val="left"/>
              <w:rPr>
                <w:rFonts w:ascii="Times New Roman" w:hAnsi="Times New Roman" w:eastAsia="Times New Roman" w:cs="Times New Roman"/>
                <w:b w:val="0"/>
                <w:bCs w:val="0"/>
                <w:i w:val="0"/>
                <w:iCs w:val="0"/>
                <w:smallCaps w:val="0"/>
                <w:color w:val="000000"/>
                <w:kern w:val="0"/>
                <w:sz w:val="24"/>
              </w:rPr>
            </w:pPr>
            <w:r>
              <w:rPr>
                <w:rFonts w:hint="eastAsia" w:ascii="FangSong_GB2312" w:hAnsi="FangSong_GB2312" w:eastAsia="FangSong_GB2312" w:cs="FangSong_GB2312"/>
                <w:snapToGrid/>
                <w:color w:val="auto"/>
                <w:kern w:val="0"/>
                <w:sz w:val="32"/>
                <w:szCs w:val="32"/>
                <w:lang w:val="en-US" w:eastAsia="zh-CN" w:bidi="ar-SA"/>
              </w:rPr>
              <w:t>公益二类事业单位</w:t>
            </w:r>
          </w:p>
        </w:tc>
      </w:tr>
    </w:tbl>
    <w:p w14:paraId="5BF24AC1">
      <w:pPr>
        <w:pStyle w:val="29"/>
        <w:widowControl/>
        <w:spacing w:before="240" w:after="240" w:line="600" w:lineRule="atLeast"/>
        <w:ind w:firstLine="643"/>
        <w:jc w:val="left"/>
        <w:rPr>
          <w:rFonts w:ascii="Times New Roman" w:hAnsi="Times New Roman" w:eastAsia="Times New Roman" w:cs="Times New Roman"/>
          <w:kern w:val="0"/>
          <w:sz w:val="24"/>
        </w:rPr>
      </w:pPr>
      <w:r>
        <w:rPr>
          <w:rFonts w:ascii="黑体" w:hAnsi="黑体" w:eastAsia="黑体" w:cs="黑体"/>
          <w:b/>
          <w:bCs/>
          <w:kern w:val="0"/>
          <w:sz w:val="32"/>
          <w:szCs w:val="32"/>
        </w:rPr>
        <w:t>三、</w:t>
      </w:r>
      <w:r>
        <w:rPr>
          <w:rFonts w:eastAsia="Times New Roman"/>
          <w:b/>
          <w:bCs/>
          <w:kern w:val="0"/>
          <w:sz w:val="32"/>
          <w:szCs w:val="32"/>
          <w:lang w:eastAsia="en-US"/>
        </w:rPr>
        <w:t>2025</w:t>
      </w:r>
      <w:r>
        <w:rPr>
          <w:rFonts w:ascii="黑体" w:hAnsi="黑体" w:eastAsia="黑体" w:cs="黑体"/>
          <w:b/>
          <w:bCs/>
          <w:kern w:val="0"/>
          <w:sz w:val="32"/>
          <w:szCs w:val="32"/>
        </w:rPr>
        <w:t>年度部门（单位）主要工作完成情况</w:t>
      </w:r>
    </w:p>
    <w:p w14:paraId="0C877F24">
      <w:pPr>
        <w:keepNext w:val="0"/>
        <w:keepLines w:val="0"/>
        <w:pageBreakBefore w:val="0"/>
        <w:widowControl w:val="0"/>
        <w:kinsoku/>
        <w:wordWrap/>
        <w:overflowPunct/>
        <w:topLinePunct w:val="0"/>
        <w:autoSpaceDE/>
        <w:autoSpaceDN/>
        <w:bidi w:val="0"/>
        <w:adjustRightInd/>
        <w:snapToGrid/>
        <w:spacing w:line="260" w:lineRule="atLeast"/>
        <w:ind w:firstLine="480" w:firstLineChars="200"/>
        <w:textAlignment w:val="auto"/>
        <w:rPr>
          <w:rFonts w:hint="eastAsia" w:ascii="FangSong_GB2312" w:hAnsi="FangSong_GB2312" w:eastAsia="FangSong_GB2312" w:cs="FangSong_GB2312"/>
          <w:snapToGrid/>
          <w:color w:val="auto"/>
          <w:kern w:val="0"/>
          <w:sz w:val="32"/>
          <w:szCs w:val="32"/>
          <w:lang w:val="en-US" w:eastAsia="zh-CN" w:bidi="ar-SA"/>
        </w:rPr>
      </w:pPr>
      <w:r>
        <w:rPr>
          <w:rFonts w:hint="eastAsia" w:cs="Times New Roman"/>
          <w:kern w:val="0"/>
          <w:sz w:val="24"/>
          <w:lang w:val="en-US" w:eastAsia="zh-CN"/>
        </w:rPr>
        <w:t xml:space="preserve">   </w:t>
      </w:r>
      <w:r>
        <w:rPr>
          <w:rFonts w:hint="eastAsia" w:ascii="FangSong_GB2312" w:hAnsi="FangSong_GB2312" w:eastAsia="FangSong_GB2312" w:cs="FangSong_GB2312"/>
          <w:snapToGrid/>
          <w:color w:val="auto"/>
          <w:kern w:val="0"/>
          <w:sz w:val="32"/>
          <w:szCs w:val="32"/>
          <w:lang w:val="en-US" w:eastAsia="zh-CN" w:bidi="ar-SA"/>
        </w:rPr>
        <w:t xml:space="preserve">  2025年全年承检各类特种设备27814台（套），压力管道1059km，各类气瓶9259只，校验安全阀25370只，出具检验检测报告27554份。实现业务收入8655万元，其中非税收入完成6340万元（含向各分院检验分成229万元），经营性收入2315万元。</w:t>
      </w:r>
    </w:p>
    <w:p w14:paraId="48AD665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宋体" w:cs="Times New Roman"/>
          <w:kern w:val="0"/>
          <w:sz w:val="24"/>
          <w:lang w:val="en-US" w:eastAsia="zh-CN"/>
        </w:rPr>
      </w:pPr>
      <w:r>
        <w:rPr>
          <w:rFonts w:hint="eastAsia" w:ascii="FangSong_GB2312" w:hAnsi="FangSong_GB2312" w:eastAsia="FangSong_GB2312" w:cs="FangSong_GB2312"/>
          <w:snapToGrid/>
          <w:color w:val="auto"/>
          <w:kern w:val="0"/>
          <w:sz w:val="32"/>
          <w:szCs w:val="32"/>
          <w:lang w:val="en-US" w:eastAsia="zh-CN" w:bidi="ar-SA"/>
        </w:rPr>
        <w:t>在主抓业务工作的同时，不忘积极创新，一是科研攻关成果丰硕。2项中央引导地方科技发展资金项目稳步推进，《架空管道腐蚀缺陷磁致伸缩导波云监测技术》项目完成云监测探头现场安装并进入数据采集阶段，1项发明专利通过初审；《X65掺氢管道焊缝氢脆行为及氢致失效评估》项目完成立项并召开启动会议；《车载储氢瓶动态安全可靠性评估及应用研究》项目成功获批国家市场监管总局科技计划项目；《燃气用埋地聚乙烯管道超声相控阵检测技术规范》地方标准修订工作初步完成大纲编制。二是深化院校协同合作。与内蒙古工业大学材料科学与工程学院正式签署合作框架协议，明确共建</w:t>
      </w:r>
      <w:r>
        <w:rPr>
          <w:rFonts w:hint="default" w:ascii="FangSong_GB2312" w:hAnsi="FangSong_GB2312" w:eastAsia="FangSong_GB2312" w:cs="FangSong_GB2312"/>
          <w:snapToGrid/>
          <w:color w:val="auto"/>
          <w:kern w:val="0"/>
          <w:sz w:val="32"/>
          <w:szCs w:val="32"/>
          <w:lang w:val="en-US" w:eastAsia="zh-CN" w:bidi="ar-SA"/>
        </w:rPr>
        <w:t>“产学研联合培养基地”及“特种设备材料检测与评价联合实验室</w:t>
      </w:r>
      <w:r>
        <w:rPr>
          <w:rFonts w:hint="eastAsia" w:ascii="FangSong_GB2312" w:hAnsi="FangSong_GB2312" w:eastAsia="FangSong_GB2312" w:cs="FangSong_GB2312"/>
          <w:snapToGrid/>
          <w:color w:val="auto"/>
          <w:kern w:val="0"/>
          <w:sz w:val="32"/>
          <w:szCs w:val="32"/>
          <w:lang w:val="en-US" w:eastAsia="zh-CN" w:bidi="ar-SA"/>
        </w:rPr>
        <w:t>”</w:t>
      </w:r>
      <w:r>
        <w:rPr>
          <w:rFonts w:hint="default" w:ascii="FangSong_GB2312" w:hAnsi="FangSong_GB2312" w:eastAsia="FangSong_GB2312" w:cs="FangSong_GB2312"/>
          <w:snapToGrid/>
          <w:color w:val="auto"/>
          <w:kern w:val="0"/>
          <w:sz w:val="32"/>
          <w:szCs w:val="32"/>
          <w:lang w:val="en-US" w:eastAsia="zh-CN" w:bidi="ar-SA"/>
        </w:rPr>
        <w:t>两大平台</w:t>
      </w:r>
      <w:r>
        <w:rPr>
          <w:rFonts w:hint="eastAsia" w:ascii="FangSong_GB2312" w:hAnsi="FangSong_GB2312" w:eastAsia="FangSong_GB2312" w:cs="FangSong_GB2312"/>
          <w:snapToGrid/>
          <w:color w:val="auto"/>
          <w:kern w:val="0"/>
          <w:sz w:val="32"/>
          <w:szCs w:val="32"/>
          <w:lang w:val="en-US" w:eastAsia="zh-CN" w:bidi="ar-SA"/>
        </w:rPr>
        <w:t>，</w:t>
      </w:r>
      <w:r>
        <w:rPr>
          <w:rFonts w:hint="default" w:ascii="FangSong_GB2312" w:hAnsi="FangSong_GB2312" w:eastAsia="FangSong_GB2312" w:cs="FangSong_GB2312"/>
          <w:snapToGrid/>
          <w:color w:val="auto"/>
          <w:kern w:val="0"/>
          <w:sz w:val="32"/>
          <w:szCs w:val="32"/>
          <w:lang w:val="en-US" w:eastAsia="zh-CN" w:bidi="ar-SA"/>
        </w:rPr>
        <w:t>为自治区特种设备安全运行提供高水平技术支撑和人才保障。</w:t>
      </w:r>
      <w:r>
        <w:rPr>
          <w:rFonts w:hint="eastAsia" w:ascii="FangSong_GB2312" w:hAnsi="FangSong_GB2312" w:eastAsia="FangSong_GB2312" w:cs="FangSong_GB2312"/>
          <w:snapToGrid/>
          <w:color w:val="auto"/>
          <w:kern w:val="0"/>
          <w:sz w:val="32"/>
          <w:szCs w:val="32"/>
          <w:lang w:val="en-US" w:eastAsia="zh-CN" w:bidi="ar-SA"/>
        </w:rPr>
        <w:t>三是抓实专业人员取证工作。全年新增检验师12人（项）、无损检测三级5人（项），取证通过率超过25%，人才储备进一步夯实。四是技能竞赛屡创佳绩。我院团队在国家级特种设备检验能力验证比赛中取得固定式压力容器定期检验“二等奖”；在自治区级2项检验技能比武中斩获最佳团体奖。</w:t>
      </w:r>
    </w:p>
    <w:p w14:paraId="4681F132">
      <w:pPr>
        <w:pStyle w:val="3"/>
        <w:keepNext w:val="0"/>
        <w:keepLines w:val="0"/>
        <w:widowControl/>
        <w:spacing w:before="0" w:after="0" w:line="360" w:lineRule="auto"/>
        <w:ind w:left="0" w:right="0"/>
        <w:jc w:val="center"/>
        <w:rPr>
          <w:rFonts w:ascii="Times New Roman" w:hAnsi="Times New Roman" w:eastAsia="Times New Roman" w:cs="Times New Roman"/>
          <w:b/>
          <w:bCs/>
          <w:kern w:val="0"/>
          <w:sz w:val="36"/>
          <w:szCs w:val="36"/>
        </w:rPr>
      </w:pPr>
      <w:r>
        <w:rPr>
          <w:rFonts w:ascii="方正小标宋简体" w:hAnsi="方正小标宋简体" w:eastAsia="方正小标宋简体" w:cs="方正小标宋简体"/>
          <w:kern w:val="0"/>
          <w:sz w:val="36"/>
          <w:szCs w:val="36"/>
        </w:rPr>
        <w:t>第二部分</w:t>
      </w:r>
      <w:r>
        <w:rPr>
          <w:rFonts w:ascii="Times New Roman" w:hAnsi="Times New Roman" w:eastAsia="Times New Roman" w:cs="Times New Roman"/>
          <w:kern w:val="0"/>
          <w:sz w:val="36"/>
          <w:szCs w:val="36"/>
        </w:rPr>
        <w:t> </w:t>
      </w:r>
      <w:r>
        <w:rPr>
          <w:rFonts w:ascii="方正小标宋简体" w:hAnsi="方正小标宋简体" w:eastAsia="方正小标宋简体" w:cs="方正小标宋简体"/>
          <w:b w:val="0"/>
          <w:bCs w:val="0"/>
          <w:kern w:val="0"/>
          <w:sz w:val="36"/>
          <w:szCs w:val="36"/>
        </w:rPr>
        <w:t xml:space="preserve"> </w:t>
      </w:r>
      <w:r>
        <w:rPr>
          <w:rFonts w:ascii="方正小标宋简体" w:hAnsi="方正小标宋简体" w:eastAsia="方正小标宋简体" w:cs="方正小标宋简体"/>
          <w:kern w:val="0"/>
          <w:sz w:val="36"/>
          <w:szCs w:val="36"/>
        </w:rPr>
        <w:t>部门（单位）决算情况说明</w:t>
      </w:r>
    </w:p>
    <w:p w14:paraId="11B205A0">
      <w:pPr>
        <w:pStyle w:val="29"/>
        <w:widowControl/>
        <w:spacing w:before="240" w:after="240" w:line="600" w:lineRule="atLeast"/>
        <w:ind w:firstLine="643"/>
        <w:jc w:val="left"/>
        <w:rPr>
          <w:rFonts w:ascii="Times New Roman" w:hAnsi="Times New Roman" w:eastAsia="Times New Roman" w:cs="Times New Roman"/>
          <w:kern w:val="0"/>
          <w:sz w:val="24"/>
        </w:rPr>
      </w:pPr>
      <w:r>
        <w:rPr>
          <w:rFonts w:ascii="黑体" w:hAnsi="黑体" w:eastAsia="黑体" w:cs="黑体"/>
          <w:b/>
          <w:bCs/>
          <w:kern w:val="0"/>
          <w:sz w:val="32"/>
          <w:szCs w:val="32"/>
        </w:rPr>
        <w:t>一、收入支出决算总体情况说明</w:t>
      </w:r>
    </w:p>
    <w:p w14:paraId="15F8C833">
      <w:pPr>
        <w:pStyle w:val="29"/>
        <w:widowControl/>
        <w:spacing w:before="240" w:after="240" w:line="560" w:lineRule="atLeast"/>
        <w:ind w:firstLine="640"/>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 xml:space="preserve">内蒙古自治区特种设备检验研究院鄂尔多斯分院 </w:t>
      </w:r>
      <w:r>
        <w:rPr>
          <w:rFonts w:eastAsia="Times New Roman"/>
          <w:kern w:val="0"/>
          <w:sz w:val="32"/>
          <w:szCs w:val="32"/>
          <w:lang w:eastAsia="en-US"/>
        </w:rPr>
        <w:t>2025</w:t>
      </w:r>
      <w:r>
        <w:rPr>
          <w:rFonts w:ascii="FangSong_GB2312" w:hAnsi="FangSong_GB2312" w:eastAsia="FangSong_GB2312" w:cs="FangSong_GB2312"/>
          <w:kern w:val="0"/>
          <w:sz w:val="32"/>
          <w:szCs w:val="32"/>
        </w:rPr>
        <w:t>年度收入、支出决算总计均为</w:t>
      </w:r>
      <w:r>
        <w:rPr>
          <w:rFonts w:eastAsia="Times New Roman"/>
          <w:kern w:val="0"/>
          <w:sz w:val="32"/>
          <w:szCs w:val="32"/>
          <w:u w:val="single"/>
          <w:lang w:eastAsia="en-US"/>
        </w:rPr>
        <w:t xml:space="preserve"> 7387.99</w:t>
      </w:r>
      <w:r>
        <w:rPr>
          <w:rFonts w:ascii="FangSong_GB2312" w:hAnsi="FangSong_GB2312" w:eastAsia="FangSong_GB2312" w:cs="FangSong_GB2312"/>
          <w:kern w:val="0"/>
          <w:sz w:val="32"/>
          <w:szCs w:val="32"/>
        </w:rPr>
        <w:t>万元。与年初预算相比，收、支总计各增加</w:t>
      </w:r>
      <w:r>
        <w:rPr>
          <w:rFonts w:eastAsia="Times New Roman"/>
          <w:kern w:val="0"/>
          <w:sz w:val="32"/>
          <w:szCs w:val="32"/>
          <w:u w:val="single"/>
          <w:lang w:eastAsia="en-US"/>
        </w:rPr>
        <w:t xml:space="preserve"> 635.24</w:t>
      </w:r>
      <w:r>
        <w:rPr>
          <w:rFonts w:ascii="FangSong_GB2312" w:hAnsi="FangSong_GB2312" w:eastAsia="FangSong_GB2312" w:cs="FangSong_GB2312"/>
          <w:kern w:val="0"/>
          <w:sz w:val="32"/>
          <w:szCs w:val="32"/>
        </w:rPr>
        <w:t>万元，增长</w:t>
      </w:r>
      <w:r>
        <w:rPr>
          <w:rFonts w:eastAsia="Times New Roman"/>
          <w:kern w:val="0"/>
          <w:sz w:val="32"/>
          <w:szCs w:val="32"/>
          <w:u w:val="single"/>
          <w:lang w:eastAsia="en-US"/>
        </w:rPr>
        <w:t xml:space="preserve"> 9.41</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，变动原因：</w:t>
      </w:r>
      <w:r>
        <w:rPr>
          <w:rFonts w:hint="eastAsia" w:ascii="FangSong_GB2312" w:hAnsi="FangSong_GB2312" w:eastAsia="FangSong_GB2312" w:cs="FangSong_GB2312"/>
          <w:kern w:val="0"/>
          <w:sz w:val="32"/>
          <w:szCs w:val="32"/>
          <w:lang w:val="en-US" w:eastAsia="zh-CN"/>
        </w:rPr>
        <w:t>本年度年初结转结余资金增加623.59万元</w:t>
      </w:r>
      <w:r>
        <w:rPr>
          <w:rFonts w:ascii="FangSong_GB2312" w:hAnsi="FangSong_GB2312" w:eastAsia="FangSong_GB2312" w:cs="FangSong_GB2312"/>
          <w:kern w:val="0"/>
          <w:sz w:val="32"/>
          <w:szCs w:val="32"/>
        </w:rPr>
        <w:t>；与上年决算相比，收、支总计各减少</w:t>
      </w:r>
      <w:r>
        <w:rPr>
          <w:rFonts w:eastAsia="Times New Roman"/>
          <w:kern w:val="0"/>
          <w:sz w:val="32"/>
          <w:szCs w:val="32"/>
          <w:u w:val="single"/>
          <w:lang w:eastAsia="en-US"/>
        </w:rPr>
        <w:t xml:space="preserve"> 533.29</w:t>
      </w:r>
      <w:r>
        <w:rPr>
          <w:rFonts w:ascii="FangSong_GB2312" w:hAnsi="FangSong_GB2312" w:eastAsia="FangSong_GB2312" w:cs="FangSong_GB2312"/>
          <w:kern w:val="0"/>
          <w:sz w:val="32"/>
          <w:szCs w:val="32"/>
        </w:rPr>
        <w:t>万元，下降</w:t>
      </w:r>
      <w:r>
        <w:rPr>
          <w:rFonts w:eastAsia="Times New Roman"/>
          <w:kern w:val="0"/>
          <w:sz w:val="32"/>
          <w:szCs w:val="32"/>
          <w:u w:val="single"/>
          <w:lang w:eastAsia="en-US"/>
        </w:rPr>
        <w:t xml:space="preserve"> 6.73</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。其中：</w:t>
      </w:r>
    </w:p>
    <w:p w14:paraId="78C5A5E7">
      <w:pPr>
        <w:pStyle w:val="29"/>
        <w:widowControl/>
        <w:spacing w:before="240" w:after="240" w:line="560" w:lineRule="atLeast"/>
        <w:ind w:firstLine="643"/>
        <w:jc w:val="left"/>
        <w:rPr>
          <w:rFonts w:ascii="Times New Roman" w:hAnsi="Times New Roman" w:eastAsia="Times New Roman" w:cs="Times New Roman"/>
          <w:kern w:val="0"/>
          <w:sz w:val="24"/>
        </w:rPr>
      </w:pPr>
      <w:r>
        <w:rPr>
          <w:rFonts w:ascii="楷体" w:hAnsi="楷体" w:eastAsia="楷体" w:cs="楷体"/>
          <w:b/>
          <w:bCs/>
          <w:kern w:val="0"/>
          <w:sz w:val="32"/>
          <w:szCs w:val="32"/>
        </w:rPr>
        <w:t>（一）收入决算总计</w:t>
      </w:r>
      <w:r>
        <w:rPr>
          <w:rFonts w:eastAsia="Times New Roman"/>
          <w:b/>
          <w:bCs/>
          <w:kern w:val="0"/>
          <w:sz w:val="32"/>
          <w:szCs w:val="32"/>
          <w:u w:val="single"/>
          <w:lang w:eastAsia="en-US"/>
        </w:rPr>
        <w:t xml:space="preserve"> 7387.99</w:t>
      </w:r>
      <w:r>
        <w:rPr>
          <w:rFonts w:ascii="楷体" w:hAnsi="楷体" w:eastAsia="楷体" w:cs="楷体"/>
          <w:b/>
          <w:bCs/>
          <w:kern w:val="0"/>
          <w:sz w:val="32"/>
          <w:szCs w:val="32"/>
        </w:rPr>
        <w:t>万元。包括：</w:t>
      </w:r>
    </w:p>
    <w:p w14:paraId="607B9E43">
      <w:pPr>
        <w:pStyle w:val="29"/>
        <w:widowControl/>
        <w:spacing w:before="240" w:after="240" w:line="560" w:lineRule="atLeast"/>
        <w:ind w:firstLine="640"/>
        <w:jc w:val="left"/>
        <w:rPr>
          <w:rFonts w:ascii="Times New Roman" w:hAnsi="Times New Roman" w:eastAsia="Times New Roman" w:cs="Times New Roman"/>
          <w:kern w:val="0"/>
          <w:sz w:val="24"/>
        </w:rPr>
      </w:pPr>
      <w:r>
        <w:rPr>
          <w:rFonts w:eastAsia="Times New Roman"/>
          <w:kern w:val="0"/>
          <w:sz w:val="32"/>
          <w:szCs w:val="32"/>
          <w:lang w:eastAsia="en-US"/>
        </w:rPr>
        <w:t>1</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本年收入决算合计</w:t>
      </w:r>
      <w:r>
        <w:rPr>
          <w:rFonts w:eastAsia="Times New Roman"/>
          <w:kern w:val="0"/>
          <w:sz w:val="32"/>
          <w:szCs w:val="32"/>
          <w:u w:val="single"/>
          <w:lang w:eastAsia="en-US"/>
        </w:rPr>
        <w:t xml:space="preserve"> 6614.39</w:t>
      </w:r>
      <w:r>
        <w:rPr>
          <w:rFonts w:ascii="FangSong_GB2312" w:hAnsi="FangSong_GB2312" w:eastAsia="FangSong_GB2312" w:cs="FangSong_GB2312"/>
          <w:kern w:val="0"/>
          <w:sz w:val="32"/>
          <w:szCs w:val="32"/>
        </w:rPr>
        <w:t>万元。与上年决算相比，增加</w:t>
      </w:r>
      <w:r>
        <w:rPr>
          <w:rFonts w:eastAsia="Times New Roman"/>
          <w:kern w:val="0"/>
          <w:sz w:val="32"/>
          <w:szCs w:val="32"/>
          <w:u w:val="single"/>
          <w:lang w:eastAsia="en-US"/>
        </w:rPr>
        <w:t xml:space="preserve"> 40.31</w:t>
      </w:r>
      <w:r>
        <w:rPr>
          <w:rFonts w:ascii="FangSong_GB2312" w:hAnsi="FangSong_GB2312" w:eastAsia="FangSong_GB2312" w:cs="FangSong_GB2312"/>
          <w:kern w:val="0"/>
          <w:sz w:val="32"/>
          <w:szCs w:val="32"/>
        </w:rPr>
        <w:t>万元，增长</w:t>
      </w:r>
      <w:r>
        <w:rPr>
          <w:rFonts w:eastAsia="Times New Roman"/>
          <w:kern w:val="0"/>
          <w:sz w:val="32"/>
          <w:szCs w:val="32"/>
          <w:u w:val="single"/>
          <w:lang w:eastAsia="en-US"/>
        </w:rPr>
        <w:t xml:space="preserve"> 0.61</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，变动原因：</w:t>
      </w:r>
      <w:r>
        <w:rPr>
          <w:rFonts w:hint="eastAsia" w:ascii="FangSong_GB2312" w:hAnsi="FangSong_GB2312" w:eastAsia="FangSong_GB2312" w:cs="FangSong_GB2312"/>
          <w:kern w:val="0"/>
          <w:sz w:val="32"/>
          <w:szCs w:val="32"/>
          <w:lang w:val="en-US" w:eastAsia="zh-CN"/>
        </w:rPr>
        <w:t>本年度财政拨款数增加</w:t>
      </w:r>
      <w:r>
        <w:rPr>
          <w:rFonts w:ascii="FangSong_GB2312" w:hAnsi="FangSong_GB2312" w:eastAsia="FangSong_GB2312" w:cs="FangSong_GB2312"/>
          <w:kern w:val="0"/>
          <w:sz w:val="32"/>
          <w:szCs w:val="32"/>
        </w:rPr>
        <w:t>。</w:t>
      </w:r>
    </w:p>
    <w:p w14:paraId="1C679482">
      <w:pPr>
        <w:pStyle w:val="29"/>
        <w:widowControl/>
        <w:spacing w:before="240" w:after="240" w:line="560" w:lineRule="atLeast"/>
        <w:ind w:firstLine="640"/>
        <w:jc w:val="left"/>
        <w:rPr>
          <w:rFonts w:ascii="Times New Roman" w:hAnsi="Times New Roman" w:eastAsia="Times New Roman" w:cs="Times New Roman"/>
          <w:kern w:val="0"/>
          <w:sz w:val="24"/>
        </w:rPr>
      </w:pPr>
      <w:r>
        <w:rPr>
          <w:rFonts w:eastAsia="Times New Roman"/>
          <w:kern w:val="0"/>
          <w:sz w:val="32"/>
          <w:szCs w:val="32"/>
          <w:lang w:eastAsia="en-US"/>
        </w:rPr>
        <w:t>2</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使用非财政拨款结余（含专用结余）</w:t>
      </w:r>
      <w:r>
        <w:rPr>
          <w:rFonts w:eastAsia="Times New Roman"/>
          <w:kern w:val="0"/>
          <w:sz w:val="32"/>
          <w:szCs w:val="32"/>
          <w:u w:val="single"/>
          <w:lang w:eastAsia="en-US"/>
        </w:rPr>
        <w:t xml:space="preserve"> 150.00</w:t>
      </w:r>
      <w:r>
        <w:rPr>
          <w:rFonts w:ascii="FangSong_GB2312" w:hAnsi="FangSong_GB2312" w:eastAsia="FangSong_GB2312" w:cs="FangSong_GB2312"/>
          <w:kern w:val="0"/>
          <w:sz w:val="32"/>
          <w:szCs w:val="32"/>
        </w:rPr>
        <w:t>万元。与上年决算相比，减少</w:t>
      </w:r>
      <w:r>
        <w:rPr>
          <w:rFonts w:eastAsia="Times New Roman"/>
          <w:kern w:val="0"/>
          <w:sz w:val="32"/>
          <w:szCs w:val="32"/>
          <w:u w:val="single"/>
          <w:lang w:eastAsia="en-US"/>
        </w:rPr>
        <w:t>573.60</w:t>
      </w:r>
      <w:r>
        <w:rPr>
          <w:rFonts w:ascii="FangSong_GB2312" w:hAnsi="FangSong_GB2312" w:eastAsia="FangSong_GB2312" w:cs="FangSong_GB2312"/>
          <w:kern w:val="0"/>
          <w:sz w:val="32"/>
          <w:szCs w:val="32"/>
        </w:rPr>
        <w:t>万元，下降</w:t>
      </w:r>
      <w:r>
        <w:rPr>
          <w:rFonts w:eastAsia="Times New Roman"/>
          <w:kern w:val="0"/>
          <w:sz w:val="32"/>
          <w:szCs w:val="32"/>
          <w:u w:val="single"/>
          <w:lang w:eastAsia="en-US"/>
        </w:rPr>
        <w:t>79.27</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，变动原因：</w:t>
      </w:r>
      <w:r>
        <w:rPr>
          <w:rFonts w:hint="eastAsia" w:ascii="FangSong_GB2312" w:hAnsi="FangSong_GB2312" w:eastAsia="FangSong_GB2312" w:cs="FangSong_GB2312"/>
          <w:kern w:val="0"/>
          <w:sz w:val="32"/>
          <w:szCs w:val="32"/>
          <w:lang w:val="en-US" w:eastAsia="zh-CN"/>
        </w:rPr>
        <w:t>本年度使用非财政拨款结余资金安排预算较上年减少</w:t>
      </w:r>
      <w:r>
        <w:rPr>
          <w:rFonts w:ascii="FangSong_GB2312" w:hAnsi="FangSong_GB2312" w:eastAsia="FangSong_GB2312" w:cs="FangSong_GB2312"/>
          <w:kern w:val="0"/>
          <w:sz w:val="32"/>
          <w:szCs w:val="32"/>
        </w:rPr>
        <w:t>。</w:t>
      </w:r>
    </w:p>
    <w:p w14:paraId="214904B5">
      <w:pPr>
        <w:pStyle w:val="29"/>
        <w:widowControl/>
        <w:spacing w:before="240" w:after="240" w:line="560" w:lineRule="atLeast"/>
        <w:ind w:firstLine="640"/>
        <w:jc w:val="left"/>
        <w:rPr>
          <w:rFonts w:ascii="Times New Roman" w:hAnsi="Times New Roman" w:eastAsia="Times New Roman" w:cs="Times New Roman"/>
          <w:kern w:val="0"/>
          <w:sz w:val="24"/>
        </w:rPr>
      </w:pPr>
      <w:r>
        <w:rPr>
          <w:rFonts w:eastAsia="Times New Roman"/>
          <w:kern w:val="0"/>
          <w:sz w:val="32"/>
          <w:szCs w:val="32"/>
          <w:lang w:eastAsia="en-US"/>
        </w:rPr>
        <w:t>3</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年初结转和结余</w:t>
      </w:r>
      <w:r>
        <w:rPr>
          <w:rFonts w:eastAsia="Times New Roman"/>
          <w:kern w:val="0"/>
          <w:sz w:val="32"/>
          <w:szCs w:val="32"/>
          <w:u w:val="single"/>
          <w:lang w:eastAsia="en-US"/>
        </w:rPr>
        <w:t xml:space="preserve"> 623.59</w:t>
      </w:r>
      <w:r>
        <w:rPr>
          <w:rFonts w:ascii="FangSong_GB2312" w:hAnsi="FangSong_GB2312" w:eastAsia="FangSong_GB2312" w:cs="FangSong_GB2312"/>
          <w:kern w:val="0"/>
          <w:sz w:val="32"/>
          <w:szCs w:val="32"/>
        </w:rPr>
        <w:t>万元。与上年决算相比增加</w:t>
      </w:r>
      <w:r>
        <w:rPr>
          <w:rFonts w:eastAsia="Times New Roman"/>
          <w:kern w:val="0"/>
          <w:sz w:val="32"/>
          <w:szCs w:val="32"/>
          <w:u w:val="single"/>
        </w:rPr>
        <w:t xml:space="preserve"> 0</w:t>
      </w:r>
      <w:r>
        <w:rPr>
          <w:rFonts w:ascii="FangSong_GB2312" w:hAnsi="FangSong_GB2312" w:eastAsia="FangSong_GB2312" w:cs="FangSong_GB2312"/>
          <w:kern w:val="0"/>
          <w:sz w:val="32"/>
          <w:szCs w:val="32"/>
        </w:rPr>
        <w:t>万元，增长</w:t>
      </w:r>
      <w:r>
        <w:rPr>
          <w:rFonts w:eastAsia="Times New Roman"/>
          <w:kern w:val="0"/>
          <w:sz w:val="32"/>
          <w:szCs w:val="32"/>
          <w:u w:val="single"/>
        </w:rPr>
        <w:t xml:space="preserve"> 0</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，变动原因：</w:t>
      </w:r>
      <w:r>
        <w:rPr>
          <w:rFonts w:hint="eastAsia" w:ascii="FangSong_GB2312" w:hAnsi="FangSong_GB2312" w:eastAsia="FangSong_GB2312" w:cs="FangSong_GB2312"/>
          <w:kern w:val="0"/>
          <w:sz w:val="32"/>
          <w:szCs w:val="32"/>
          <w:lang w:val="en-US" w:eastAsia="zh-CN"/>
        </w:rPr>
        <w:t>不存在此项内容</w:t>
      </w:r>
      <w:r>
        <w:rPr>
          <w:rFonts w:ascii="FangSong_GB2312" w:hAnsi="FangSong_GB2312" w:eastAsia="FangSong_GB2312" w:cs="FangSong_GB2312"/>
          <w:kern w:val="0"/>
          <w:sz w:val="32"/>
          <w:szCs w:val="32"/>
        </w:rPr>
        <w:t>。</w:t>
      </w:r>
    </w:p>
    <w:p w14:paraId="766AC144">
      <w:pPr>
        <w:pStyle w:val="29"/>
        <w:widowControl/>
        <w:spacing w:before="240" w:after="240" w:line="560" w:lineRule="atLeast"/>
        <w:ind w:firstLine="643"/>
        <w:jc w:val="left"/>
        <w:rPr>
          <w:rFonts w:ascii="Times New Roman" w:hAnsi="Times New Roman" w:eastAsia="Times New Roman" w:cs="Times New Roman"/>
          <w:kern w:val="0"/>
          <w:sz w:val="24"/>
        </w:rPr>
      </w:pPr>
      <w:r>
        <w:rPr>
          <w:rFonts w:ascii="楷体" w:hAnsi="楷体" w:eastAsia="楷体" w:cs="楷体"/>
          <w:b/>
          <w:bCs/>
          <w:kern w:val="0"/>
          <w:sz w:val="32"/>
          <w:szCs w:val="32"/>
        </w:rPr>
        <w:t>（二）支出决算总计</w:t>
      </w:r>
      <w:r>
        <w:rPr>
          <w:rFonts w:eastAsia="Times New Roman"/>
          <w:b/>
          <w:bCs/>
          <w:kern w:val="0"/>
          <w:sz w:val="32"/>
          <w:szCs w:val="32"/>
          <w:u w:val="single"/>
          <w:lang w:eastAsia="en-US"/>
        </w:rPr>
        <w:t xml:space="preserve"> 7387.99</w:t>
      </w:r>
      <w:r>
        <w:rPr>
          <w:rFonts w:ascii="楷体" w:hAnsi="楷体" w:eastAsia="楷体" w:cs="楷体"/>
          <w:b/>
          <w:bCs/>
          <w:kern w:val="0"/>
          <w:sz w:val="32"/>
          <w:szCs w:val="32"/>
        </w:rPr>
        <w:t>万元。包括：</w:t>
      </w:r>
    </w:p>
    <w:p w14:paraId="52F1581E">
      <w:pPr>
        <w:pStyle w:val="29"/>
        <w:widowControl/>
        <w:spacing w:before="240" w:after="240" w:line="560" w:lineRule="atLeast"/>
        <w:ind w:firstLine="640"/>
        <w:jc w:val="left"/>
        <w:rPr>
          <w:rFonts w:ascii="Times New Roman" w:hAnsi="Times New Roman" w:eastAsia="Times New Roman" w:cs="Times New Roman"/>
          <w:kern w:val="0"/>
          <w:sz w:val="24"/>
        </w:rPr>
      </w:pPr>
      <w:r>
        <w:rPr>
          <w:rFonts w:eastAsia="Times New Roman"/>
          <w:kern w:val="0"/>
          <w:sz w:val="32"/>
          <w:szCs w:val="32"/>
          <w:lang w:eastAsia="en-US"/>
        </w:rPr>
        <w:t>1</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本年支出决算合计</w:t>
      </w:r>
      <w:r>
        <w:rPr>
          <w:rFonts w:eastAsia="Times New Roman"/>
          <w:kern w:val="0"/>
          <w:sz w:val="32"/>
          <w:szCs w:val="32"/>
          <w:u w:val="single"/>
          <w:lang w:eastAsia="en-US"/>
        </w:rPr>
        <w:t xml:space="preserve"> 6419.79</w:t>
      </w:r>
      <w:r>
        <w:rPr>
          <w:rFonts w:ascii="FangSong_GB2312" w:hAnsi="FangSong_GB2312" w:eastAsia="FangSong_GB2312" w:cs="FangSong_GB2312"/>
          <w:kern w:val="0"/>
          <w:sz w:val="32"/>
          <w:szCs w:val="32"/>
        </w:rPr>
        <w:t>万元。与上年决算相比，减少</w:t>
      </w:r>
      <w:r>
        <w:rPr>
          <w:rFonts w:eastAsia="Times New Roman"/>
          <w:kern w:val="0"/>
          <w:sz w:val="32"/>
          <w:szCs w:val="32"/>
          <w:u w:val="single"/>
          <w:lang w:eastAsia="en-US"/>
        </w:rPr>
        <w:t>877.90</w:t>
      </w:r>
      <w:r>
        <w:rPr>
          <w:rFonts w:ascii="FangSong_GB2312" w:hAnsi="FangSong_GB2312" w:eastAsia="FangSong_GB2312" w:cs="FangSong_GB2312"/>
          <w:kern w:val="0"/>
          <w:sz w:val="32"/>
          <w:szCs w:val="32"/>
        </w:rPr>
        <w:t>万元，下降</w:t>
      </w:r>
      <w:r>
        <w:rPr>
          <w:rFonts w:eastAsia="Times New Roman"/>
          <w:kern w:val="0"/>
          <w:sz w:val="32"/>
          <w:szCs w:val="32"/>
          <w:u w:val="single"/>
          <w:lang w:eastAsia="en-US"/>
        </w:rPr>
        <w:t>12.03</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，变动原因：</w:t>
      </w:r>
      <w:r>
        <w:rPr>
          <w:rFonts w:hint="eastAsia" w:ascii="FangSong_GB2312" w:hAnsi="FangSong_GB2312" w:eastAsia="FangSong_GB2312" w:cs="FangSong_GB2312"/>
          <w:kern w:val="0"/>
          <w:sz w:val="32"/>
          <w:szCs w:val="32"/>
          <w:lang w:val="en-US" w:eastAsia="zh-CN"/>
        </w:rPr>
        <w:t>本年度大力压减各项事业支出</w:t>
      </w:r>
      <w:r>
        <w:rPr>
          <w:rFonts w:ascii="FangSong_GB2312" w:hAnsi="FangSong_GB2312" w:eastAsia="FangSong_GB2312" w:cs="FangSong_GB2312"/>
          <w:kern w:val="0"/>
          <w:sz w:val="32"/>
          <w:szCs w:val="32"/>
        </w:rPr>
        <w:t>。</w:t>
      </w:r>
    </w:p>
    <w:p w14:paraId="4A795240">
      <w:pPr>
        <w:pStyle w:val="29"/>
        <w:widowControl/>
        <w:spacing w:before="240" w:after="240" w:line="560" w:lineRule="atLeast"/>
        <w:ind w:firstLine="640"/>
        <w:jc w:val="left"/>
        <w:rPr>
          <w:rFonts w:ascii="Times New Roman" w:hAnsi="Times New Roman" w:eastAsia="Times New Roman" w:cs="Times New Roman"/>
          <w:kern w:val="0"/>
          <w:sz w:val="24"/>
        </w:rPr>
      </w:pPr>
      <w:r>
        <w:rPr>
          <w:rFonts w:eastAsia="Times New Roman"/>
          <w:kern w:val="0"/>
          <w:sz w:val="32"/>
          <w:szCs w:val="32"/>
          <w:lang w:eastAsia="en-US"/>
        </w:rPr>
        <w:t>2</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结余分配</w:t>
      </w:r>
      <w:r>
        <w:rPr>
          <w:rFonts w:eastAsia="Times New Roman"/>
          <w:kern w:val="0"/>
          <w:sz w:val="32"/>
          <w:szCs w:val="32"/>
          <w:u w:val="single"/>
          <w:lang w:eastAsia="en-US"/>
        </w:rPr>
        <w:t xml:space="preserve"> 344.61</w:t>
      </w:r>
      <w:r>
        <w:rPr>
          <w:rFonts w:ascii="FangSong_GB2312" w:hAnsi="FangSong_GB2312" w:eastAsia="FangSong_GB2312" w:cs="FangSong_GB2312"/>
          <w:kern w:val="0"/>
          <w:sz w:val="32"/>
          <w:szCs w:val="32"/>
        </w:rPr>
        <w:t>万元。结余分配事项：</w:t>
      </w:r>
      <w:r>
        <w:rPr>
          <w:rFonts w:hint="eastAsia" w:ascii="FangSong_GB2312" w:hAnsi="FangSong_GB2312" w:eastAsia="FangSong_GB2312" w:cs="FangSong_GB2312"/>
          <w:kern w:val="0"/>
          <w:sz w:val="32"/>
          <w:szCs w:val="32"/>
          <w:lang w:val="en-US" w:eastAsia="zh-CN"/>
        </w:rPr>
        <w:t>非财政拨款结余</w:t>
      </w:r>
      <w:r>
        <w:rPr>
          <w:rFonts w:ascii="FangSong_GB2312" w:hAnsi="FangSong_GB2312" w:eastAsia="FangSong_GB2312" w:cs="FangSong_GB2312"/>
          <w:kern w:val="0"/>
          <w:sz w:val="32"/>
          <w:szCs w:val="32"/>
        </w:rPr>
        <w:t>。与上年决算相比，增加</w:t>
      </w:r>
      <w:r>
        <w:rPr>
          <w:rFonts w:eastAsia="Times New Roman"/>
          <w:kern w:val="0"/>
          <w:sz w:val="32"/>
          <w:szCs w:val="32"/>
          <w:u w:val="single"/>
          <w:lang w:eastAsia="en-US"/>
        </w:rPr>
        <w:t xml:space="preserve"> 344.61</w:t>
      </w:r>
      <w:r>
        <w:rPr>
          <w:rFonts w:ascii="FangSong_GB2312" w:hAnsi="FangSong_GB2312" w:eastAsia="FangSong_GB2312" w:cs="FangSong_GB2312"/>
          <w:kern w:val="0"/>
          <w:sz w:val="32"/>
          <w:szCs w:val="32"/>
        </w:rPr>
        <w:t>万元，增长</w:t>
      </w:r>
      <w:r>
        <w:rPr>
          <w:rFonts w:hint="eastAsia" w:ascii="FangSong_GB2312" w:hAnsi="FangSong_GB2312" w:eastAsia="FangSong_GB2312" w:cs="FangSong_GB2312"/>
          <w:kern w:val="0"/>
          <w:sz w:val="32"/>
          <w:szCs w:val="32"/>
          <w:lang w:val="en-US" w:eastAsia="zh-CN"/>
        </w:rPr>
        <w:t>100</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，变动原因：</w:t>
      </w:r>
      <w:r>
        <w:rPr>
          <w:rFonts w:hint="eastAsia" w:ascii="FangSong_GB2312" w:hAnsi="FangSong_GB2312" w:eastAsia="FangSong_GB2312" w:cs="FangSong_GB2312"/>
          <w:kern w:val="0"/>
          <w:sz w:val="32"/>
          <w:szCs w:val="32"/>
          <w:lang w:val="en-US" w:eastAsia="zh-CN"/>
        </w:rPr>
        <w:t>本年度经营支出小于经营收入</w:t>
      </w:r>
      <w:r>
        <w:rPr>
          <w:rFonts w:ascii="FangSong_GB2312" w:hAnsi="FangSong_GB2312" w:eastAsia="FangSong_GB2312" w:cs="FangSong_GB2312"/>
          <w:kern w:val="0"/>
          <w:sz w:val="32"/>
          <w:szCs w:val="32"/>
        </w:rPr>
        <w:t>。</w:t>
      </w:r>
    </w:p>
    <w:p w14:paraId="60C2D820">
      <w:pPr>
        <w:pStyle w:val="29"/>
        <w:widowControl/>
        <w:spacing w:before="240" w:after="240" w:line="560" w:lineRule="atLeast"/>
        <w:ind w:firstLine="640"/>
        <w:jc w:val="left"/>
        <w:rPr>
          <w:rFonts w:ascii="Times New Roman" w:hAnsi="Times New Roman" w:eastAsia="Times New Roman" w:cs="Times New Roman"/>
          <w:kern w:val="0"/>
          <w:sz w:val="24"/>
        </w:rPr>
      </w:pPr>
      <w:r>
        <w:rPr>
          <w:rFonts w:eastAsia="Times New Roman"/>
          <w:kern w:val="0"/>
          <w:sz w:val="32"/>
          <w:szCs w:val="32"/>
          <w:lang w:eastAsia="en-US"/>
        </w:rPr>
        <w:t>3</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年末结转和结余</w:t>
      </w:r>
      <w:r>
        <w:rPr>
          <w:rFonts w:eastAsia="Times New Roman"/>
          <w:kern w:val="0"/>
          <w:sz w:val="32"/>
          <w:szCs w:val="32"/>
          <w:u w:val="single"/>
          <w:lang w:eastAsia="en-US"/>
        </w:rPr>
        <w:t xml:space="preserve"> 623.59</w:t>
      </w:r>
      <w:r>
        <w:rPr>
          <w:rFonts w:ascii="FangSong_GB2312" w:hAnsi="FangSong_GB2312" w:eastAsia="FangSong_GB2312" w:cs="FangSong_GB2312"/>
          <w:kern w:val="0"/>
          <w:sz w:val="32"/>
          <w:szCs w:val="32"/>
        </w:rPr>
        <w:t>万元。结转和结余事项：</w:t>
      </w:r>
      <w:r>
        <w:rPr>
          <w:rFonts w:hint="eastAsia" w:ascii="FangSong_GB2312" w:hAnsi="FangSong_GB2312" w:eastAsia="FangSong_GB2312" w:cs="FangSong_GB2312"/>
          <w:kern w:val="0"/>
          <w:sz w:val="32"/>
          <w:szCs w:val="32"/>
          <w:lang w:val="en-US" w:eastAsia="zh-CN"/>
        </w:rPr>
        <w:t>不存在此项内容</w:t>
      </w:r>
      <w:r>
        <w:rPr>
          <w:rFonts w:ascii="FangSong_GB2312" w:hAnsi="FangSong_GB2312" w:eastAsia="FangSong_GB2312" w:cs="FangSong_GB2312"/>
          <w:kern w:val="0"/>
          <w:sz w:val="32"/>
          <w:szCs w:val="32"/>
        </w:rPr>
        <w:t>。与上年决算相比，增加</w:t>
      </w:r>
      <w:r>
        <w:rPr>
          <w:rFonts w:eastAsia="Times New Roman"/>
          <w:kern w:val="0"/>
          <w:sz w:val="32"/>
          <w:szCs w:val="32"/>
          <w:u w:val="single"/>
        </w:rPr>
        <w:t xml:space="preserve"> 0</w:t>
      </w:r>
      <w:r>
        <w:rPr>
          <w:rFonts w:ascii="FangSong_GB2312" w:hAnsi="FangSong_GB2312" w:eastAsia="FangSong_GB2312" w:cs="FangSong_GB2312"/>
          <w:kern w:val="0"/>
          <w:sz w:val="32"/>
          <w:szCs w:val="32"/>
        </w:rPr>
        <w:t>万元，增长</w:t>
      </w:r>
      <w:r>
        <w:rPr>
          <w:rFonts w:eastAsia="Times New Roman"/>
          <w:kern w:val="0"/>
          <w:sz w:val="32"/>
          <w:szCs w:val="32"/>
          <w:u w:val="single"/>
        </w:rPr>
        <w:t xml:space="preserve"> 0</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，变动原因：</w:t>
      </w:r>
      <w:r>
        <w:rPr>
          <w:rFonts w:hint="eastAsia" w:ascii="FangSong_GB2312" w:hAnsi="FangSong_GB2312" w:eastAsia="FangSong_GB2312" w:cs="FangSong_GB2312"/>
          <w:kern w:val="0"/>
          <w:sz w:val="32"/>
          <w:szCs w:val="32"/>
          <w:lang w:val="en-US" w:eastAsia="zh-CN"/>
        </w:rPr>
        <w:t>不存在此项内容</w:t>
      </w:r>
      <w:r>
        <w:rPr>
          <w:rFonts w:ascii="FangSong_GB2312" w:hAnsi="FangSong_GB2312" w:eastAsia="FangSong_GB2312" w:cs="FangSong_GB2312"/>
          <w:kern w:val="0"/>
          <w:sz w:val="32"/>
          <w:szCs w:val="32"/>
        </w:rPr>
        <w:t>。</w:t>
      </w:r>
    </w:p>
    <w:p w14:paraId="1540219E">
      <w:pPr>
        <w:pStyle w:val="29"/>
        <w:widowControl/>
        <w:spacing w:before="240" w:after="240" w:line="600" w:lineRule="atLeast"/>
        <w:ind w:firstLine="643"/>
        <w:jc w:val="left"/>
        <w:rPr>
          <w:rFonts w:ascii="Times New Roman" w:hAnsi="Times New Roman" w:eastAsia="Times New Roman" w:cs="Times New Roman"/>
          <w:kern w:val="0"/>
          <w:sz w:val="24"/>
        </w:rPr>
      </w:pPr>
      <w:r>
        <w:rPr>
          <w:rFonts w:ascii="黑体" w:hAnsi="黑体" w:eastAsia="黑体" w:cs="黑体"/>
          <w:b/>
          <w:bCs/>
          <w:kern w:val="0"/>
          <w:sz w:val="32"/>
          <w:szCs w:val="32"/>
        </w:rPr>
        <w:t>二、收入决算情况说明</w:t>
      </w:r>
    </w:p>
    <w:p w14:paraId="61BB8F37">
      <w:pPr>
        <w:pStyle w:val="29"/>
        <w:widowControl/>
        <w:spacing w:before="240" w:after="240" w:line="560" w:lineRule="atLeast"/>
        <w:ind w:firstLine="640"/>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 xml:space="preserve">内蒙古自治区特种设备检验研究院鄂尔多斯分院 </w:t>
      </w:r>
      <w:r>
        <w:rPr>
          <w:rFonts w:eastAsia="Times New Roman"/>
          <w:kern w:val="0"/>
          <w:sz w:val="32"/>
          <w:szCs w:val="32"/>
          <w:lang w:eastAsia="en-US"/>
        </w:rPr>
        <w:t>2025</w:t>
      </w:r>
      <w:r>
        <w:rPr>
          <w:rFonts w:ascii="FangSong_GB2312" w:hAnsi="FangSong_GB2312" w:eastAsia="FangSong_GB2312" w:cs="FangSong_GB2312"/>
          <w:kern w:val="0"/>
          <w:sz w:val="32"/>
          <w:szCs w:val="32"/>
        </w:rPr>
        <w:t>年度本年收入决算合计</w:t>
      </w:r>
      <w:r>
        <w:rPr>
          <w:rFonts w:eastAsia="Times New Roman"/>
          <w:kern w:val="0"/>
          <w:sz w:val="32"/>
          <w:szCs w:val="32"/>
          <w:u w:val="single"/>
          <w:lang w:eastAsia="en-US"/>
        </w:rPr>
        <w:t xml:space="preserve"> 6614.39</w:t>
      </w:r>
      <w:r>
        <w:rPr>
          <w:rFonts w:ascii="FangSong_GB2312" w:hAnsi="FangSong_GB2312" w:eastAsia="FangSong_GB2312" w:cs="FangSong_GB2312"/>
          <w:kern w:val="0"/>
          <w:sz w:val="32"/>
          <w:szCs w:val="32"/>
        </w:rPr>
        <w:t>万元，其中：</w:t>
      </w:r>
    </w:p>
    <w:p w14:paraId="2120A6CB">
      <w:pPr>
        <w:pStyle w:val="29"/>
        <w:widowControl/>
        <w:spacing w:before="240" w:after="240" w:line="560" w:lineRule="atLeast"/>
        <w:ind w:firstLine="640"/>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一般公共预算财政拨款收入</w:t>
      </w:r>
      <w:r>
        <w:rPr>
          <w:rFonts w:eastAsia="Times New Roman"/>
          <w:kern w:val="0"/>
          <w:sz w:val="32"/>
          <w:szCs w:val="32"/>
          <w:u w:val="single"/>
          <w:lang w:eastAsia="en-US"/>
        </w:rPr>
        <w:t xml:space="preserve"> 4279.79</w:t>
      </w:r>
      <w:r>
        <w:rPr>
          <w:rFonts w:ascii="FangSong_GB2312" w:hAnsi="FangSong_GB2312" w:eastAsia="FangSong_GB2312" w:cs="FangSong_GB2312"/>
          <w:kern w:val="0"/>
          <w:sz w:val="32"/>
          <w:szCs w:val="32"/>
        </w:rPr>
        <w:t>万元，占</w:t>
      </w:r>
      <w:r>
        <w:rPr>
          <w:rFonts w:eastAsia="Times New Roman"/>
          <w:kern w:val="0"/>
          <w:sz w:val="32"/>
          <w:szCs w:val="32"/>
          <w:u w:val="single"/>
          <w:lang w:eastAsia="en-US"/>
        </w:rPr>
        <w:t xml:space="preserve"> 64.70</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w:t>
      </w:r>
    </w:p>
    <w:p w14:paraId="6E5EA237">
      <w:pPr>
        <w:pStyle w:val="29"/>
        <w:widowControl/>
        <w:spacing w:before="240" w:after="240" w:line="560" w:lineRule="atLeast"/>
        <w:ind w:firstLine="640"/>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政府性基金预算财政拨款收入</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rPr>
        <w:t>万元，占</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w:t>
      </w:r>
    </w:p>
    <w:p w14:paraId="25BC3340">
      <w:pPr>
        <w:pStyle w:val="29"/>
        <w:widowControl/>
        <w:spacing w:before="240" w:after="240" w:line="560" w:lineRule="atLeast"/>
        <w:ind w:firstLine="640"/>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国有资本经营预算财政拨款收入</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rPr>
        <w:t>万元，占</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w:t>
      </w:r>
    </w:p>
    <w:p w14:paraId="30FEF18D">
      <w:pPr>
        <w:pStyle w:val="29"/>
        <w:widowControl/>
        <w:spacing w:before="240" w:after="240" w:line="560" w:lineRule="atLeast"/>
        <w:ind w:firstLine="640"/>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上级补助收入</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rPr>
        <w:t>万元，占</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w:t>
      </w:r>
    </w:p>
    <w:p w14:paraId="7E38FCE9">
      <w:pPr>
        <w:pStyle w:val="29"/>
        <w:widowControl/>
        <w:spacing w:before="240" w:after="240" w:line="560" w:lineRule="atLeast"/>
        <w:ind w:firstLine="640"/>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事业收入</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rPr>
        <w:t>万元，占</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w:t>
      </w:r>
    </w:p>
    <w:p w14:paraId="38696468">
      <w:pPr>
        <w:pStyle w:val="29"/>
        <w:widowControl/>
        <w:spacing w:before="240" w:after="240" w:line="560" w:lineRule="atLeast"/>
        <w:ind w:firstLine="640"/>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经营收入</w:t>
      </w:r>
      <w:r>
        <w:rPr>
          <w:rFonts w:eastAsia="Times New Roman"/>
          <w:kern w:val="0"/>
          <w:sz w:val="32"/>
          <w:szCs w:val="32"/>
          <w:u w:val="single"/>
          <w:lang w:eastAsia="en-US"/>
        </w:rPr>
        <w:t xml:space="preserve"> 2334.15</w:t>
      </w:r>
      <w:r>
        <w:rPr>
          <w:rFonts w:ascii="FangSong_GB2312" w:hAnsi="FangSong_GB2312" w:eastAsia="FangSong_GB2312" w:cs="FangSong_GB2312"/>
          <w:kern w:val="0"/>
          <w:sz w:val="32"/>
          <w:szCs w:val="32"/>
        </w:rPr>
        <w:t>万元，占</w:t>
      </w:r>
      <w:r>
        <w:rPr>
          <w:rFonts w:eastAsia="Times New Roman"/>
          <w:kern w:val="0"/>
          <w:sz w:val="32"/>
          <w:szCs w:val="32"/>
          <w:u w:val="single"/>
          <w:lang w:eastAsia="en-US"/>
        </w:rPr>
        <w:t xml:space="preserve"> 35.29</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w:t>
      </w:r>
    </w:p>
    <w:p w14:paraId="765EC37C">
      <w:pPr>
        <w:pStyle w:val="29"/>
        <w:widowControl/>
        <w:spacing w:before="240" w:after="240" w:line="560" w:lineRule="atLeast"/>
        <w:ind w:firstLine="640"/>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附属单位上缴收入</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rPr>
        <w:t>万元，占</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w:t>
      </w:r>
    </w:p>
    <w:p w14:paraId="580A9B9F">
      <w:pPr>
        <w:pStyle w:val="29"/>
        <w:widowControl/>
        <w:spacing w:before="240" w:after="240" w:line="560" w:lineRule="atLeast"/>
        <w:ind w:firstLine="640"/>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其他收入</w:t>
      </w:r>
      <w:r>
        <w:rPr>
          <w:rFonts w:eastAsia="Times New Roman"/>
          <w:kern w:val="0"/>
          <w:sz w:val="32"/>
          <w:szCs w:val="32"/>
          <w:u w:val="single"/>
          <w:lang w:eastAsia="en-US"/>
        </w:rPr>
        <w:t xml:space="preserve"> 0.44</w:t>
      </w:r>
      <w:r>
        <w:rPr>
          <w:rFonts w:ascii="FangSong_GB2312" w:hAnsi="FangSong_GB2312" w:eastAsia="FangSong_GB2312" w:cs="FangSong_GB2312"/>
          <w:kern w:val="0"/>
          <w:sz w:val="32"/>
          <w:szCs w:val="32"/>
        </w:rPr>
        <w:t>万元，占</w:t>
      </w:r>
      <w:r>
        <w:rPr>
          <w:rFonts w:eastAsia="Times New Roman"/>
          <w:kern w:val="0"/>
          <w:sz w:val="32"/>
          <w:szCs w:val="32"/>
          <w:u w:val="single"/>
          <w:lang w:eastAsia="en-US"/>
        </w:rPr>
        <w:t xml:space="preserve"> 0.01</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w:t>
      </w:r>
    </w:p>
    <w:p w14:paraId="413CEE3E">
      <w:pPr>
        <w:widowControl/>
        <w:spacing w:before="240" w:after="240"/>
        <w:rPr>
          <w:rFonts w:ascii="Times New Roman" w:hAnsi="Times New Roman" w:eastAsia="Times New Roman" w:cs="Times New Roman"/>
          <w:kern w:val="0"/>
          <w:sz w:val="24"/>
        </w:rPr>
      </w:pPr>
      <w:r>
        <w:rPr>
          <w:rFonts w:ascii="Times New Roman" w:hAnsi="Times New Roman" w:eastAsia="Times New Roman" w:cs="Times New Roman"/>
          <w:strike w:val="0"/>
          <w:kern w:val="0"/>
          <w:sz w:val="24"/>
          <w:u w:val="none"/>
        </w:rPr>
        <w:pict>
          <v:shape id="_x0000_s1026" o:spid="_x0000_s1026" o:spt="75" type="#_x0000_t75" style="position:absolute;left:0pt;margin-left:-19.5pt;margin-top:8.25pt;height:289.7pt;width:463.5pt;mso-wrap-distance-bottom:0pt;mso-wrap-distance-top:0pt;z-index:251659264;mso-width-relative:page;mso-height-relative:page;" filled="f" o:preferrelative="t" stroked="f" coordsize="21600,21600">
            <v:path/>
            <v:fill on="f" focussize="0,0"/>
            <v:stroke on="f"/>
            <v:imagedata r:id="rId6" o:title=""/>
            <o:lock v:ext="edit" aspectratio="t"/>
            <w10:wrap type="topAndBottom"/>
          </v:shape>
        </w:pict>
      </w:r>
    </w:p>
    <w:p w14:paraId="63D8FBEB">
      <w:pPr>
        <w:widowControl/>
        <w:spacing w:before="240" w:after="240"/>
        <w:jc w:val="center"/>
        <w:rPr>
          <w:rFonts w:ascii="Times New Roman" w:hAnsi="Times New Roman" w:eastAsia="Times New Roman" w:cs="Times New Roman"/>
          <w:kern w:val="0"/>
          <w:sz w:val="24"/>
        </w:rPr>
      </w:pPr>
      <w:r>
        <w:rPr>
          <w:rFonts w:ascii="Times New Roman" w:hAnsi="Times New Roman" w:eastAsia="Times New Roman" w:cs="Times New Roman"/>
          <w:kern w:val="0"/>
          <w:sz w:val="24"/>
        </w:rPr>
        <w:t xml:space="preserve">   </w:t>
      </w:r>
    </w:p>
    <w:p w14:paraId="4B37321C">
      <w:pPr>
        <w:widowControl/>
        <w:spacing w:before="240" w:after="240"/>
        <w:jc w:val="center"/>
        <w:rPr>
          <w:rFonts w:ascii="Times New Roman" w:hAnsi="Times New Roman" w:eastAsia="Times New Roman" w:cs="Times New Roman"/>
          <w:kern w:val="0"/>
          <w:sz w:val="24"/>
        </w:rPr>
      </w:pPr>
      <w:r>
        <w:rPr>
          <w:rFonts w:ascii="FangSong_GB2312" w:hAnsi="FangSong_GB2312" w:eastAsia="FangSong_GB2312" w:cs="FangSong_GB2312"/>
          <w:kern w:val="0"/>
          <w:sz w:val="27"/>
          <w:szCs w:val="27"/>
        </w:rPr>
        <w:t>图</w:t>
      </w:r>
      <w:r>
        <w:rPr>
          <w:rFonts w:ascii="times_new_roman" w:hAnsi="times_new_roman" w:eastAsia="times_new_roman" w:cs="times_new_roman"/>
          <w:kern w:val="0"/>
          <w:sz w:val="27"/>
          <w:szCs w:val="27"/>
        </w:rPr>
        <w:t>1</w:t>
      </w:r>
      <w:r>
        <w:rPr>
          <w:rFonts w:ascii="FangSong_GB2312" w:hAnsi="FangSong_GB2312" w:eastAsia="FangSong_GB2312" w:cs="FangSong_GB2312"/>
          <w:kern w:val="0"/>
          <w:sz w:val="27"/>
          <w:szCs w:val="27"/>
        </w:rPr>
        <w:t>.收入决算图</w:t>
      </w:r>
    </w:p>
    <w:p w14:paraId="0BE87D76">
      <w:pPr>
        <w:pStyle w:val="29"/>
        <w:widowControl/>
        <w:spacing w:before="240" w:after="240" w:line="600" w:lineRule="atLeast"/>
        <w:ind w:firstLine="643"/>
        <w:jc w:val="left"/>
        <w:rPr>
          <w:rFonts w:ascii="Times New Roman" w:hAnsi="Times New Roman" w:eastAsia="Times New Roman" w:cs="Times New Roman"/>
          <w:kern w:val="0"/>
          <w:sz w:val="24"/>
        </w:rPr>
      </w:pPr>
      <w:r>
        <w:rPr>
          <w:rFonts w:ascii="黑体" w:hAnsi="黑体" w:eastAsia="黑体" w:cs="黑体"/>
          <w:b/>
          <w:bCs/>
          <w:kern w:val="0"/>
          <w:sz w:val="32"/>
          <w:szCs w:val="32"/>
        </w:rPr>
        <w:t>三、支出决算情况说明</w:t>
      </w:r>
    </w:p>
    <w:p w14:paraId="433D8783">
      <w:pPr>
        <w:pStyle w:val="29"/>
        <w:widowControl/>
        <w:spacing w:before="240" w:after="240" w:line="560" w:lineRule="atLeast"/>
        <w:ind w:firstLine="640"/>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内蒙古自治区特种设备检验研究院鄂尔多斯分院</w:t>
      </w:r>
      <w:r>
        <w:rPr>
          <w:rFonts w:ascii="Times New Roman" w:hAnsi="Times New Roman" w:eastAsia="Times New Roman" w:cs="Times New Roman"/>
          <w:kern w:val="0"/>
          <w:sz w:val="24"/>
        </w:rPr>
        <w:t xml:space="preserve"> </w:t>
      </w:r>
      <w:r>
        <w:rPr>
          <w:rFonts w:eastAsia="Times New Roman"/>
          <w:kern w:val="0"/>
          <w:sz w:val="32"/>
          <w:szCs w:val="32"/>
          <w:lang w:eastAsia="en-US"/>
        </w:rPr>
        <w:t>2025</w:t>
      </w:r>
      <w:r>
        <w:rPr>
          <w:rFonts w:ascii="FangSong_GB2312" w:hAnsi="FangSong_GB2312" w:eastAsia="FangSong_GB2312" w:cs="FangSong_GB2312"/>
          <w:kern w:val="0"/>
          <w:sz w:val="32"/>
          <w:szCs w:val="32"/>
        </w:rPr>
        <w:t>年度本年支出决算合计</w:t>
      </w:r>
      <w:r>
        <w:rPr>
          <w:rFonts w:eastAsia="Times New Roman"/>
          <w:kern w:val="0"/>
          <w:sz w:val="32"/>
          <w:szCs w:val="32"/>
          <w:u w:val="single"/>
          <w:lang w:eastAsia="en-US"/>
        </w:rPr>
        <w:t xml:space="preserve"> 6419.79</w:t>
      </w:r>
      <w:r>
        <w:rPr>
          <w:rFonts w:ascii="FangSong_GB2312" w:hAnsi="FangSong_GB2312" w:eastAsia="FangSong_GB2312" w:cs="FangSong_GB2312"/>
          <w:kern w:val="0"/>
          <w:sz w:val="32"/>
          <w:szCs w:val="32"/>
        </w:rPr>
        <w:t>万元，其中：</w:t>
      </w:r>
    </w:p>
    <w:p w14:paraId="4AD8363B">
      <w:pPr>
        <w:pStyle w:val="29"/>
        <w:widowControl/>
        <w:spacing w:before="240" w:after="240" w:line="560" w:lineRule="atLeast"/>
        <w:ind w:firstLine="640"/>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基本支出</w:t>
      </w:r>
      <w:r>
        <w:rPr>
          <w:rFonts w:eastAsia="Times New Roman"/>
          <w:kern w:val="0"/>
          <w:sz w:val="32"/>
          <w:szCs w:val="32"/>
          <w:u w:val="single"/>
          <w:lang w:eastAsia="en-US"/>
        </w:rPr>
        <w:t xml:space="preserve"> 2198.58</w:t>
      </w:r>
      <w:r>
        <w:rPr>
          <w:rFonts w:ascii="FangSong_GB2312" w:hAnsi="FangSong_GB2312" w:eastAsia="FangSong_GB2312" w:cs="FangSong_GB2312"/>
          <w:kern w:val="0"/>
          <w:sz w:val="32"/>
          <w:szCs w:val="32"/>
        </w:rPr>
        <w:t>万元，占</w:t>
      </w:r>
      <w:r>
        <w:rPr>
          <w:rFonts w:eastAsia="Times New Roman"/>
          <w:kern w:val="0"/>
          <w:sz w:val="32"/>
          <w:szCs w:val="32"/>
          <w:u w:val="single"/>
          <w:lang w:eastAsia="en-US"/>
        </w:rPr>
        <w:t xml:space="preserve"> 34.25</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w:t>
      </w:r>
    </w:p>
    <w:p w14:paraId="1853B542">
      <w:pPr>
        <w:pStyle w:val="29"/>
        <w:widowControl/>
        <w:spacing w:before="240" w:after="240" w:line="560" w:lineRule="atLeast"/>
        <w:ind w:firstLine="640"/>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项目支出</w:t>
      </w:r>
      <w:r>
        <w:rPr>
          <w:rFonts w:eastAsia="Times New Roman"/>
          <w:kern w:val="0"/>
          <w:sz w:val="32"/>
          <w:szCs w:val="32"/>
          <w:u w:val="single"/>
          <w:lang w:eastAsia="en-US"/>
        </w:rPr>
        <w:t xml:space="preserve"> 2231.22</w:t>
      </w:r>
      <w:r>
        <w:rPr>
          <w:rFonts w:ascii="FangSong_GB2312" w:hAnsi="FangSong_GB2312" w:eastAsia="FangSong_GB2312" w:cs="FangSong_GB2312"/>
          <w:kern w:val="0"/>
          <w:sz w:val="32"/>
          <w:szCs w:val="32"/>
        </w:rPr>
        <w:t>万元，占</w:t>
      </w:r>
      <w:r>
        <w:rPr>
          <w:rFonts w:eastAsia="Times New Roman"/>
          <w:kern w:val="0"/>
          <w:sz w:val="32"/>
          <w:szCs w:val="32"/>
          <w:u w:val="single"/>
          <w:lang w:eastAsia="en-US"/>
        </w:rPr>
        <w:t xml:space="preserve"> 34.76</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w:t>
      </w:r>
    </w:p>
    <w:p w14:paraId="718C6435">
      <w:pPr>
        <w:pStyle w:val="29"/>
        <w:widowControl/>
        <w:spacing w:before="240" w:after="240" w:line="560" w:lineRule="atLeast"/>
        <w:ind w:firstLine="640"/>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上缴上级支出</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rPr>
        <w:t>万元，占</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w:t>
      </w:r>
    </w:p>
    <w:p w14:paraId="1BB4B3E1">
      <w:pPr>
        <w:pStyle w:val="29"/>
        <w:widowControl/>
        <w:spacing w:before="240" w:after="240" w:line="560" w:lineRule="atLeast"/>
        <w:ind w:firstLine="640"/>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经营支出</w:t>
      </w:r>
      <w:r>
        <w:rPr>
          <w:rFonts w:eastAsia="Times New Roman"/>
          <w:kern w:val="0"/>
          <w:sz w:val="32"/>
          <w:szCs w:val="32"/>
          <w:u w:val="single"/>
          <w:lang w:eastAsia="en-US"/>
        </w:rPr>
        <w:t xml:space="preserve"> 1989.99</w:t>
      </w:r>
      <w:r>
        <w:rPr>
          <w:rFonts w:ascii="FangSong_GB2312" w:hAnsi="FangSong_GB2312" w:eastAsia="FangSong_GB2312" w:cs="FangSong_GB2312"/>
          <w:kern w:val="0"/>
          <w:sz w:val="32"/>
          <w:szCs w:val="32"/>
        </w:rPr>
        <w:t>万元，占</w:t>
      </w:r>
      <w:r>
        <w:rPr>
          <w:rFonts w:eastAsia="Times New Roman"/>
          <w:kern w:val="0"/>
          <w:sz w:val="32"/>
          <w:szCs w:val="32"/>
          <w:u w:val="single"/>
          <w:lang w:eastAsia="en-US"/>
        </w:rPr>
        <w:t xml:space="preserve"> 31.00</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w:t>
      </w:r>
    </w:p>
    <w:p w14:paraId="49D7A37E">
      <w:pPr>
        <w:pStyle w:val="29"/>
        <w:widowControl/>
        <w:spacing w:before="240" w:after="240" w:line="560" w:lineRule="atLeast"/>
        <w:ind w:firstLine="640"/>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对附属单位补助支出</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rPr>
        <w:t>万元，占</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w:t>
      </w:r>
    </w:p>
    <w:p w14:paraId="62035FCA">
      <w:pPr>
        <w:widowControl/>
        <w:spacing w:before="240" w:after="240"/>
        <w:jc w:val="center"/>
        <w:rPr>
          <w:rFonts w:ascii="Times New Roman" w:hAnsi="Times New Roman" w:eastAsia="Times New Roman" w:cs="Times New Roman"/>
          <w:kern w:val="0"/>
          <w:sz w:val="24"/>
        </w:rPr>
      </w:pPr>
      <w:r>
        <w:rPr>
          <w:rFonts w:ascii="Times New Roman" w:hAnsi="Times New Roman" w:eastAsia="Times New Roman" w:cs="Times New Roman"/>
          <w:strike w:val="0"/>
          <w:kern w:val="0"/>
          <w:sz w:val="24"/>
          <w:u w:val="none"/>
        </w:rPr>
        <w:pict>
          <v:shape id="_x0000_s1027" o:spid="_x0000_s1027" o:spt="75" type="#_x0000_t75" style="position:absolute;left:0pt;margin-left:-15.55pt;margin-top:10.5pt;height:271.65pt;width:434.6pt;mso-wrap-distance-bottom:0pt;mso-wrap-distance-top:0pt;z-index:251660288;mso-width-relative:page;mso-height-relative:page;" filled="f" o:preferrelative="t" stroked="f" coordsize="21600,21600">
            <v:path/>
            <v:fill on="f" focussize="0,0"/>
            <v:stroke on="f"/>
            <v:imagedata r:id="rId7" o:title=""/>
            <o:lock v:ext="edit" aspectratio="t"/>
            <w10:wrap type="topAndBottom"/>
          </v:shape>
        </w:pict>
      </w:r>
      <w:r>
        <w:rPr>
          <w:rFonts w:ascii="Times New Roman" w:hAnsi="Times New Roman" w:eastAsia="Times New Roman" w:cs="Times New Roman"/>
          <w:kern w:val="0"/>
          <w:sz w:val="24"/>
        </w:rPr>
        <w:t xml:space="preserve">   </w:t>
      </w:r>
    </w:p>
    <w:p w14:paraId="60DF54A3">
      <w:pPr>
        <w:widowControl/>
        <w:spacing w:before="240" w:after="240"/>
        <w:jc w:val="center"/>
        <w:rPr>
          <w:rFonts w:ascii="Times New Roman" w:hAnsi="Times New Roman" w:eastAsia="Times New Roman" w:cs="Times New Roman"/>
          <w:kern w:val="0"/>
          <w:sz w:val="24"/>
        </w:rPr>
      </w:pPr>
      <w:r>
        <w:rPr>
          <w:rFonts w:ascii="FangSong_GB2312" w:hAnsi="FangSong_GB2312" w:eastAsia="FangSong_GB2312" w:cs="FangSong_GB2312"/>
          <w:kern w:val="0"/>
          <w:sz w:val="27"/>
          <w:szCs w:val="27"/>
        </w:rPr>
        <w:t>图2.支出决算图</w:t>
      </w:r>
    </w:p>
    <w:p w14:paraId="39292C5D">
      <w:pPr>
        <w:pStyle w:val="29"/>
        <w:widowControl/>
        <w:spacing w:before="240" w:after="240" w:line="600" w:lineRule="atLeast"/>
        <w:ind w:firstLine="643"/>
        <w:jc w:val="left"/>
        <w:rPr>
          <w:rFonts w:ascii="Times New Roman" w:hAnsi="Times New Roman" w:eastAsia="Times New Roman" w:cs="Times New Roman"/>
          <w:kern w:val="0"/>
          <w:sz w:val="24"/>
        </w:rPr>
      </w:pPr>
      <w:r>
        <w:rPr>
          <w:rFonts w:ascii="黑体" w:hAnsi="黑体" w:eastAsia="黑体" w:cs="黑体"/>
          <w:b/>
          <w:bCs/>
          <w:kern w:val="0"/>
          <w:sz w:val="32"/>
          <w:szCs w:val="32"/>
        </w:rPr>
        <w:t>四、财政拨款收入支出决算总体情况说明</w:t>
      </w:r>
    </w:p>
    <w:p w14:paraId="5E7F1ACC">
      <w:pPr>
        <w:pStyle w:val="29"/>
        <w:widowControl/>
        <w:spacing w:before="240" w:after="240" w:line="560" w:lineRule="atLeast"/>
        <w:ind w:firstLine="640"/>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内蒙古自治区特种设备检验研究院鄂尔多斯分院</w:t>
      </w:r>
      <w:r>
        <w:rPr>
          <w:rFonts w:ascii="Times New Roman" w:hAnsi="Times New Roman" w:eastAsia="Times New Roman" w:cs="Times New Roman"/>
          <w:kern w:val="0"/>
          <w:sz w:val="24"/>
        </w:rPr>
        <w:t xml:space="preserve"> </w:t>
      </w:r>
      <w:r>
        <w:rPr>
          <w:rFonts w:eastAsia="Times New Roman"/>
          <w:kern w:val="0"/>
          <w:sz w:val="32"/>
          <w:szCs w:val="32"/>
          <w:lang w:eastAsia="en-US"/>
        </w:rPr>
        <w:t>2025</w:t>
      </w:r>
      <w:r>
        <w:rPr>
          <w:rFonts w:ascii="FangSong_GB2312" w:hAnsi="FangSong_GB2312" w:eastAsia="FangSong_GB2312" w:cs="FangSong_GB2312"/>
          <w:kern w:val="0"/>
          <w:sz w:val="32"/>
          <w:szCs w:val="32"/>
        </w:rPr>
        <w:t>年度财政拨款收入、支出决算总计均为</w:t>
      </w:r>
      <w:r>
        <w:rPr>
          <w:rFonts w:eastAsia="Times New Roman"/>
          <w:kern w:val="0"/>
          <w:sz w:val="32"/>
          <w:szCs w:val="32"/>
          <w:u w:val="single"/>
          <w:lang w:eastAsia="en-US"/>
        </w:rPr>
        <w:t xml:space="preserve"> 4903.39</w:t>
      </w:r>
      <w:r>
        <w:rPr>
          <w:rFonts w:ascii="FangSong_GB2312" w:hAnsi="FangSong_GB2312" w:eastAsia="FangSong_GB2312" w:cs="FangSong_GB2312"/>
          <w:kern w:val="0"/>
          <w:sz w:val="32"/>
          <w:szCs w:val="32"/>
        </w:rPr>
        <w:t>万元，与年初预算相比，收、支总计各增加</w:t>
      </w:r>
      <w:r>
        <w:rPr>
          <w:rFonts w:eastAsia="Times New Roman"/>
          <w:kern w:val="0"/>
          <w:sz w:val="32"/>
          <w:szCs w:val="32"/>
          <w:u w:val="single"/>
          <w:lang w:eastAsia="en-US"/>
        </w:rPr>
        <w:t xml:space="preserve"> 600.64</w:t>
      </w:r>
      <w:r>
        <w:rPr>
          <w:rFonts w:ascii="FangSong_GB2312" w:hAnsi="FangSong_GB2312" w:eastAsia="FangSong_GB2312" w:cs="FangSong_GB2312"/>
          <w:kern w:val="0"/>
          <w:sz w:val="32"/>
          <w:szCs w:val="32"/>
        </w:rPr>
        <w:t>万元，增长</w:t>
      </w:r>
      <w:r>
        <w:rPr>
          <w:rFonts w:eastAsia="Times New Roman"/>
          <w:kern w:val="0"/>
          <w:sz w:val="32"/>
          <w:szCs w:val="32"/>
          <w:u w:val="single"/>
          <w:lang w:eastAsia="en-US"/>
        </w:rPr>
        <w:t>13.96</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，变动原因：</w:t>
      </w:r>
      <w:r>
        <w:rPr>
          <w:rFonts w:hint="eastAsia" w:ascii="FangSong_GB2312" w:hAnsi="FangSong_GB2312" w:eastAsia="FangSong_GB2312" w:cs="FangSong_GB2312"/>
          <w:kern w:val="0"/>
          <w:sz w:val="32"/>
          <w:szCs w:val="32"/>
          <w:lang w:val="en-US" w:eastAsia="zh-CN"/>
        </w:rPr>
        <w:t>年初结转结余资金增加</w:t>
      </w:r>
      <w:r>
        <w:rPr>
          <w:rFonts w:ascii="FangSong_GB2312" w:hAnsi="FangSong_GB2312" w:eastAsia="FangSong_GB2312" w:cs="FangSong_GB2312"/>
          <w:kern w:val="0"/>
          <w:sz w:val="32"/>
          <w:szCs w:val="32"/>
        </w:rPr>
        <w:t>；与上年决算相比，收、支总计各增加</w:t>
      </w:r>
      <w:r>
        <w:rPr>
          <w:rFonts w:eastAsia="Times New Roman"/>
          <w:kern w:val="0"/>
          <w:sz w:val="32"/>
          <w:szCs w:val="32"/>
          <w:u w:val="single"/>
          <w:lang w:eastAsia="en-US"/>
        </w:rPr>
        <w:t xml:space="preserve"> 48.58</w:t>
      </w:r>
      <w:r>
        <w:rPr>
          <w:rFonts w:ascii="FangSong_GB2312" w:hAnsi="FangSong_GB2312" w:eastAsia="FangSong_GB2312" w:cs="FangSong_GB2312"/>
          <w:kern w:val="0"/>
          <w:sz w:val="32"/>
          <w:szCs w:val="32"/>
        </w:rPr>
        <w:t>万元，增长</w:t>
      </w:r>
      <w:r>
        <w:rPr>
          <w:rFonts w:eastAsia="Times New Roman"/>
          <w:kern w:val="0"/>
          <w:sz w:val="32"/>
          <w:szCs w:val="32"/>
          <w:u w:val="single"/>
          <w:lang w:eastAsia="en-US"/>
        </w:rPr>
        <w:t xml:space="preserve"> 1.00</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，变动原因：</w:t>
      </w:r>
      <w:r>
        <w:rPr>
          <w:rFonts w:hint="eastAsia" w:ascii="FangSong_GB2312" w:hAnsi="FangSong_GB2312" w:eastAsia="FangSong_GB2312" w:cs="FangSong_GB2312"/>
          <w:kern w:val="0"/>
          <w:sz w:val="32"/>
          <w:szCs w:val="32"/>
          <w:lang w:val="en-US" w:eastAsia="zh-CN"/>
        </w:rPr>
        <w:t>本年度财政拨款支出增加48.58万元</w:t>
      </w:r>
      <w:r>
        <w:rPr>
          <w:rFonts w:ascii="FangSong_GB2312" w:hAnsi="FangSong_GB2312" w:eastAsia="FangSong_GB2312" w:cs="FangSong_GB2312"/>
          <w:kern w:val="0"/>
          <w:sz w:val="32"/>
          <w:szCs w:val="32"/>
        </w:rPr>
        <w:t>。</w:t>
      </w:r>
    </w:p>
    <w:p w14:paraId="2E8CEB9F">
      <w:pPr>
        <w:pStyle w:val="29"/>
        <w:widowControl/>
        <w:spacing w:before="240" w:after="240" w:line="600" w:lineRule="atLeast"/>
        <w:ind w:firstLine="643"/>
        <w:jc w:val="left"/>
        <w:rPr>
          <w:rFonts w:ascii="Times New Roman" w:hAnsi="Times New Roman" w:eastAsia="Times New Roman" w:cs="Times New Roman"/>
          <w:kern w:val="0"/>
          <w:sz w:val="24"/>
        </w:rPr>
      </w:pPr>
      <w:r>
        <w:rPr>
          <w:rFonts w:ascii="黑体" w:hAnsi="黑体" w:eastAsia="黑体" w:cs="黑体"/>
          <w:b/>
          <w:bCs/>
          <w:kern w:val="0"/>
          <w:sz w:val="32"/>
          <w:szCs w:val="32"/>
        </w:rPr>
        <w:t>五、一般公共预算财政拨款支出决算情况说明</w:t>
      </w:r>
    </w:p>
    <w:p w14:paraId="3B4B842B">
      <w:pPr>
        <w:pStyle w:val="29"/>
        <w:widowControl/>
        <w:spacing w:before="240" w:after="240" w:line="560" w:lineRule="atLeast"/>
        <w:ind w:firstLine="640"/>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内蒙古自治区特种设备检验研究院鄂尔多斯分院</w:t>
      </w:r>
      <w:r>
        <w:rPr>
          <w:rFonts w:ascii="Times New Roman" w:hAnsi="Times New Roman" w:eastAsia="Times New Roman" w:cs="Times New Roman"/>
          <w:kern w:val="0"/>
          <w:sz w:val="24"/>
        </w:rPr>
        <w:t xml:space="preserve"> </w:t>
      </w:r>
      <w:r>
        <w:rPr>
          <w:rFonts w:eastAsia="Times New Roman"/>
          <w:kern w:val="0"/>
          <w:sz w:val="32"/>
          <w:szCs w:val="32"/>
          <w:lang w:eastAsia="en-US"/>
        </w:rPr>
        <w:t>2025</w:t>
      </w:r>
      <w:r>
        <w:rPr>
          <w:rFonts w:ascii="FangSong_GB2312" w:hAnsi="FangSong_GB2312" w:eastAsia="FangSong_GB2312" w:cs="FangSong_GB2312"/>
          <w:kern w:val="0"/>
          <w:sz w:val="32"/>
          <w:szCs w:val="32"/>
        </w:rPr>
        <w:t>年度一般公共预算财政拨款支出决算</w:t>
      </w:r>
      <w:r>
        <w:rPr>
          <w:rFonts w:eastAsia="Times New Roman"/>
          <w:kern w:val="0"/>
          <w:sz w:val="32"/>
          <w:szCs w:val="32"/>
          <w:u w:val="single"/>
          <w:lang w:eastAsia="en-US"/>
        </w:rPr>
        <w:t xml:space="preserve"> 4279.79</w:t>
      </w:r>
      <w:r>
        <w:rPr>
          <w:rFonts w:ascii="FangSong_GB2312" w:hAnsi="FangSong_GB2312" w:eastAsia="FangSong_GB2312" w:cs="FangSong_GB2312"/>
          <w:kern w:val="0"/>
          <w:sz w:val="32"/>
          <w:szCs w:val="32"/>
        </w:rPr>
        <w:t>万元。与年初预算</w:t>
      </w:r>
      <w:r>
        <w:rPr>
          <w:rFonts w:eastAsia="Times New Roman"/>
          <w:kern w:val="0"/>
          <w:sz w:val="32"/>
          <w:szCs w:val="32"/>
          <w:u w:val="single"/>
          <w:lang w:eastAsia="en-US"/>
        </w:rPr>
        <w:t xml:space="preserve"> 4302.75</w:t>
      </w:r>
      <w:r>
        <w:rPr>
          <w:rFonts w:ascii="FangSong_GB2312" w:hAnsi="FangSong_GB2312" w:eastAsia="FangSong_GB2312" w:cs="FangSong_GB2312"/>
          <w:kern w:val="0"/>
          <w:sz w:val="32"/>
          <w:szCs w:val="32"/>
        </w:rPr>
        <w:t>万元相比，完成年初预算的</w:t>
      </w:r>
      <w:r>
        <w:rPr>
          <w:rFonts w:eastAsia="Times New Roman"/>
          <w:kern w:val="0"/>
          <w:sz w:val="32"/>
          <w:szCs w:val="32"/>
          <w:u w:val="single"/>
          <w:lang w:eastAsia="en-US"/>
        </w:rPr>
        <w:t xml:space="preserve"> 99.47</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。其中：</w:t>
      </w:r>
    </w:p>
    <w:p w14:paraId="037F8821">
      <w:pPr>
        <w:pStyle w:val="29"/>
        <w:widowControl/>
        <w:spacing w:before="240" w:after="240" w:line="560" w:lineRule="atLeast"/>
        <w:ind w:firstLine="643"/>
        <w:jc w:val="left"/>
        <w:rPr>
          <w:rFonts w:ascii="Times New Roman" w:hAnsi="Times New Roman" w:eastAsia="Times New Roman" w:cs="Times New Roman"/>
          <w:kern w:val="0"/>
          <w:sz w:val="24"/>
        </w:rPr>
      </w:pPr>
      <w:r>
        <w:rPr>
          <w:rFonts w:ascii="楷体" w:hAnsi="楷体" w:eastAsia="楷体" w:cs="楷体"/>
          <w:b/>
          <w:bCs/>
          <w:kern w:val="0"/>
          <w:sz w:val="32"/>
          <w:szCs w:val="32"/>
        </w:rPr>
        <w:t>（一）一般公共服务（类）</w:t>
      </w:r>
    </w:p>
    <w:p w14:paraId="69C70928">
      <w:pPr>
        <w:pStyle w:val="29"/>
        <w:widowControl/>
        <w:spacing w:before="240" w:after="240" w:line="560" w:lineRule="atLeast"/>
        <w:ind w:firstLine="640"/>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一般公共服务（类）决算数为</w:t>
      </w:r>
      <w:r>
        <w:rPr>
          <w:rFonts w:eastAsia="Times New Roman"/>
          <w:kern w:val="0"/>
          <w:sz w:val="32"/>
          <w:szCs w:val="32"/>
          <w:u w:val="single"/>
          <w:lang w:eastAsia="en-US"/>
        </w:rPr>
        <w:t xml:space="preserve"> 4109.04</w:t>
      </w:r>
      <w:r>
        <w:rPr>
          <w:rFonts w:ascii="FangSong_GB2312" w:hAnsi="FangSong_GB2312" w:eastAsia="FangSong_GB2312" w:cs="FangSong_GB2312"/>
          <w:kern w:val="0"/>
          <w:sz w:val="32"/>
          <w:szCs w:val="32"/>
        </w:rPr>
        <w:t>万元，与年初预算相比减少</w:t>
      </w:r>
      <w:r>
        <w:rPr>
          <w:rFonts w:eastAsia="Times New Roman"/>
          <w:kern w:val="0"/>
          <w:sz w:val="32"/>
          <w:szCs w:val="32"/>
          <w:u w:val="single"/>
          <w:lang w:eastAsia="en-US"/>
        </w:rPr>
        <w:t>27.04</w:t>
      </w:r>
      <w:r>
        <w:rPr>
          <w:rFonts w:ascii="FangSong_GB2312" w:hAnsi="FangSong_GB2312" w:eastAsia="FangSong_GB2312" w:cs="FangSong_GB2312"/>
          <w:kern w:val="0"/>
          <w:sz w:val="32"/>
          <w:szCs w:val="32"/>
        </w:rPr>
        <w:t>万元。其中：</w:t>
      </w:r>
    </w:p>
    <w:p w14:paraId="162225A1">
      <w:pPr>
        <w:pStyle w:val="29"/>
        <w:widowControl/>
        <w:spacing w:before="240" w:after="240" w:line="560" w:lineRule="atLeast"/>
        <w:ind w:firstLine="640"/>
        <w:jc w:val="left"/>
        <w:rPr>
          <w:rFonts w:ascii="Times New Roman" w:hAnsi="Times New Roman" w:eastAsia="Times New Roman" w:cs="Times New Roman"/>
          <w:kern w:val="0"/>
          <w:sz w:val="24"/>
        </w:rPr>
      </w:pPr>
      <w:r>
        <w:rPr>
          <w:rFonts w:eastAsia="Times New Roman"/>
          <w:kern w:val="0"/>
          <w:sz w:val="32"/>
          <w:szCs w:val="32"/>
          <w:lang w:eastAsia="en-US"/>
        </w:rPr>
        <w:t>1</w:t>
      </w:r>
      <w:r>
        <w:rPr>
          <w:rFonts w:ascii="FangSong_GB2312" w:hAnsi="FangSong_GB2312" w:eastAsia="FangSong_GB2312" w:cs="FangSong_GB2312"/>
          <w:kern w:val="0"/>
          <w:sz w:val="32"/>
          <w:szCs w:val="32"/>
        </w:rPr>
        <w:t>．</w:t>
      </w:r>
      <w:r>
        <w:rPr>
          <w:rFonts w:hint="eastAsia" w:ascii="FangSong_GB2312" w:hAnsi="FangSong_GB2312" w:eastAsia="FangSong_GB2312" w:cs="FangSong_GB2312"/>
          <w:kern w:val="0"/>
          <w:sz w:val="32"/>
          <w:szCs w:val="32"/>
          <w:lang w:val="en-US" w:eastAsia="zh-CN"/>
        </w:rPr>
        <w:t>市场监督管理事务</w:t>
      </w:r>
      <w:r>
        <w:rPr>
          <w:rFonts w:ascii="FangSong_GB2312" w:hAnsi="FangSong_GB2312" w:eastAsia="FangSong_GB2312" w:cs="FangSong_GB2312"/>
          <w:kern w:val="0"/>
          <w:sz w:val="32"/>
          <w:szCs w:val="32"/>
        </w:rPr>
        <w:t>（款）</w:t>
      </w:r>
      <w:r>
        <w:rPr>
          <w:rFonts w:hint="eastAsia" w:ascii="FangSong_GB2312" w:hAnsi="FangSong_GB2312" w:eastAsia="FangSong_GB2312" w:cs="FangSong_GB2312"/>
          <w:kern w:val="0"/>
          <w:sz w:val="32"/>
          <w:szCs w:val="32"/>
          <w:lang w:val="en-US" w:eastAsia="zh-CN"/>
        </w:rPr>
        <w:t>质量安全监管</w:t>
      </w:r>
      <w:r>
        <w:rPr>
          <w:rFonts w:ascii="FangSong_GB2312" w:hAnsi="FangSong_GB2312" w:eastAsia="FangSong_GB2312" w:cs="FangSong_GB2312"/>
          <w:kern w:val="0"/>
          <w:sz w:val="32"/>
          <w:szCs w:val="32"/>
        </w:rPr>
        <w:t>（项）。年初预算</w:t>
      </w:r>
      <w:r>
        <w:rPr>
          <w:rFonts w:hint="eastAsia"/>
          <w:kern w:val="0"/>
          <w:sz w:val="32"/>
          <w:szCs w:val="32"/>
          <w:u w:val="single"/>
          <w:lang w:val="en-US" w:eastAsia="zh-CN"/>
        </w:rPr>
        <w:t>1988</w:t>
      </w:r>
      <w:r>
        <w:rPr>
          <w:rFonts w:ascii="FangSong_GB2312" w:hAnsi="FangSong_GB2312" w:eastAsia="FangSong_GB2312" w:cs="FangSong_GB2312"/>
          <w:kern w:val="0"/>
          <w:sz w:val="32"/>
          <w:szCs w:val="32"/>
        </w:rPr>
        <w:t>万元，支出决算</w:t>
      </w:r>
      <w:r>
        <w:rPr>
          <w:rFonts w:hint="eastAsia"/>
          <w:kern w:val="0"/>
          <w:sz w:val="32"/>
          <w:szCs w:val="32"/>
          <w:u w:val="single"/>
          <w:lang w:val="en-US" w:eastAsia="zh-CN"/>
        </w:rPr>
        <w:t>1935.41</w:t>
      </w:r>
      <w:r>
        <w:rPr>
          <w:rFonts w:ascii="FangSong_GB2312" w:hAnsi="FangSong_GB2312" w:eastAsia="FangSong_GB2312" w:cs="FangSong_GB2312"/>
          <w:kern w:val="0"/>
          <w:sz w:val="32"/>
          <w:szCs w:val="32"/>
        </w:rPr>
        <w:t>万元，完成年初预算的</w:t>
      </w:r>
      <w:r>
        <w:rPr>
          <w:rFonts w:hint="eastAsia"/>
          <w:kern w:val="0"/>
          <w:sz w:val="32"/>
          <w:szCs w:val="32"/>
          <w:u w:val="single"/>
          <w:lang w:val="en-US" w:eastAsia="zh-CN"/>
        </w:rPr>
        <w:t>97.35</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。决算数与年初预算数的差异原因：</w:t>
      </w:r>
      <w:r>
        <w:rPr>
          <w:rFonts w:hint="eastAsia" w:ascii="FangSong_GB2312" w:hAnsi="FangSong_GB2312" w:eastAsia="FangSong_GB2312" w:cs="FangSong_GB2312"/>
          <w:kern w:val="0"/>
          <w:sz w:val="32"/>
          <w:szCs w:val="32"/>
          <w:lang w:val="en-US" w:eastAsia="zh-CN"/>
        </w:rPr>
        <w:t>本年度大力压减各项事业支出，公务接待及公车运行维护费较年初预算减少20.82 万元，专用设备购置较年初预算减少 3.55万元、维修维护较年初预算减少 3.4 万元等。</w:t>
      </w:r>
    </w:p>
    <w:p w14:paraId="389B9445">
      <w:pPr>
        <w:pStyle w:val="29"/>
        <w:widowControl/>
        <w:spacing w:before="240" w:after="240" w:line="560" w:lineRule="atLeast"/>
        <w:ind w:firstLine="640"/>
        <w:jc w:val="left"/>
        <w:rPr>
          <w:rFonts w:hint="default" w:ascii="FangSong_GB2312" w:hAnsi="FangSong_GB2312" w:eastAsia="FangSong_GB2312" w:cs="FangSong_GB2312"/>
          <w:kern w:val="0"/>
          <w:sz w:val="32"/>
          <w:szCs w:val="32"/>
          <w:lang w:val="en-US" w:eastAsia="zh-CN"/>
        </w:rPr>
      </w:pPr>
      <w:r>
        <w:rPr>
          <w:rFonts w:eastAsia="Times New Roman"/>
          <w:kern w:val="0"/>
          <w:sz w:val="32"/>
          <w:szCs w:val="32"/>
          <w:lang w:eastAsia="en-US"/>
        </w:rPr>
        <w:t>2</w:t>
      </w:r>
      <w:r>
        <w:rPr>
          <w:rFonts w:ascii="FangSong_GB2312" w:hAnsi="FangSong_GB2312" w:eastAsia="FangSong_GB2312" w:cs="FangSong_GB2312"/>
          <w:kern w:val="0"/>
          <w:sz w:val="32"/>
          <w:szCs w:val="32"/>
        </w:rPr>
        <w:t>．</w:t>
      </w:r>
      <w:r>
        <w:rPr>
          <w:rFonts w:hint="eastAsia" w:ascii="FangSong_GB2312" w:hAnsi="FangSong_GB2312" w:eastAsia="FangSong_GB2312" w:cs="FangSong_GB2312"/>
          <w:kern w:val="0"/>
          <w:sz w:val="32"/>
          <w:szCs w:val="32"/>
          <w:lang w:val="en-US" w:eastAsia="zh-CN"/>
        </w:rPr>
        <w:t>市场监督管理事务</w:t>
      </w:r>
      <w:r>
        <w:rPr>
          <w:rFonts w:ascii="FangSong_GB2312" w:hAnsi="FangSong_GB2312" w:eastAsia="FangSong_GB2312" w:cs="FangSong_GB2312"/>
          <w:kern w:val="0"/>
          <w:sz w:val="32"/>
          <w:szCs w:val="32"/>
        </w:rPr>
        <w:t>（款）</w:t>
      </w:r>
      <w:r>
        <w:rPr>
          <w:rFonts w:hint="eastAsia" w:ascii="FangSong_GB2312" w:hAnsi="FangSong_GB2312" w:eastAsia="FangSong_GB2312" w:cs="FangSong_GB2312"/>
          <w:kern w:val="0"/>
          <w:sz w:val="32"/>
          <w:szCs w:val="32"/>
          <w:lang w:val="en-US" w:eastAsia="zh-CN"/>
        </w:rPr>
        <w:t>事业运行</w:t>
      </w:r>
      <w:r>
        <w:rPr>
          <w:rFonts w:ascii="FangSong_GB2312" w:hAnsi="FangSong_GB2312" w:eastAsia="FangSong_GB2312" w:cs="FangSong_GB2312"/>
          <w:kern w:val="0"/>
          <w:sz w:val="32"/>
          <w:szCs w:val="32"/>
        </w:rPr>
        <w:t>（项）。年初预算</w:t>
      </w:r>
      <w:r>
        <w:rPr>
          <w:rFonts w:hint="eastAsia"/>
          <w:kern w:val="0"/>
          <w:sz w:val="32"/>
          <w:szCs w:val="32"/>
          <w:u w:val="single"/>
          <w:lang w:val="en-US" w:eastAsia="zh-CN"/>
        </w:rPr>
        <w:t>2148.09</w:t>
      </w:r>
      <w:r>
        <w:rPr>
          <w:rFonts w:ascii="FangSong_GB2312" w:hAnsi="FangSong_GB2312" w:eastAsia="FangSong_GB2312" w:cs="FangSong_GB2312"/>
          <w:kern w:val="0"/>
          <w:sz w:val="32"/>
          <w:szCs w:val="32"/>
        </w:rPr>
        <w:t>万元，支出决算</w:t>
      </w:r>
      <w:r>
        <w:rPr>
          <w:rFonts w:hint="eastAsia"/>
          <w:kern w:val="0"/>
          <w:sz w:val="32"/>
          <w:szCs w:val="32"/>
          <w:u w:val="single"/>
          <w:lang w:val="en-US" w:eastAsia="zh-CN"/>
        </w:rPr>
        <w:t>2027.83</w:t>
      </w:r>
      <w:r>
        <w:rPr>
          <w:rFonts w:ascii="FangSong_GB2312" w:hAnsi="FangSong_GB2312" w:eastAsia="FangSong_GB2312" w:cs="FangSong_GB2312"/>
          <w:kern w:val="0"/>
          <w:sz w:val="32"/>
          <w:szCs w:val="32"/>
        </w:rPr>
        <w:t>万元，完成年初预算的</w:t>
      </w:r>
      <w:r>
        <w:rPr>
          <w:rFonts w:hint="eastAsia"/>
          <w:kern w:val="0"/>
          <w:sz w:val="32"/>
          <w:szCs w:val="32"/>
          <w:u w:val="single"/>
          <w:lang w:val="en-US" w:eastAsia="zh-CN"/>
        </w:rPr>
        <w:t>94.4</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。决算数与年初预算数的差异原因：</w:t>
      </w:r>
      <w:r>
        <w:rPr>
          <w:rFonts w:hint="eastAsia" w:ascii="FangSong_GB2312" w:hAnsi="FangSong_GB2312" w:eastAsia="FangSong_GB2312" w:cs="FangSong_GB2312"/>
          <w:kern w:val="0"/>
          <w:sz w:val="32"/>
          <w:szCs w:val="32"/>
          <w:lang w:val="en-US" w:eastAsia="zh-CN"/>
        </w:rPr>
        <w:t>根据财政厅2025年决算审核要求，将物业费、事业发展经费等项目年初预算使用功能分类为2013850的科目，需要将功能分类调整为2013899</w:t>
      </w:r>
      <w:r>
        <w:rPr>
          <w:rFonts w:ascii="FangSong_GB2312" w:hAnsi="FangSong_GB2312" w:eastAsia="FangSong_GB2312" w:cs="FangSong_GB2312"/>
          <w:kern w:val="0"/>
          <w:sz w:val="32"/>
          <w:szCs w:val="32"/>
        </w:rPr>
        <w:t>。</w:t>
      </w:r>
    </w:p>
    <w:p w14:paraId="1C7271B5">
      <w:pPr>
        <w:pStyle w:val="29"/>
        <w:widowControl/>
        <w:spacing w:before="240" w:after="240" w:line="560" w:lineRule="atLeast"/>
        <w:ind w:firstLine="640"/>
        <w:jc w:val="left"/>
        <w:rPr>
          <w:rFonts w:hint="default" w:ascii="FangSong_GB2312" w:hAnsi="FangSong_GB2312" w:eastAsia="FangSong_GB2312" w:cs="FangSong_GB2312"/>
          <w:kern w:val="0"/>
          <w:sz w:val="32"/>
          <w:szCs w:val="32"/>
          <w:lang w:val="en-US" w:eastAsia="zh-CN"/>
        </w:rPr>
      </w:pPr>
      <w:r>
        <w:rPr>
          <w:rFonts w:hint="eastAsia" w:ascii="Times New Roman" w:hAnsi="Times New Roman" w:eastAsia="Times New Roman" w:cs="Times New Roman"/>
          <w:kern w:val="0"/>
          <w:sz w:val="32"/>
          <w:szCs w:val="32"/>
          <w:lang w:val="en-US" w:eastAsia="zh-CN"/>
        </w:rPr>
        <w:t>3</w:t>
      </w:r>
      <w:r>
        <w:rPr>
          <w:rFonts w:hint="eastAsia" w:ascii="FangSong_GB2312" w:hAnsi="FangSong_GB2312" w:eastAsia="FangSong_GB2312" w:cs="FangSong_GB2312"/>
          <w:kern w:val="0"/>
          <w:sz w:val="32"/>
          <w:szCs w:val="32"/>
          <w:lang w:val="en-US" w:eastAsia="zh-CN"/>
        </w:rPr>
        <w:t>.市场监督管理事务</w:t>
      </w:r>
      <w:r>
        <w:rPr>
          <w:rFonts w:ascii="FangSong_GB2312" w:hAnsi="FangSong_GB2312" w:eastAsia="FangSong_GB2312" w:cs="FangSong_GB2312"/>
          <w:kern w:val="0"/>
          <w:sz w:val="32"/>
          <w:szCs w:val="32"/>
        </w:rPr>
        <w:t>（款）</w:t>
      </w:r>
      <w:r>
        <w:rPr>
          <w:rFonts w:hint="eastAsia" w:ascii="FangSong_GB2312" w:hAnsi="FangSong_GB2312" w:eastAsia="FangSong_GB2312" w:cs="FangSong_GB2312"/>
          <w:kern w:val="0"/>
          <w:sz w:val="32"/>
          <w:szCs w:val="32"/>
          <w:lang w:val="en-US" w:eastAsia="zh-CN"/>
        </w:rPr>
        <w:t>其他市场监督管理事务</w:t>
      </w:r>
      <w:r>
        <w:rPr>
          <w:rFonts w:ascii="FangSong_GB2312" w:hAnsi="FangSong_GB2312" w:eastAsia="FangSong_GB2312" w:cs="FangSong_GB2312"/>
          <w:kern w:val="0"/>
          <w:sz w:val="32"/>
          <w:szCs w:val="32"/>
        </w:rPr>
        <w:t>（项）。年初预算</w:t>
      </w:r>
      <w:r>
        <w:rPr>
          <w:rFonts w:hint="eastAsia"/>
          <w:kern w:val="0"/>
          <w:sz w:val="32"/>
          <w:szCs w:val="32"/>
          <w:u w:val="single"/>
          <w:lang w:val="en-US" w:eastAsia="zh-CN"/>
        </w:rPr>
        <w:t>0</w:t>
      </w:r>
      <w:r>
        <w:rPr>
          <w:rFonts w:ascii="FangSong_GB2312" w:hAnsi="FangSong_GB2312" w:eastAsia="FangSong_GB2312" w:cs="FangSong_GB2312"/>
          <w:kern w:val="0"/>
          <w:sz w:val="32"/>
          <w:szCs w:val="32"/>
        </w:rPr>
        <w:t>万元，支出决算</w:t>
      </w:r>
      <w:r>
        <w:rPr>
          <w:rFonts w:hint="eastAsia"/>
          <w:kern w:val="0"/>
          <w:sz w:val="32"/>
          <w:szCs w:val="32"/>
          <w:u w:val="single"/>
          <w:lang w:val="en-US" w:eastAsia="zh-CN"/>
        </w:rPr>
        <w:t>145.81</w:t>
      </w:r>
      <w:r>
        <w:rPr>
          <w:rFonts w:ascii="FangSong_GB2312" w:hAnsi="FangSong_GB2312" w:eastAsia="FangSong_GB2312" w:cs="FangSong_GB2312"/>
          <w:kern w:val="0"/>
          <w:sz w:val="32"/>
          <w:szCs w:val="32"/>
        </w:rPr>
        <w:t>万元，完成年初预算的</w:t>
      </w:r>
      <w:r>
        <w:rPr>
          <w:rFonts w:hint="eastAsia"/>
          <w:kern w:val="0"/>
          <w:sz w:val="32"/>
          <w:szCs w:val="32"/>
          <w:u w:val="single"/>
          <w:lang w:val="en-US" w:eastAsia="zh-CN"/>
        </w:rPr>
        <w:t>100</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。决算数与年初预算数的差异原因：</w:t>
      </w:r>
      <w:r>
        <w:rPr>
          <w:rFonts w:hint="eastAsia" w:ascii="FangSong_GB2312" w:hAnsi="FangSong_GB2312" w:eastAsia="FangSong_GB2312" w:cs="FangSong_GB2312"/>
          <w:kern w:val="0"/>
          <w:sz w:val="32"/>
          <w:szCs w:val="32"/>
          <w:lang w:val="en-US" w:eastAsia="zh-CN"/>
        </w:rPr>
        <w:t>根据财政厅2025年决算审核要求，将物业费、事业发展经费等项目年初预算使用功能分类为2013850的科目，需要将功能分类调整为2013899</w:t>
      </w:r>
      <w:r>
        <w:rPr>
          <w:rFonts w:ascii="FangSong_GB2312" w:hAnsi="FangSong_GB2312" w:eastAsia="FangSong_GB2312" w:cs="FangSong_GB2312"/>
          <w:kern w:val="0"/>
          <w:sz w:val="32"/>
          <w:szCs w:val="32"/>
        </w:rPr>
        <w:t>。</w:t>
      </w:r>
    </w:p>
    <w:p w14:paraId="318CC1BA">
      <w:pPr>
        <w:pStyle w:val="29"/>
        <w:widowControl/>
        <w:spacing w:before="240" w:after="240" w:line="560" w:lineRule="atLeast"/>
        <w:ind w:firstLine="643"/>
        <w:jc w:val="left"/>
        <w:rPr>
          <w:rFonts w:ascii="Times New Roman" w:hAnsi="Times New Roman" w:eastAsia="Times New Roman" w:cs="Times New Roman"/>
          <w:kern w:val="0"/>
          <w:sz w:val="24"/>
        </w:rPr>
      </w:pPr>
      <w:r>
        <w:rPr>
          <w:rFonts w:ascii="楷体" w:hAnsi="楷体" w:eastAsia="楷体" w:cs="楷体"/>
          <w:b/>
          <w:bCs/>
          <w:kern w:val="0"/>
          <w:sz w:val="32"/>
          <w:szCs w:val="32"/>
        </w:rPr>
        <w:t>（</w:t>
      </w:r>
      <w:r>
        <w:rPr>
          <w:rFonts w:hint="eastAsia" w:ascii="楷体" w:hAnsi="楷体" w:eastAsia="楷体" w:cs="楷体"/>
          <w:b/>
          <w:bCs/>
          <w:kern w:val="0"/>
          <w:sz w:val="32"/>
          <w:szCs w:val="32"/>
          <w:lang w:val="en-US" w:eastAsia="zh-CN"/>
        </w:rPr>
        <w:t>二</w:t>
      </w:r>
      <w:r>
        <w:rPr>
          <w:rFonts w:ascii="楷体" w:hAnsi="楷体" w:eastAsia="楷体" w:cs="楷体"/>
          <w:b/>
          <w:bCs/>
          <w:kern w:val="0"/>
          <w:sz w:val="32"/>
          <w:szCs w:val="32"/>
        </w:rPr>
        <w:t>）社会保障和就业支出（类）</w:t>
      </w:r>
    </w:p>
    <w:p w14:paraId="0A24C851">
      <w:pPr>
        <w:pStyle w:val="29"/>
        <w:widowControl/>
        <w:spacing w:before="240" w:after="240" w:line="560" w:lineRule="atLeast"/>
        <w:ind w:firstLine="640"/>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社会保障和就业支出（类）决算数为</w:t>
      </w:r>
      <w:r>
        <w:rPr>
          <w:rFonts w:eastAsia="Times New Roman"/>
          <w:kern w:val="0"/>
          <w:sz w:val="32"/>
          <w:szCs w:val="32"/>
          <w:u w:val="single"/>
          <w:lang w:eastAsia="en-US"/>
        </w:rPr>
        <w:t xml:space="preserve"> 97.53</w:t>
      </w:r>
      <w:r>
        <w:rPr>
          <w:rFonts w:ascii="FangSong_GB2312" w:hAnsi="FangSong_GB2312" w:eastAsia="FangSong_GB2312" w:cs="FangSong_GB2312"/>
          <w:kern w:val="0"/>
          <w:sz w:val="32"/>
          <w:szCs w:val="32"/>
        </w:rPr>
        <w:t>万元，与年初预算相比增加</w:t>
      </w:r>
      <w:r>
        <w:rPr>
          <w:rFonts w:eastAsia="Times New Roman"/>
          <w:kern w:val="0"/>
          <w:sz w:val="32"/>
          <w:szCs w:val="32"/>
          <w:u w:val="single"/>
          <w:lang w:eastAsia="en-US"/>
        </w:rPr>
        <w:t> 2.07</w:t>
      </w:r>
      <w:r>
        <w:rPr>
          <w:rFonts w:ascii="FangSong_GB2312" w:hAnsi="FangSong_GB2312" w:eastAsia="FangSong_GB2312" w:cs="FangSong_GB2312"/>
          <w:kern w:val="0"/>
          <w:sz w:val="32"/>
          <w:szCs w:val="32"/>
        </w:rPr>
        <w:t>万元。其中：</w:t>
      </w:r>
    </w:p>
    <w:p w14:paraId="1E1F6304">
      <w:pPr>
        <w:pStyle w:val="29"/>
        <w:widowControl/>
        <w:spacing w:before="240" w:after="240" w:line="560" w:lineRule="atLeast"/>
        <w:ind w:firstLine="640"/>
        <w:jc w:val="left"/>
        <w:rPr>
          <w:rFonts w:ascii="Times New Roman" w:hAnsi="Times New Roman" w:eastAsia="Times New Roman" w:cs="Times New Roman"/>
          <w:kern w:val="0"/>
          <w:sz w:val="24"/>
        </w:rPr>
      </w:pPr>
      <w:r>
        <w:rPr>
          <w:rFonts w:hint="eastAsia"/>
          <w:kern w:val="0"/>
          <w:sz w:val="32"/>
          <w:szCs w:val="32"/>
          <w:lang w:val="en-US" w:eastAsia="zh-CN"/>
        </w:rPr>
        <w:t>1</w:t>
      </w:r>
      <w:r>
        <w:rPr>
          <w:rFonts w:ascii="FangSong_GB2312" w:hAnsi="FangSong_GB2312" w:eastAsia="FangSong_GB2312" w:cs="FangSong_GB2312"/>
          <w:kern w:val="0"/>
          <w:sz w:val="32"/>
          <w:szCs w:val="32"/>
        </w:rPr>
        <w:t>．行政事业单位养老支出（款）事业单位离退休（项）。年初预算</w:t>
      </w:r>
      <w:r>
        <w:rPr>
          <w:rFonts w:hint="eastAsia"/>
          <w:kern w:val="0"/>
          <w:sz w:val="32"/>
          <w:szCs w:val="32"/>
          <w:u w:val="single"/>
          <w:lang w:val="en-US" w:eastAsia="zh-CN"/>
        </w:rPr>
        <w:t>14.26</w:t>
      </w:r>
      <w:r>
        <w:rPr>
          <w:rFonts w:ascii="FangSong_GB2312" w:hAnsi="FangSong_GB2312" w:eastAsia="FangSong_GB2312" w:cs="FangSong_GB2312"/>
          <w:kern w:val="0"/>
          <w:sz w:val="32"/>
          <w:szCs w:val="32"/>
        </w:rPr>
        <w:t>万元，支出决算</w:t>
      </w:r>
      <w:r>
        <w:rPr>
          <w:rFonts w:hint="eastAsia"/>
          <w:kern w:val="0"/>
          <w:sz w:val="32"/>
          <w:szCs w:val="32"/>
          <w:u w:val="single"/>
          <w:lang w:val="en-US" w:eastAsia="zh-CN"/>
        </w:rPr>
        <w:t>14.26</w:t>
      </w:r>
      <w:r>
        <w:rPr>
          <w:rFonts w:ascii="FangSong_GB2312" w:hAnsi="FangSong_GB2312" w:eastAsia="FangSong_GB2312" w:cs="FangSong_GB2312"/>
          <w:kern w:val="0"/>
          <w:sz w:val="32"/>
          <w:szCs w:val="32"/>
        </w:rPr>
        <w:t>万元，完成年初预算的</w:t>
      </w:r>
      <w:r>
        <w:rPr>
          <w:rFonts w:hint="eastAsia"/>
          <w:kern w:val="0"/>
          <w:sz w:val="32"/>
          <w:szCs w:val="32"/>
          <w:u w:val="single"/>
          <w:lang w:val="en-US" w:eastAsia="zh-CN"/>
        </w:rPr>
        <w:t>100</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。决算数与年初预算数</w:t>
      </w:r>
      <w:r>
        <w:rPr>
          <w:rFonts w:hint="eastAsia" w:ascii="FangSong_GB2312" w:hAnsi="FangSong_GB2312" w:eastAsia="FangSong_GB2312" w:cs="FangSong_GB2312"/>
          <w:kern w:val="0"/>
          <w:sz w:val="32"/>
          <w:szCs w:val="32"/>
          <w:lang w:val="en-US" w:eastAsia="zh-CN"/>
        </w:rPr>
        <w:t>无差异</w:t>
      </w:r>
      <w:r>
        <w:rPr>
          <w:rFonts w:ascii="FangSong_GB2312" w:hAnsi="FangSong_GB2312" w:eastAsia="FangSong_GB2312" w:cs="FangSong_GB2312"/>
          <w:kern w:val="0"/>
          <w:sz w:val="32"/>
          <w:szCs w:val="32"/>
        </w:rPr>
        <w:t>。</w:t>
      </w:r>
    </w:p>
    <w:p w14:paraId="64A34A14">
      <w:pPr>
        <w:pStyle w:val="29"/>
        <w:widowControl/>
        <w:spacing w:before="240" w:after="240" w:line="560" w:lineRule="atLeast"/>
        <w:ind w:firstLine="640"/>
        <w:jc w:val="left"/>
        <w:rPr>
          <w:rFonts w:ascii="Times New Roman" w:hAnsi="Times New Roman" w:eastAsia="Times New Roman" w:cs="Times New Roman"/>
          <w:kern w:val="0"/>
          <w:sz w:val="24"/>
        </w:rPr>
      </w:pPr>
      <w:r>
        <w:rPr>
          <w:rFonts w:hint="eastAsia" w:ascii="Times New Roman" w:hAnsi="Times New Roman" w:eastAsia="宋体" w:cs="Times New Roman"/>
          <w:kern w:val="0"/>
          <w:sz w:val="32"/>
          <w:szCs w:val="32"/>
          <w:lang w:val="en-US" w:eastAsia="zh-CN"/>
        </w:rPr>
        <w:t>2</w:t>
      </w:r>
      <w:r>
        <w:rPr>
          <w:rFonts w:ascii="FangSong_GB2312" w:hAnsi="FangSong_GB2312" w:eastAsia="FangSong_GB2312" w:cs="FangSong_GB2312"/>
          <w:kern w:val="0"/>
          <w:sz w:val="32"/>
          <w:szCs w:val="32"/>
        </w:rPr>
        <w:t>．行政事业单位养老支出（款）机关事业单位基本养老保险缴费支出（项）。年初预算</w:t>
      </w:r>
      <w:r>
        <w:rPr>
          <w:rFonts w:hint="eastAsia"/>
          <w:kern w:val="0"/>
          <w:sz w:val="32"/>
          <w:szCs w:val="32"/>
          <w:u w:val="single"/>
          <w:lang w:val="en-US" w:eastAsia="zh-CN"/>
        </w:rPr>
        <w:t>54</w:t>
      </w:r>
      <w:r>
        <w:rPr>
          <w:rFonts w:ascii="FangSong_GB2312" w:hAnsi="FangSong_GB2312" w:eastAsia="FangSong_GB2312" w:cs="FangSong_GB2312"/>
          <w:kern w:val="0"/>
          <w:sz w:val="32"/>
          <w:szCs w:val="32"/>
        </w:rPr>
        <w:t>万元，支出决算</w:t>
      </w:r>
      <w:r>
        <w:rPr>
          <w:rFonts w:hint="eastAsia"/>
          <w:kern w:val="0"/>
          <w:sz w:val="32"/>
          <w:szCs w:val="32"/>
          <w:u w:val="single"/>
          <w:lang w:val="en-US" w:eastAsia="zh-CN"/>
        </w:rPr>
        <w:t>55.38</w:t>
      </w:r>
      <w:r>
        <w:rPr>
          <w:rFonts w:ascii="FangSong_GB2312" w:hAnsi="FangSong_GB2312" w:eastAsia="FangSong_GB2312" w:cs="FangSong_GB2312"/>
          <w:kern w:val="0"/>
          <w:sz w:val="32"/>
          <w:szCs w:val="32"/>
        </w:rPr>
        <w:t>万元，完成年初预算的</w:t>
      </w:r>
      <w:r>
        <w:rPr>
          <w:rFonts w:hint="eastAsia"/>
          <w:kern w:val="0"/>
          <w:sz w:val="32"/>
          <w:szCs w:val="32"/>
          <w:u w:val="single"/>
          <w:lang w:val="en-US" w:eastAsia="zh-CN"/>
        </w:rPr>
        <w:t>102</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。决算数与年初预算数的差异原因：</w:t>
      </w:r>
      <w:r>
        <w:rPr>
          <w:rFonts w:hint="eastAsia" w:ascii="FangSong_GB2312" w:hAnsi="FangSong_GB2312" w:eastAsia="FangSong_GB2312" w:cs="FangSong_GB2312"/>
          <w:kern w:val="0"/>
          <w:sz w:val="32"/>
          <w:szCs w:val="32"/>
          <w:lang w:val="en-US" w:eastAsia="zh-CN"/>
        </w:rPr>
        <w:t>本年度追加经费支出1.38万元</w:t>
      </w:r>
      <w:r>
        <w:rPr>
          <w:rFonts w:ascii="FangSong_GB2312" w:hAnsi="FangSong_GB2312" w:eastAsia="FangSong_GB2312" w:cs="FangSong_GB2312"/>
          <w:kern w:val="0"/>
          <w:sz w:val="32"/>
          <w:szCs w:val="32"/>
        </w:rPr>
        <w:t>。</w:t>
      </w:r>
    </w:p>
    <w:p w14:paraId="463C49DA">
      <w:pPr>
        <w:pStyle w:val="29"/>
        <w:widowControl/>
        <w:spacing w:before="240" w:after="240" w:line="560" w:lineRule="atLeast"/>
        <w:ind w:firstLine="640"/>
        <w:jc w:val="left"/>
        <w:rPr>
          <w:rFonts w:ascii="Times New Roman" w:hAnsi="Times New Roman" w:eastAsia="Times New Roman" w:cs="Times New Roman"/>
          <w:kern w:val="0"/>
          <w:sz w:val="24"/>
        </w:rPr>
      </w:pPr>
      <w:r>
        <w:rPr>
          <w:rFonts w:hint="eastAsia" w:ascii="Times New Roman" w:hAnsi="Times New Roman" w:eastAsia="宋体" w:cs="Times New Roman"/>
          <w:kern w:val="0"/>
          <w:sz w:val="32"/>
          <w:szCs w:val="32"/>
          <w:lang w:val="en-US" w:eastAsia="zh-CN"/>
        </w:rPr>
        <w:t>3</w:t>
      </w:r>
      <w:r>
        <w:rPr>
          <w:rFonts w:ascii="FangSong_GB2312" w:hAnsi="FangSong_GB2312" w:eastAsia="FangSong_GB2312" w:cs="FangSong_GB2312"/>
          <w:kern w:val="0"/>
          <w:sz w:val="32"/>
          <w:szCs w:val="32"/>
        </w:rPr>
        <w:t>．行政事业单位养老支出（款）机关事业单位职业年金缴费支出（项）。年初预算</w:t>
      </w:r>
      <w:r>
        <w:rPr>
          <w:rFonts w:hint="eastAsia"/>
          <w:kern w:val="0"/>
          <w:sz w:val="32"/>
          <w:szCs w:val="32"/>
          <w:u w:val="single"/>
          <w:lang w:val="en-US" w:eastAsia="zh-CN"/>
        </w:rPr>
        <w:t>27.2</w:t>
      </w:r>
      <w:r>
        <w:rPr>
          <w:rFonts w:ascii="FangSong_GB2312" w:hAnsi="FangSong_GB2312" w:eastAsia="FangSong_GB2312" w:cs="FangSong_GB2312"/>
          <w:kern w:val="0"/>
          <w:sz w:val="32"/>
          <w:szCs w:val="32"/>
        </w:rPr>
        <w:t>万元，支出决算</w:t>
      </w:r>
      <w:r>
        <w:rPr>
          <w:rFonts w:hint="eastAsia"/>
          <w:kern w:val="0"/>
          <w:sz w:val="32"/>
          <w:szCs w:val="32"/>
          <w:u w:val="single"/>
          <w:lang w:val="en-US" w:eastAsia="zh-CN"/>
        </w:rPr>
        <w:t>27.89</w:t>
      </w:r>
      <w:r>
        <w:rPr>
          <w:rFonts w:ascii="FangSong_GB2312" w:hAnsi="FangSong_GB2312" w:eastAsia="FangSong_GB2312" w:cs="FangSong_GB2312"/>
          <w:kern w:val="0"/>
          <w:sz w:val="32"/>
          <w:szCs w:val="32"/>
        </w:rPr>
        <w:t>万元，完成年初预算的</w:t>
      </w:r>
      <w:r>
        <w:rPr>
          <w:rFonts w:hint="eastAsia"/>
          <w:kern w:val="0"/>
          <w:sz w:val="32"/>
          <w:szCs w:val="32"/>
          <w:u w:val="single"/>
          <w:lang w:val="en-US" w:eastAsia="zh-CN"/>
        </w:rPr>
        <w:t>102</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。决算数与年初预算数的差异原因：</w:t>
      </w:r>
      <w:r>
        <w:rPr>
          <w:rFonts w:hint="eastAsia" w:ascii="FangSong_GB2312" w:hAnsi="FangSong_GB2312" w:eastAsia="FangSong_GB2312" w:cs="FangSong_GB2312"/>
          <w:kern w:val="0"/>
          <w:sz w:val="32"/>
          <w:szCs w:val="32"/>
          <w:lang w:val="en-US" w:eastAsia="zh-CN"/>
        </w:rPr>
        <w:t>本年度追加经费支出0.69万元</w:t>
      </w:r>
      <w:r>
        <w:rPr>
          <w:rFonts w:ascii="FangSong_GB2312" w:hAnsi="FangSong_GB2312" w:eastAsia="FangSong_GB2312" w:cs="FangSong_GB2312"/>
          <w:kern w:val="0"/>
          <w:sz w:val="32"/>
          <w:szCs w:val="32"/>
        </w:rPr>
        <w:t>。</w:t>
      </w:r>
    </w:p>
    <w:p w14:paraId="7A903F80">
      <w:pPr>
        <w:pStyle w:val="29"/>
        <w:widowControl/>
        <w:spacing w:before="240" w:after="240" w:line="560" w:lineRule="atLeast"/>
        <w:ind w:firstLine="643"/>
        <w:jc w:val="left"/>
        <w:rPr>
          <w:rFonts w:ascii="Times New Roman" w:hAnsi="Times New Roman" w:eastAsia="Times New Roman" w:cs="Times New Roman"/>
          <w:kern w:val="0"/>
          <w:sz w:val="24"/>
        </w:rPr>
      </w:pPr>
      <w:r>
        <w:rPr>
          <w:rFonts w:ascii="楷体" w:hAnsi="楷体" w:eastAsia="楷体" w:cs="楷体"/>
          <w:b/>
          <w:bCs/>
          <w:kern w:val="0"/>
          <w:sz w:val="32"/>
          <w:szCs w:val="32"/>
        </w:rPr>
        <w:t>（</w:t>
      </w:r>
      <w:r>
        <w:rPr>
          <w:rFonts w:hint="eastAsia" w:ascii="楷体" w:hAnsi="楷体" w:eastAsia="楷体" w:cs="楷体"/>
          <w:b/>
          <w:bCs/>
          <w:kern w:val="0"/>
          <w:sz w:val="32"/>
          <w:szCs w:val="32"/>
          <w:lang w:val="en-US" w:eastAsia="zh-CN"/>
        </w:rPr>
        <w:t>三</w:t>
      </w:r>
      <w:r>
        <w:rPr>
          <w:rFonts w:ascii="楷体" w:hAnsi="楷体" w:eastAsia="楷体" w:cs="楷体"/>
          <w:b/>
          <w:bCs/>
          <w:kern w:val="0"/>
          <w:sz w:val="32"/>
          <w:szCs w:val="32"/>
        </w:rPr>
        <w:t>）卫生健康支出（类）</w:t>
      </w:r>
    </w:p>
    <w:p w14:paraId="6F10B43B">
      <w:pPr>
        <w:pStyle w:val="29"/>
        <w:widowControl/>
        <w:spacing w:before="240" w:after="240" w:line="560" w:lineRule="atLeast"/>
        <w:ind w:firstLine="640"/>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卫生健康支出（类）决算数为</w:t>
      </w:r>
      <w:r>
        <w:rPr>
          <w:rFonts w:eastAsia="Times New Roman"/>
          <w:kern w:val="0"/>
          <w:sz w:val="32"/>
          <w:szCs w:val="32"/>
          <w:u w:val="single"/>
          <w:lang w:eastAsia="en-US"/>
        </w:rPr>
        <w:t xml:space="preserve"> 28.19</w:t>
      </w:r>
      <w:r>
        <w:rPr>
          <w:rFonts w:ascii="FangSong_GB2312" w:hAnsi="FangSong_GB2312" w:eastAsia="FangSong_GB2312" w:cs="FangSong_GB2312"/>
          <w:kern w:val="0"/>
          <w:sz w:val="32"/>
          <w:szCs w:val="32"/>
        </w:rPr>
        <w:t>万元，与年初预算相比增加</w:t>
      </w:r>
      <w:r>
        <w:rPr>
          <w:rFonts w:eastAsia="Times New Roman"/>
          <w:kern w:val="0"/>
          <w:sz w:val="32"/>
          <w:szCs w:val="32"/>
          <w:u w:val="single"/>
          <w:lang w:eastAsia="en-US"/>
        </w:rPr>
        <w:t> 0.99</w:t>
      </w:r>
      <w:r>
        <w:rPr>
          <w:rFonts w:ascii="FangSong_GB2312" w:hAnsi="FangSong_GB2312" w:eastAsia="FangSong_GB2312" w:cs="FangSong_GB2312"/>
          <w:kern w:val="0"/>
          <w:sz w:val="32"/>
          <w:szCs w:val="32"/>
        </w:rPr>
        <w:t>万元。其中：</w:t>
      </w:r>
    </w:p>
    <w:p w14:paraId="40087FBC">
      <w:pPr>
        <w:pStyle w:val="29"/>
        <w:widowControl/>
        <w:spacing w:before="240" w:after="240" w:line="560" w:lineRule="atLeast"/>
        <w:ind w:firstLine="640"/>
        <w:jc w:val="left"/>
        <w:rPr>
          <w:rFonts w:ascii="Times New Roman" w:hAnsi="Times New Roman" w:eastAsia="Times New Roman" w:cs="Times New Roman"/>
          <w:kern w:val="0"/>
          <w:sz w:val="24"/>
        </w:rPr>
      </w:pPr>
      <w:r>
        <w:rPr>
          <w:rFonts w:hint="eastAsia"/>
          <w:kern w:val="0"/>
          <w:sz w:val="32"/>
          <w:szCs w:val="32"/>
          <w:lang w:val="en-US" w:eastAsia="zh-CN"/>
        </w:rPr>
        <w:t>1</w:t>
      </w:r>
      <w:r>
        <w:rPr>
          <w:rFonts w:ascii="FangSong_GB2312" w:hAnsi="FangSong_GB2312" w:eastAsia="FangSong_GB2312" w:cs="FangSong_GB2312"/>
          <w:kern w:val="0"/>
          <w:sz w:val="32"/>
          <w:szCs w:val="32"/>
        </w:rPr>
        <w:t>．行政事业单位医疗（款）事业单位医疗（项）。年初预算</w:t>
      </w:r>
      <w:r>
        <w:rPr>
          <w:rFonts w:hint="eastAsia"/>
          <w:kern w:val="0"/>
          <w:sz w:val="32"/>
          <w:szCs w:val="32"/>
          <w:u w:val="single"/>
          <w:lang w:val="en-US" w:eastAsia="zh-CN"/>
        </w:rPr>
        <w:t>27.2</w:t>
      </w:r>
      <w:r>
        <w:rPr>
          <w:rFonts w:ascii="FangSong_GB2312" w:hAnsi="FangSong_GB2312" w:eastAsia="FangSong_GB2312" w:cs="FangSong_GB2312"/>
          <w:kern w:val="0"/>
          <w:sz w:val="32"/>
          <w:szCs w:val="32"/>
        </w:rPr>
        <w:t>万元，支出决算</w:t>
      </w:r>
      <w:r>
        <w:rPr>
          <w:rFonts w:hint="eastAsia"/>
          <w:kern w:val="0"/>
          <w:sz w:val="32"/>
          <w:szCs w:val="32"/>
          <w:u w:val="single"/>
          <w:lang w:val="en-US" w:eastAsia="zh-CN"/>
        </w:rPr>
        <w:t>28.19</w:t>
      </w:r>
      <w:r>
        <w:rPr>
          <w:rFonts w:ascii="FangSong_GB2312" w:hAnsi="FangSong_GB2312" w:eastAsia="FangSong_GB2312" w:cs="FangSong_GB2312"/>
          <w:kern w:val="0"/>
          <w:sz w:val="32"/>
          <w:szCs w:val="32"/>
        </w:rPr>
        <w:t>万元，完成年初预算的</w:t>
      </w:r>
      <w:r>
        <w:rPr>
          <w:rFonts w:hint="eastAsia"/>
          <w:kern w:val="0"/>
          <w:sz w:val="32"/>
          <w:szCs w:val="32"/>
          <w:u w:val="single"/>
          <w:lang w:val="en-US" w:eastAsia="zh-CN"/>
        </w:rPr>
        <w:t>104</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。决算数与年初预算数的差异原因：</w:t>
      </w:r>
      <w:r>
        <w:rPr>
          <w:rFonts w:hint="eastAsia" w:ascii="FangSong_GB2312" w:hAnsi="FangSong_GB2312" w:eastAsia="FangSong_GB2312" w:cs="FangSong_GB2312"/>
          <w:kern w:val="0"/>
          <w:sz w:val="32"/>
          <w:szCs w:val="32"/>
          <w:lang w:val="en-US" w:eastAsia="zh-CN"/>
        </w:rPr>
        <w:t>本年度追加经费支出0.99万元</w:t>
      </w:r>
      <w:r>
        <w:rPr>
          <w:rFonts w:ascii="FangSong_GB2312" w:hAnsi="FangSong_GB2312" w:eastAsia="FangSong_GB2312" w:cs="FangSong_GB2312"/>
          <w:kern w:val="0"/>
          <w:sz w:val="32"/>
          <w:szCs w:val="32"/>
        </w:rPr>
        <w:t>。</w:t>
      </w:r>
    </w:p>
    <w:p w14:paraId="73A305BB">
      <w:pPr>
        <w:pStyle w:val="29"/>
        <w:widowControl/>
        <w:spacing w:before="240" w:after="240" w:line="560" w:lineRule="atLeast"/>
        <w:ind w:firstLine="643"/>
        <w:jc w:val="left"/>
        <w:rPr>
          <w:rFonts w:ascii="Times New Roman" w:hAnsi="Times New Roman" w:eastAsia="Times New Roman" w:cs="Times New Roman"/>
          <w:kern w:val="0"/>
          <w:sz w:val="24"/>
        </w:rPr>
      </w:pPr>
      <w:r>
        <w:rPr>
          <w:rFonts w:ascii="楷体" w:hAnsi="楷体" w:eastAsia="楷体" w:cs="楷体"/>
          <w:b/>
          <w:bCs/>
          <w:kern w:val="0"/>
          <w:sz w:val="32"/>
          <w:szCs w:val="32"/>
        </w:rPr>
        <w:t>（</w:t>
      </w:r>
      <w:r>
        <w:rPr>
          <w:rFonts w:hint="eastAsia" w:ascii="楷体" w:hAnsi="楷体" w:eastAsia="楷体" w:cs="楷体"/>
          <w:b/>
          <w:bCs/>
          <w:kern w:val="0"/>
          <w:sz w:val="32"/>
          <w:szCs w:val="32"/>
          <w:lang w:val="en-US" w:eastAsia="zh-CN"/>
        </w:rPr>
        <w:t>四</w:t>
      </w:r>
      <w:r>
        <w:rPr>
          <w:rFonts w:ascii="楷体" w:hAnsi="楷体" w:eastAsia="楷体" w:cs="楷体"/>
          <w:b/>
          <w:bCs/>
          <w:kern w:val="0"/>
          <w:sz w:val="32"/>
          <w:szCs w:val="32"/>
        </w:rPr>
        <w:t>）住房保障支出（类）</w:t>
      </w:r>
    </w:p>
    <w:p w14:paraId="46FC85D9">
      <w:pPr>
        <w:pStyle w:val="29"/>
        <w:widowControl/>
        <w:spacing w:before="240" w:after="240" w:line="560" w:lineRule="atLeast"/>
        <w:ind w:firstLine="640"/>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住房保障支出（类）决算数为</w:t>
      </w:r>
      <w:r>
        <w:rPr>
          <w:rFonts w:eastAsia="Times New Roman"/>
          <w:kern w:val="0"/>
          <w:sz w:val="32"/>
          <w:szCs w:val="32"/>
          <w:u w:val="single"/>
          <w:lang w:eastAsia="en-US"/>
        </w:rPr>
        <w:t xml:space="preserve"> 45.03</w:t>
      </w:r>
      <w:r>
        <w:rPr>
          <w:rFonts w:ascii="FangSong_GB2312" w:hAnsi="FangSong_GB2312" w:eastAsia="FangSong_GB2312" w:cs="FangSong_GB2312"/>
          <w:kern w:val="0"/>
          <w:sz w:val="32"/>
          <w:szCs w:val="32"/>
        </w:rPr>
        <w:t>万元，与年初预算相比增加</w:t>
      </w:r>
      <w:r>
        <w:rPr>
          <w:rFonts w:eastAsia="Times New Roman"/>
          <w:kern w:val="0"/>
          <w:sz w:val="32"/>
          <w:szCs w:val="32"/>
          <w:u w:val="single"/>
          <w:lang w:eastAsia="en-US"/>
        </w:rPr>
        <w:t> 1.03</w:t>
      </w:r>
      <w:r>
        <w:rPr>
          <w:rFonts w:ascii="FangSong_GB2312" w:hAnsi="FangSong_GB2312" w:eastAsia="FangSong_GB2312" w:cs="FangSong_GB2312"/>
          <w:kern w:val="0"/>
          <w:sz w:val="32"/>
          <w:szCs w:val="32"/>
        </w:rPr>
        <w:t>万元。其中：</w:t>
      </w:r>
    </w:p>
    <w:p w14:paraId="38CAF39C">
      <w:pPr>
        <w:pStyle w:val="29"/>
        <w:widowControl/>
        <w:spacing w:before="240" w:after="240" w:line="560" w:lineRule="atLeast"/>
        <w:ind w:firstLine="640"/>
        <w:jc w:val="left"/>
        <w:rPr>
          <w:rFonts w:ascii="Times New Roman" w:hAnsi="Times New Roman" w:eastAsia="Times New Roman" w:cs="Times New Roman"/>
          <w:kern w:val="0"/>
          <w:sz w:val="24"/>
        </w:rPr>
      </w:pPr>
      <w:r>
        <w:rPr>
          <w:rFonts w:eastAsia="Times New Roman"/>
          <w:kern w:val="0"/>
          <w:sz w:val="32"/>
          <w:szCs w:val="32"/>
          <w:lang w:eastAsia="en-US"/>
        </w:rPr>
        <w:t>1</w:t>
      </w:r>
      <w:r>
        <w:rPr>
          <w:rFonts w:ascii="FangSong_GB2312" w:hAnsi="FangSong_GB2312" w:eastAsia="FangSong_GB2312" w:cs="FangSong_GB2312"/>
          <w:kern w:val="0"/>
          <w:sz w:val="32"/>
          <w:szCs w:val="32"/>
        </w:rPr>
        <w:t>．住房改革支出（款）住房公积金（项）。年初预算</w:t>
      </w:r>
      <w:r>
        <w:rPr>
          <w:rFonts w:hint="eastAsia"/>
          <w:kern w:val="0"/>
          <w:sz w:val="32"/>
          <w:szCs w:val="32"/>
          <w:u w:val="single"/>
          <w:lang w:val="en-US" w:eastAsia="zh-CN"/>
        </w:rPr>
        <w:t>44</w:t>
      </w:r>
      <w:r>
        <w:rPr>
          <w:rFonts w:ascii="FangSong_GB2312" w:hAnsi="FangSong_GB2312" w:eastAsia="FangSong_GB2312" w:cs="FangSong_GB2312"/>
          <w:kern w:val="0"/>
          <w:sz w:val="32"/>
          <w:szCs w:val="32"/>
        </w:rPr>
        <w:t>万元，支出决算</w:t>
      </w:r>
      <w:r>
        <w:rPr>
          <w:rFonts w:hint="eastAsia"/>
          <w:kern w:val="0"/>
          <w:sz w:val="32"/>
          <w:szCs w:val="32"/>
          <w:u w:val="single"/>
          <w:lang w:val="en-US" w:eastAsia="zh-CN"/>
        </w:rPr>
        <w:t>45.03</w:t>
      </w:r>
      <w:r>
        <w:rPr>
          <w:rFonts w:ascii="FangSong_GB2312" w:hAnsi="FangSong_GB2312" w:eastAsia="FangSong_GB2312" w:cs="FangSong_GB2312"/>
          <w:kern w:val="0"/>
          <w:sz w:val="32"/>
          <w:szCs w:val="32"/>
        </w:rPr>
        <w:t>万元，完成年初预算的</w:t>
      </w:r>
      <w:r>
        <w:rPr>
          <w:rFonts w:hint="eastAsia"/>
          <w:kern w:val="0"/>
          <w:sz w:val="32"/>
          <w:szCs w:val="32"/>
          <w:u w:val="single"/>
          <w:lang w:val="en-US" w:eastAsia="zh-CN"/>
        </w:rPr>
        <w:t>102</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。决算数与年初预算数的差异原因：</w:t>
      </w:r>
      <w:r>
        <w:rPr>
          <w:rFonts w:hint="eastAsia" w:ascii="FangSong_GB2312" w:hAnsi="FangSong_GB2312" w:eastAsia="FangSong_GB2312" w:cs="FangSong_GB2312"/>
          <w:kern w:val="0"/>
          <w:sz w:val="32"/>
          <w:szCs w:val="32"/>
          <w:lang w:val="en-US" w:eastAsia="zh-CN"/>
        </w:rPr>
        <w:t>本年度追加经费支出1.03万元</w:t>
      </w:r>
      <w:r>
        <w:rPr>
          <w:rFonts w:ascii="FangSong_GB2312" w:hAnsi="FangSong_GB2312" w:eastAsia="FangSong_GB2312" w:cs="FangSong_GB2312"/>
          <w:kern w:val="0"/>
          <w:sz w:val="32"/>
          <w:szCs w:val="32"/>
        </w:rPr>
        <w:t>。</w:t>
      </w:r>
    </w:p>
    <w:p w14:paraId="6CAD8C8E">
      <w:pPr>
        <w:pStyle w:val="29"/>
        <w:widowControl/>
        <w:spacing w:before="240" w:after="240" w:line="600" w:lineRule="atLeast"/>
        <w:ind w:firstLine="643"/>
        <w:jc w:val="left"/>
        <w:rPr>
          <w:rFonts w:ascii="Times New Roman" w:hAnsi="Times New Roman" w:eastAsia="Times New Roman" w:cs="Times New Roman"/>
          <w:kern w:val="0"/>
          <w:sz w:val="24"/>
        </w:rPr>
      </w:pPr>
      <w:r>
        <w:rPr>
          <w:rFonts w:ascii="黑体" w:hAnsi="黑体" w:eastAsia="黑体" w:cs="黑体"/>
          <w:b/>
          <w:bCs/>
          <w:kern w:val="0"/>
          <w:sz w:val="32"/>
          <w:szCs w:val="32"/>
        </w:rPr>
        <w:t>六、一般公共预算财政拨款基本支出决算情况说明</w:t>
      </w:r>
    </w:p>
    <w:p w14:paraId="488F2666">
      <w:pPr>
        <w:pStyle w:val="29"/>
        <w:widowControl/>
        <w:spacing w:before="240" w:after="240" w:line="560" w:lineRule="atLeast"/>
        <w:ind w:firstLine="640"/>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内蒙古自治区特种设备检验研究院鄂尔多斯分院</w:t>
      </w:r>
      <w:r>
        <w:rPr>
          <w:rFonts w:ascii="Times New Roman" w:hAnsi="Times New Roman" w:eastAsia="Times New Roman" w:cs="Times New Roman"/>
          <w:kern w:val="0"/>
          <w:sz w:val="24"/>
        </w:rPr>
        <w:t xml:space="preserve"> </w:t>
      </w:r>
      <w:r>
        <w:rPr>
          <w:rFonts w:eastAsia="Times New Roman"/>
          <w:kern w:val="0"/>
          <w:sz w:val="32"/>
          <w:szCs w:val="32"/>
          <w:lang w:eastAsia="en-US"/>
        </w:rPr>
        <w:t>2025</w:t>
      </w:r>
      <w:r>
        <w:rPr>
          <w:rFonts w:ascii="FangSong_GB2312" w:hAnsi="FangSong_GB2312" w:eastAsia="FangSong_GB2312" w:cs="FangSong_GB2312"/>
          <w:kern w:val="0"/>
          <w:sz w:val="32"/>
          <w:szCs w:val="32"/>
        </w:rPr>
        <w:t>年度一般公共预算财政拨款基本支出决算</w:t>
      </w:r>
      <w:r>
        <w:rPr>
          <w:rFonts w:eastAsia="Times New Roman"/>
          <w:kern w:val="0"/>
          <w:sz w:val="32"/>
          <w:szCs w:val="32"/>
          <w:u w:val="single"/>
          <w:lang w:eastAsia="en-US"/>
        </w:rPr>
        <w:t xml:space="preserve"> 2198.58</w:t>
      </w:r>
      <w:r>
        <w:rPr>
          <w:rFonts w:ascii="FangSong_GB2312" w:hAnsi="FangSong_GB2312" w:eastAsia="FangSong_GB2312" w:cs="FangSong_GB2312"/>
          <w:kern w:val="0"/>
          <w:sz w:val="32"/>
          <w:szCs w:val="32"/>
        </w:rPr>
        <w:t>万元，其中：</w:t>
      </w:r>
    </w:p>
    <w:p w14:paraId="77270853">
      <w:pPr>
        <w:pStyle w:val="29"/>
        <w:widowControl/>
        <w:spacing w:before="240" w:after="240" w:line="560" w:lineRule="atLeast"/>
        <w:ind w:firstLine="640"/>
        <w:jc w:val="left"/>
        <w:rPr>
          <w:rFonts w:ascii="Times New Roman" w:hAnsi="Times New Roman" w:eastAsia="Times New Roman" w:cs="Times New Roman"/>
          <w:kern w:val="0"/>
          <w:sz w:val="24"/>
        </w:rPr>
      </w:pPr>
      <w:r>
        <w:rPr>
          <w:rFonts w:ascii="楷体" w:hAnsi="楷体" w:eastAsia="楷体" w:cs="楷体"/>
          <w:b/>
          <w:bCs/>
          <w:kern w:val="0"/>
          <w:sz w:val="32"/>
          <w:szCs w:val="32"/>
        </w:rPr>
        <w:t>（一）人员经费</w:t>
      </w:r>
      <w:r>
        <w:rPr>
          <w:rFonts w:eastAsia="Times New Roman"/>
          <w:kern w:val="0"/>
          <w:sz w:val="32"/>
          <w:szCs w:val="32"/>
          <w:u w:val="single"/>
          <w:lang w:eastAsia="en-US"/>
        </w:rPr>
        <w:t xml:space="preserve"> 2198.09</w:t>
      </w:r>
      <w:r>
        <w:rPr>
          <w:rFonts w:ascii="楷体" w:hAnsi="楷体" w:eastAsia="楷体" w:cs="楷体"/>
          <w:b/>
          <w:bCs/>
          <w:kern w:val="0"/>
          <w:sz w:val="32"/>
          <w:szCs w:val="32"/>
        </w:rPr>
        <w:t>万元。</w:t>
      </w:r>
      <w:r>
        <w:rPr>
          <w:rFonts w:ascii="FangSong_GB2312" w:hAnsi="FangSong_GB2312" w:eastAsia="FangSong_GB2312" w:cs="FangSong_GB2312"/>
          <w:kern w:val="0"/>
          <w:sz w:val="32"/>
          <w:szCs w:val="32"/>
        </w:rPr>
        <w:t>主要包括：基本工资</w:t>
      </w:r>
      <w:r>
        <w:rPr>
          <w:rFonts w:hint="eastAsia" w:ascii="FangSong_GB2312" w:hAnsi="FangSong_GB2312" w:eastAsia="FangSong_GB2312" w:cs="FangSong_GB2312"/>
          <w:kern w:val="0"/>
          <w:sz w:val="32"/>
          <w:szCs w:val="32"/>
          <w:lang w:val="en-US" w:eastAsia="zh-CN"/>
        </w:rPr>
        <w:t>218.14万元</w:t>
      </w:r>
      <w:r>
        <w:rPr>
          <w:rFonts w:ascii="FangSong_GB2312" w:hAnsi="FangSong_GB2312" w:eastAsia="FangSong_GB2312" w:cs="FangSong_GB2312"/>
          <w:kern w:val="0"/>
          <w:sz w:val="32"/>
          <w:szCs w:val="32"/>
        </w:rPr>
        <w:t>、津贴补贴</w:t>
      </w:r>
      <w:r>
        <w:rPr>
          <w:rFonts w:hint="eastAsia" w:ascii="FangSong_GB2312" w:hAnsi="FangSong_GB2312" w:eastAsia="FangSong_GB2312" w:cs="FangSong_GB2312"/>
          <w:kern w:val="0"/>
          <w:sz w:val="32"/>
          <w:szCs w:val="32"/>
          <w:lang w:val="en-US" w:eastAsia="zh-CN"/>
        </w:rPr>
        <w:t>57.5万元</w:t>
      </w:r>
      <w:r>
        <w:rPr>
          <w:rFonts w:ascii="FangSong_GB2312" w:hAnsi="FangSong_GB2312" w:eastAsia="FangSong_GB2312" w:cs="FangSong_GB2312"/>
          <w:kern w:val="0"/>
          <w:sz w:val="32"/>
          <w:szCs w:val="32"/>
        </w:rPr>
        <w:t>、奖金</w:t>
      </w:r>
      <w:r>
        <w:rPr>
          <w:rFonts w:hint="eastAsia" w:ascii="FangSong_GB2312" w:hAnsi="FangSong_GB2312" w:eastAsia="FangSong_GB2312" w:cs="FangSong_GB2312"/>
          <w:kern w:val="0"/>
          <w:sz w:val="32"/>
          <w:szCs w:val="32"/>
          <w:lang w:val="en-US" w:eastAsia="zh-CN"/>
        </w:rPr>
        <w:t>40.8万元</w:t>
      </w:r>
      <w:r>
        <w:rPr>
          <w:rFonts w:ascii="FangSong_GB2312" w:hAnsi="FangSong_GB2312" w:eastAsia="FangSong_GB2312" w:cs="FangSong_GB2312"/>
          <w:kern w:val="0"/>
          <w:sz w:val="32"/>
          <w:szCs w:val="32"/>
        </w:rPr>
        <w:t>、绩效工资</w:t>
      </w:r>
      <w:r>
        <w:rPr>
          <w:rFonts w:hint="eastAsia" w:ascii="FangSong_GB2312" w:hAnsi="FangSong_GB2312" w:eastAsia="FangSong_GB2312" w:cs="FangSong_GB2312"/>
          <w:kern w:val="0"/>
          <w:sz w:val="32"/>
          <w:szCs w:val="32"/>
          <w:lang w:val="en-US" w:eastAsia="zh-CN"/>
        </w:rPr>
        <w:t>136.9万元</w:t>
      </w:r>
      <w:r>
        <w:rPr>
          <w:rFonts w:ascii="FangSong_GB2312" w:hAnsi="FangSong_GB2312" w:eastAsia="FangSong_GB2312" w:cs="FangSong_GB2312"/>
          <w:kern w:val="0"/>
          <w:sz w:val="32"/>
          <w:szCs w:val="32"/>
        </w:rPr>
        <w:t>、机关事业单位基本养老保险缴费</w:t>
      </w:r>
      <w:r>
        <w:rPr>
          <w:rFonts w:hint="eastAsia" w:ascii="FangSong_GB2312" w:hAnsi="FangSong_GB2312" w:eastAsia="FangSong_GB2312" w:cs="FangSong_GB2312"/>
          <w:kern w:val="0"/>
          <w:sz w:val="32"/>
          <w:szCs w:val="32"/>
          <w:lang w:val="en-US" w:eastAsia="zh-CN"/>
        </w:rPr>
        <w:t>55.38万元</w:t>
      </w:r>
      <w:r>
        <w:rPr>
          <w:rFonts w:ascii="FangSong_GB2312" w:hAnsi="FangSong_GB2312" w:eastAsia="FangSong_GB2312" w:cs="FangSong_GB2312"/>
          <w:kern w:val="0"/>
          <w:sz w:val="32"/>
          <w:szCs w:val="32"/>
        </w:rPr>
        <w:t>、职业年金缴费</w:t>
      </w:r>
      <w:r>
        <w:rPr>
          <w:rFonts w:hint="eastAsia" w:ascii="FangSong_GB2312" w:hAnsi="FangSong_GB2312" w:eastAsia="FangSong_GB2312" w:cs="FangSong_GB2312"/>
          <w:kern w:val="0"/>
          <w:sz w:val="32"/>
          <w:szCs w:val="32"/>
          <w:lang w:val="en-US" w:eastAsia="zh-CN"/>
        </w:rPr>
        <w:t>27.89万元</w:t>
      </w:r>
      <w:r>
        <w:rPr>
          <w:rFonts w:ascii="FangSong_GB2312" w:hAnsi="FangSong_GB2312" w:eastAsia="FangSong_GB2312" w:cs="FangSong_GB2312"/>
          <w:kern w:val="0"/>
          <w:sz w:val="32"/>
          <w:szCs w:val="32"/>
        </w:rPr>
        <w:t>、职工基本医疗保险缴费</w:t>
      </w:r>
      <w:r>
        <w:rPr>
          <w:rFonts w:hint="eastAsia" w:ascii="FangSong_GB2312" w:hAnsi="FangSong_GB2312" w:eastAsia="FangSong_GB2312" w:cs="FangSong_GB2312"/>
          <w:kern w:val="0"/>
          <w:sz w:val="32"/>
          <w:szCs w:val="32"/>
          <w:lang w:val="en-US" w:eastAsia="zh-CN"/>
        </w:rPr>
        <w:t>28.19万元</w:t>
      </w:r>
      <w:r>
        <w:rPr>
          <w:rFonts w:ascii="FangSong_GB2312" w:hAnsi="FangSong_GB2312" w:eastAsia="FangSong_GB2312" w:cs="FangSong_GB2312"/>
          <w:kern w:val="0"/>
          <w:sz w:val="32"/>
          <w:szCs w:val="32"/>
        </w:rPr>
        <w:t>、住房公积金</w:t>
      </w:r>
      <w:r>
        <w:rPr>
          <w:rFonts w:hint="eastAsia" w:ascii="FangSong_GB2312" w:hAnsi="FangSong_GB2312" w:eastAsia="FangSong_GB2312" w:cs="FangSong_GB2312"/>
          <w:kern w:val="0"/>
          <w:sz w:val="32"/>
          <w:szCs w:val="32"/>
          <w:lang w:val="en-US" w:eastAsia="zh-CN"/>
        </w:rPr>
        <w:t>45.03万元</w:t>
      </w:r>
      <w:r>
        <w:rPr>
          <w:rFonts w:ascii="FangSong_GB2312" w:hAnsi="FangSong_GB2312" w:eastAsia="FangSong_GB2312" w:cs="FangSong_GB2312"/>
          <w:kern w:val="0"/>
          <w:sz w:val="32"/>
          <w:szCs w:val="32"/>
        </w:rPr>
        <w:t>、其他工资福利支出</w:t>
      </w:r>
      <w:r>
        <w:rPr>
          <w:rFonts w:hint="eastAsia" w:ascii="FangSong_GB2312" w:hAnsi="FangSong_GB2312" w:eastAsia="FangSong_GB2312" w:cs="FangSong_GB2312"/>
          <w:kern w:val="0"/>
          <w:sz w:val="32"/>
          <w:szCs w:val="32"/>
          <w:lang w:val="en-US" w:eastAsia="zh-CN"/>
        </w:rPr>
        <w:t>1574万元</w:t>
      </w:r>
      <w:r>
        <w:rPr>
          <w:rFonts w:ascii="FangSong_GB2312" w:hAnsi="FangSong_GB2312" w:eastAsia="FangSong_GB2312" w:cs="FangSong_GB2312"/>
          <w:kern w:val="0"/>
          <w:sz w:val="32"/>
          <w:szCs w:val="32"/>
        </w:rPr>
        <w:t>、退休费</w:t>
      </w:r>
      <w:r>
        <w:rPr>
          <w:rFonts w:hint="eastAsia" w:ascii="FangSong_GB2312" w:hAnsi="FangSong_GB2312" w:eastAsia="FangSong_GB2312" w:cs="FangSong_GB2312"/>
          <w:kern w:val="0"/>
          <w:sz w:val="32"/>
          <w:szCs w:val="32"/>
          <w:lang w:val="en-US" w:eastAsia="zh-CN"/>
        </w:rPr>
        <w:t>14.26万元</w:t>
      </w:r>
      <w:r>
        <w:rPr>
          <w:rFonts w:ascii="FangSong_GB2312" w:hAnsi="FangSong_GB2312" w:eastAsia="FangSong_GB2312" w:cs="FangSong_GB2312"/>
          <w:kern w:val="0"/>
          <w:sz w:val="32"/>
          <w:szCs w:val="32"/>
        </w:rPr>
        <w:t>。</w:t>
      </w:r>
    </w:p>
    <w:p w14:paraId="507D1FD5">
      <w:pPr>
        <w:pStyle w:val="29"/>
        <w:widowControl/>
        <w:spacing w:before="240" w:after="240" w:line="560" w:lineRule="atLeast"/>
        <w:ind w:firstLine="640"/>
        <w:jc w:val="left"/>
        <w:rPr>
          <w:rFonts w:ascii="Times New Roman" w:hAnsi="Times New Roman" w:eastAsia="Times New Roman" w:cs="Times New Roman"/>
          <w:kern w:val="0"/>
          <w:sz w:val="24"/>
        </w:rPr>
      </w:pPr>
      <w:r>
        <w:rPr>
          <w:rFonts w:ascii="FangSong_GB2312" w:hAnsi="FangSong_GB2312" w:eastAsia="FangSong_GB2312" w:cs="FangSong_GB2312"/>
          <w:b/>
          <w:bCs/>
          <w:kern w:val="0"/>
          <w:sz w:val="32"/>
          <w:szCs w:val="32"/>
        </w:rPr>
        <w:t>（二）公用经费</w:t>
      </w:r>
      <w:r>
        <w:rPr>
          <w:rFonts w:eastAsia="Times New Roman"/>
          <w:kern w:val="0"/>
          <w:sz w:val="32"/>
          <w:szCs w:val="32"/>
          <w:u w:val="single"/>
          <w:lang w:eastAsia="en-US"/>
        </w:rPr>
        <w:t xml:space="preserve"> 0.49</w:t>
      </w:r>
      <w:r>
        <w:rPr>
          <w:rFonts w:ascii="FangSong_GB2312" w:hAnsi="FangSong_GB2312" w:eastAsia="FangSong_GB2312" w:cs="FangSong_GB2312"/>
          <w:b/>
          <w:bCs/>
          <w:kern w:val="0"/>
          <w:sz w:val="32"/>
          <w:szCs w:val="32"/>
        </w:rPr>
        <w:t>万元。</w:t>
      </w:r>
      <w:r>
        <w:rPr>
          <w:rFonts w:ascii="FangSong_GB2312" w:hAnsi="FangSong_GB2312" w:eastAsia="FangSong_GB2312" w:cs="FangSong_GB2312"/>
          <w:kern w:val="0"/>
          <w:sz w:val="32"/>
          <w:szCs w:val="32"/>
        </w:rPr>
        <w:t>主要包括：其他商品和服务支出</w:t>
      </w:r>
      <w:r>
        <w:rPr>
          <w:rFonts w:hint="eastAsia" w:ascii="FangSong_GB2312" w:hAnsi="FangSong_GB2312" w:eastAsia="FangSong_GB2312" w:cs="FangSong_GB2312"/>
          <w:kern w:val="0"/>
          <w:sz w:val="32"/>
          <w:szCs w:val="32"/>
          <w:lang w:val="en-US" w:eastAsia="zh-CN"/>
        </w:rPr>
        <w:t>0.49万元</w:t>
      </w:r>
      <w:r>
        <w:rPr>
          <w:rFonts w:ascii="FangSong_GB2312" w:hAnsi="FangSong_GB2312" w:eastAsia="FangSong_GB2312" w:cs="FangSong_GB2312"/>
          <w:kern w:val="0"/>
          <w:sz w:val="32"/>
          <w:szCs w:val="32"/>
        </w:rPr>
        <w:t>。</w:t>
      </w:r>
    </w:p>
    <w:p w14:paraId="7830E9B1">
      <w:pPr>
        <w:pStyle w:val="29"/>
        <w:widowControl/>
        <w:spacing w:before="240" w:after="240" w:line="600" w:lineRule="atLeast"/>
        <w:ind w:firstLine="643"/>
        <w:jc w:val="left"/>
        <w:rPr>
          <w:rFonts w:ascii="Times New Roman" w:hAnsi="Times New Roman" w:eastAsia="Times New Roman" w:cs="Times New Roman"/>
          <w:kern w:val="0"/>
          <w:sz w:val="24"/>
        </w:rPr>
      </w:pPr>
      <w:r>
        <w:rPr>
          <w:rFonts w:ascii="黑体" w:hAnsi="黑体" w:eastAsia="黑体" w:cs="黑体"/>
          <w:b/>
          <w:bCs/>
          <w:kern w:val="0"/>
          <w:sz w:val="32"/>
          <w:szCs w:val="32"/>
        </w:rPr>
        <w:t>七、一般公共预算财政拨款项目支出决算情况说明</w:t>
      </w:r>
    </w:p>
    <w:p w14:paraId="68CD5376">
      <w:pPr>
        <w:pStyle w:val="29"/>
        <w:widowControl/>
        <w:spacing w:before="240" w:after="240" w:line="560" w:lineRule="atLeast"/>
        <w:ind w:firstLine="640"/>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内蒙古自治区特种设备检验研究院鄂尔多斯分院</w:t>
      </w:r>
      <w:r>
        <w:rPr>
          <w:rFonts w:ascii="Times New Roman" w:hAnsi="Times New Roman" w:eastAsia="Times New Roman" w:cs="Times New Roman"/>
          <w:kern w:val="0"/>
          <w:sz w:val="24"/>
        </w:rPr>
        <w:t xml:space="preserve"> </w:t>
      </w:r>
      <w:r>
        <w:rPr>
          <w:rFonts w:eastAsia="Times New Roman"/>
          <w:kern w:val="0"/>
          <w:sz w:val="32"/>
          <w:szCs w:val="32"/>
          <w:lang w:eastAsia="en-US"/>
        </w:rPr>
        <w:t>2025</w:t>
      </w:r>
      <w:r>
        <w:rPr>
          <w:rFonts w:ascii="FangSong_GB2312" w:hAnsi="FangSong_GB2312" w:eastAsia="FangSong_GB2312" w:cs="FangSong_GB2312"/>
          <w:kern w:val="0"/>
          <w:sz w:val="32"/>
          <w:szCs w:val="32"/>
        </w:rPr>
        <w:t>年度一般公共预算财政拨款项目支出决算</w:t>
      </w:r>
      <w:r>
        <w:rPr>
          <w:rFonts w:eastAsia="Times New Roman"/>
          <w:kern w:val="0"/>
          <w:sz w:val="32"/>
          <w:szCs w:val="32"/>
          <w:u w:val="single"/>
          <w:lang w:eastAsia="en-US"/>
        </w:rPr>
        <w:t xml:space="preserve"> 2081.22</w:t>
      </w:r>
      <w:r>
        <w:rPr>
          <w:rFonts w:ascii="FangSong_GB2312" w:hAnsi="FangSong_GB2312" w:eastAsia="FangSong_GB2312" w:cs="FangSong_GB2312"/>
          <w:kern w:val="0"/>
          <w:sz w:val="32"/>
          <w:szCs w:val="32"/>
        </w:rPr>
        <w:t>万元，其中：</w:t>
      </w:r>
    </w:p>
    <w:p w14:paraId="044BBB57">
      <w:pPr>
        <w:pStyle w:val="29"/>
        <w:widowControl/>
        <w:spacing w:before="240" w:after="240" w:line="560" w:lineRule="atLeast"/>
        <w:ind w:firstLine="640"/>
        <w:jc w:val="left"/>
        <w:rPr>
          <w:rFonts w:ascii="Times New Roman" w:hAnsi="Times New Roman" w:eastAsia="Times New Roman" w:cs="Times New Roman"/>
          <w:kern w:val="0"/>
          <w:sz w:val="24"/>
        </w:rPr>
      </w:pPr>
      <w:r>
        <w:rPr>
          <w:rFonts w:ascii="FangSong_GB2312" w:hAnsi="FangSong_GB2312" w:eastAsia="FangSong_GB2312" w:cs="FangSong_GB2312"/>
          <w:b/>
          <w:bCs/>
          <w:kern w:val="0"/>
          <w:sz w:val="32"/>
          <w:szCs w:val="32"/>
        </w:rPr>
        <w:t>（</w:t>
      </w:r>
      <w:r>
        <w:rPr>
          <w:rFonts w:hint="eastAsia" w:ascii="FangSong_GB2312" w:hAnsi="FangSong_GB2312" w:eastAsia="FangSong_GB2312" w:cs="FangSong_GB2312"/>
          <w:b/>
          <w:bCs/>
          <w:kern w:val="0"/>
          <w:sz w:val="32"/>
          <w:szCs w:val="32"/>
          <w:lang w:val="en-US" w:eastAsia="zh-CN"/>
        </w:rPr>
        <w:t>一</w:t>
      </w:r>
      <w:r>
        <w:rPr>
          <w:rFonts w:ascii="FangSong_GB2312" w:hAnsi="FangSong_GB2312" w:eastAsia="FangSong_GB2312" w:cs="FangSong_GB2312"/>
          <w:b/>
          <w:bCs/>
          <w:kern w:val="0"/>
          <w:sz w:val="32"/>
          <w:szCs w:val="32"/>
        </w:rPr>
        <w:t>）商品和服务支出</w:t>
      </w:r>
      <w:r>
        <w:rPr>
          <w:rFonts w:eastAsia="Times New Roman"/>
          <w:kern w:val="0"/>
          <w:sz w:val="32"/>
          <w:szCs w:val="32"/>
          <w:u w:val="single"/>
          <w:lang w:eastAsia="en-US"/>
        </w:rPr>
        <w:t xml:space="preserve"> 1281.75</w:t>
      </w:r>
      <w:r>
        <w:rPr>
          <w:rFonts w:ascii="FangSong_GB2312" w:hAnsi="FangSong_GB2312" w:eastAsia="FangSong_GB2312" w:cs="FangSong_GB2312"/>
          <w:b/>
          <w:bCs/>
          <w:kern w:val="0"/>
          <w:sz w:val="32"/>
          <w:szCs w:val="32"/>
        </w:rPr>
        <w:t>万元。</w:t>
      </w:r>
      <w:r>
        <w:rPr>
          <w:rFonts w:ascii="FangSong_GB2312" w:hAnsi="FangSong_GB2312" w:eastAsia="FangSong_GB2312" w:cs="FangSong_GB2312"/>
          <w:kern w:val="0"/>
          <w:sz w:val="32"/>
          <w:szCs w:val="32"/>
        </w:rPr>
        <w:t>主要包括：办公费</w:t>
      </w:r>
      <w:r>
        <w:rPr>
          <w:rFonts w:hint="eastAsia" w:ascii="FangSong_GB2312" w:hAnsi="FangSong_GB2312" w:eastAsia="FangSong_GB2312" w:cs="FangSong_GB2312"/>
          <w:kern w:val="0"/>
          <w:sz w:val="32"/>
          <w:szCs w:val="32"/>
          <w:lang w:val="en-US" w:eastAsia="zh-CN"/>
        </w:rPr>
        <w:t>61.75万元</w:t>
      </w:r>
      <w:r>
        <w:rPr>
          <w:rFonts w:ascii="FangSong_GB2312" w:hAnsi="FangSong_GB2312" w:eastAsia="FangSong_GB2312" w:cs="FangSong_GB2312"/>
          <w:kern w:val="0"/>
          <w:sz w:val="32"/>
          <w:szCs w:val="32"/>
        </w:rPr>
        <w:t>、印刷费</w:t>
      </w:r>
      <w:r>
        <w:rPr>
          <w:rFonts w:hint="eastAsia" w:ascii="FangSong_GB2312" w:hAnsi="FangSong_GB2312" w:eastAsia="FangSong_GB2312" w:cs="FangSong_GB2312"/>
          <w:kern w:val="0"/>
          <w:sz w:val="32"/>
          <w:szCs w:val="32"/>
          <w:lang w:val="en-US" w:eastAsia="zh-CN"/>
        </w:rPr>
        <w:t>9.86万元</w:t>
      </w:r>
      <w:r>
        <w:rPr>
          <w:rFonts w:ascii="FangSong_GB2312" w:hAnsi="FangSong_GB2312" w:eastAsia="FangSong_GB2312" w:cs="FangSong_GB2312"/>
          <w:kern w:val="0"/>
          <w:sz w:val="32"/>
          <w:szCs w:val="32"/>
        </w:rPr>
        <w:t>、手续费</w:t>
      </w:r>
      <w:r>
        <w:rPr>
          <w:rFonts w:hint="eastAsia" w:ascii="FangSong_GB2312" w:hAnsi="FangSong_GB2312" w:eastAsia="FangSong_GB2312" w:cs="FangSong_GB2312"/>
          <w:kern w:val="0"/>
          <w:sz w:val="32"/>
          <w:szCs w:val="32"/>
          <w:lang w:val="en-US" w:eastAsia="zh-CN"/>
        </w:rPr>
        <w:t>1万元</w:t>
      </w:r>
      <w:r>
        <w:rPr>
          <w:rFonts w:ascii="FangSong_GB2312" w:hAnsi="FangSong_GB2312" w:eastAsia="FangSong_GB2312" w:cs="FangSong_GB2312"/>
          <w:kern w:val="0"/>
          <w:sz w:val="32"/>
          <w:szCs w:val="32"/>
        </w:rPr>
        <w:t>、水费</w:t>
      </w:r>
      <w:r>
        <w:rPr>
          <w:rFonts w:hint="eastAsia" w:ascii="FangSong_GB2312" w:hAnsi="FangSong_GB2312" w:eastAsia="FangSong_GB2312" w:cs="FangSong_GB2312"/>
          <w:kern w:val="0"/>
          <w:sz w:val="32"/>
          <w:szCs w:val="32"/>
          <w:lang w:val="en-US" w:eastAsia="zh-CN"/>
        </w:rPr>
        <w:t>12万元</w:t>
      </w:r>
      <w:r>
        <w:rPr>
          <w:rFonts w:ascii="FangSong_GB2312" w:hAnsi="FangSong_GB2312" w:eastAsia="FangSong_GB2312" w:cs="FangSong_GB2312"/>
          <w:kern w:val="0"/>
          <w:sz w:val="32"/>
          <w:szCs w:val="32"/>
        </w:rPr>
        <w:t>、电费</w:t>
      </w:r>
      <w:r>
        <w:rPr>
          <w:rFonts w:hint="eastAsia" w:ascii="FangSong_GB2312" w:hAnsi="FangSong_GB2312" w:eastAsia="FangSong_GB2312" w:cs="FangSong_GB2312"/>
          <w:kern w:val="0"/>
          <w:sz w:val="32"/>
          <w:szCs w:val="32"/>
          <w:lang w:val="en-US" w:eastAsia="zh-CN"/>
        </w:rPr>
        <w:t>22万元</w:t>
      </w:r>
      <w:r>
        <w:rPr>
          <w:rFonts w:ascii="FangSong_GB2312" w:hAnsi="FangSong_GB2312" w:eastAsia="FangSong_GB2312" w:cs="FangSong_GB2312"/>
          <w:kern w:val="0"/>
          <w:sz w:val="32"/>
          <w:szCs w:val="32"/>
        </w:rPr>
        <w:t>、邮电费</w:t>
      </w:r>
      <w:r>
        <w:rPr>
          <w:rFonts w:hint="eastAsia" w:ascii="FangSong_GB2312" w:hAnsi="FangSong_GB2312" w:eastAsia="FangSong_GB2312" w:cs="FangSong_GB2312"/>
          <w:kern w:val="0"/>
          <w:sz w:val="32"/>
          <w:szCs w:val="32"/>
          <w:lang w:val="en-US" w:eastAsia="zh-CN"/>
        </w:rPr>
        <w:t>15.48万元</w:t>
      </w:r>
      <w:r>
        <w:rPr>
          <w:rFonts w:ascii="FangSong_GB2312" w:hAnsi="FangSong_GB2312" w:eastAsia="FangSong_GB2312" w:cs="FangSong_GB2312"/>
          <w:kern w:val="0"/>
          <w:sz w:val="32"/>
          <w:szCs w:val="32"/>
        </w:rPr>
        <w:t>、取暖费</w:t>
      </w:r>
      <w:r>
        <w:rPr>
          <w:rFonts w:hint="eastAsia" w:ascii="FangSong_GB2312" w:hAnsi="FangSong_GB2312" w:eastAsia="FangSong_GB2312" w:cs="FangSong_GB2312"/>
          <w:kern w:val="0"/>
          <w:sz w:val="32"/>
          <w:szCs w:val="32"/>
          <w:lang w:val="en-US" w:eastAsia="zh-CN"/>
        </w:rPr>
        <w:t>85万元</w:t>
      </w:r>
      <w:r>
        <w:rPr>
          <w:rFonts w:ascii="FangSong_GB2312" w:hAnsi="FangSong_GB2312" w:eastAsia="FangSong_GB2312" w:cs="FangSong_GB2312"/>
          <w:kern w:val="0"/>
          <w:sz w:val="32"/>
          <w:szCs w:val="32"/>
        </w:rPr>
        <w:t>、物业管理费</w:t>
      </w:r>
      <w:r>
        <w:rPr>
          <w:rFonts w:hint="eastAsia" w:ascii="FangSong_GB2312" w:hAnsi="FangSong_GB2312" w:eastAsia="FangSong_GB2312" w:cs="FangSong_GB2312"/>
          <w:kern w:val="0"/>
          <w:sz w:val="32"/>
          <w:szCs w:val="32"/>
          <w:lang w:val="en-US" w:eastAsia="zh-CN"/>
        </w:rPr>
        <w:t>24.96万元</w:t>
      </w:r>
      <w:r>
        <w:rPr>
          <w:rFonts w:ascii="FangSong_GB2312" w:hAnsi="FangSong_GB2312" w:eastAsia="FangSong_GB2312" w:cs="FangSong_GB2312"/>
          <w:kern w:val="0"/>
          <w:sz w:val="32"/>
          <w:szCs w:val="32"/>
        </w:rPr>
        <w:t>、差旅费</w:t>
      </w:r>
      <w:r>
        <w:rPr>
          <w:rFonts w:hint="eastAsia" w:ascii="FangSong_GB2312" w:hAnsi="FangSong_GB2312" w:eastAsia="FangSong_GB2312" w:cs="FangSong_GB2312"/>
          <w:kern w:val="0"/>
          <w:sz w:val="32"/>
          <w:szCs w:val="32"/>
          <w:lang w:val="en-US" w:eastAsia="zh-CN"/>
        </w:rPr>
        <w:t>472.39万元</w:t>
      </w:r>
      <w:r>
        <w:rPr>
          <w:rFonts w:ascii="FangSong_GB2312" w:hAnsi="FangSong_GB2312" w:eastAsia="FangSong_GB2312" w:cs="FangSong_GB2312"/>
          <w:kern w:val="0"/>
          <w:sz w:val="32"/>
          <w:szCs w:val="32"/>
        </w:rPr>
        <w:t>、维修（护）费</w:t>
      </w:r>
      <w:r>
        <w:rPr>
          <w:rFonts w:hint="eastAsia" w:ascii="FangSong_GB2312" w:hAnsi="FangSong_GB2312" w:eastAsia="FangSong_GB2312" w:cs="FangSong_GB2312"/>
          <w:kern w:val="0"/>
          <w:sz w:val="32"/>
          <w:szCs w:val="32"/>
          <w:lang w:val="en-US" w:eastAsia="zh-CN"/>
        </w:rPr>
        <w:t>59.16万元</w:t>
      </w:r>
      <w:r>
        <w:rPr>
          <w:rFonts w:ascii="FangSong_GB2312" w:hAnsi="FangSong_GB2312" w:eastAsia="FangSong_GB2312" w:cs="FangSong_GB2312"/>
          <w:kern w:val="0"/>
          <w:sz w:val="32"/>
          <w:szCs w:val="32"/>
        </w:rPr>
        <w:t>、培训费</w:t>
      </w:r>
      <w:r>
        <w:rPr>
          <w:rFonts w:hint="eastAsia" w:ascii="FangSong_GB2312" w:hAnsi="FangSong_GB2312" w:eastAsia="FangSong_GB2312" w:cs="FangSong_GB2312"/>
          <w:kern w:val="0"/>
          <w:sz w:val="32"/>
          <w:szCs w:val="32"/>
          <w:lang w:val="en-US" w:eastAsia="zh-CN"/>
        </w:rPr>
        <w:t>12万元</w:t>
      </w:r>
      <w:r>
        <w:rPr>
          <w:rFonts w:ascii="FangSong_GB2312" w:hAnsi="FangSong_GB2312" w:eastAsia="FangSong_GB2312" w:cs="FangSong_GB2312"/>
          <w:kern w:val="0"/>
          <w:sz w:val="32"/>
          <w:szCs w:val="32"/>
        </w:rPr>
        <w:t>、公务接待费</w:t>
      </w:r>
      <w:r>
        <w:rPr>
          <w:rFonts w:hint="eastAsia" w:ascii="FangSong_GB2312" w:hAnsi="FangSong_GB2312" w:eastAsia="FangSong_GB2312" w:cs="FangSong_GB2312"/>
          <w:kern w:val="0"/>
          <w:sz w:val="32"/>
          <w:szCs w:val="32"/>
          <w:lang w:val="en-US" w:eastAsia="zh-CN"/>
        </w:rPr>
        <w:t>0.33</w:t>
      </w:r>
      <w:r>
        <w:rPr>
          <w:rFonts w:ascii="FangSong_GB2312" w:hAnsi="FangSong_GB2312" w:eastAsia="FangSong_GB2312" w:cs="FangSong_GB2312"/>
          <w:kern w:val="0"/>
          <w:sz w:val="32"/>
          <w:szCs w:val="32"/>
        </w:rPr>
        <w:t>、专用材料费</w:t>
      </w:r>
      <w:r>
        <w:rPr>
          <w:rFonts w:hint="eastAsia" w:ascii="FangSong_GB2312" w:hAnsi="FangSong_GB2312" w:eastAsia="FangSong_GB2312" w:cs="FangSong_GB2312"/>
          <w:kern w:val="0"/>
          <w:sz w:val="32"/>
          <w:szCs w:val="32"/>
          <w:lang w:val="en-US" w:eastAsia="zh-CN"/>
        </w:rPr>
        <w:t>71万元</w:t>
      </w:r>
      <w:r>
        <w:rPr>
          <w:rFonts w:ascii="FangSong_GB2312" w:hAnsi="FangSong_GB2312" w:eastAsia="FangSong_GB2312" w:cs="FangSong_GB2312"/>
          <w:kern w:val="0"/>
          <w:sz w:val="32"/>
          <w:szCs w:val="32"/>
        </w:rPr>
        <w:t>、劳务费</w:t>
      </w:r>
      <w:r>
        <w:rPr>
          <w:rFonts w:hint="eastAsia" w:ascii="FangSong_GB2312" w:hAnsi="FangSong_GB2312" w:eastAsia="FangSong_GB2312" w:cs="FangSong_GB2312"/>
          <w:kern w:val="0"/>
          <w:sz w:val="32"/>
          <w:szCs w:val="32"/>
          <w:lang w:val="en-US" w:eastAsia="zh-CN"/>
        </w:rPr>
        <w:t>1.09万元</w:t>
      </w:r>
      <w:r>
        <w:rPr>
          <w:rFonts w:ascii="FangSong_GB2312" w:hAnsi="FangSong_GB2312" w:eastAsia="FangSong_GB2312" w:cs="FangSong_GB2312"/>
          <w:kern w:val="0"/>
          <w:sz w:val="32"/>
          <w:szCs w:val="32"/>
        </w:rPr>
        <w:t>、委托业务费</w:t>
      </w:r>
      <w:r>
        <w:rPr>
          <w:rFonts w:hint="eastAsia" w:ascii="FangSong_GB2312" w:hAnsi="FangSong_GB2312" w:eastAsia="FangSong_GB2312" w:cs="FangSong_GB2312"/>
          <w:kern w:val="0"/>
          <w:sz w:val="32"/>
          <w:szCs w:val="32"/>
          <w:lang w:val="en-US" w:eastAsia="zh-CN"/>
        </w:rPr>
        <w:t>344.5万元</w:t>
      </w:r>
      <w:r>
        <w:rPr>
          <w:rFonts w:ascii="FangSong_GB2312" w:hAnsi="FangSong_GB2312" w:eastAsia="FangSong_GB2312" w:cs="FangSong_GB2312"/>
          <w:kern w:val="0"/>
          <w:sz w:val="32"/>
          <w:szCs w:val="32"/>
        </w:rPr>
        <w:t>、公务用车运行维护费</w:t>
      </w:r>
      <w:r>
        <w:rPr>
          <w:rFonts w:hint="eastAsia" w:ascii="FangSong_GB2312" w:hAnsi="FangSong_GB2312" w:eastAsia="FangSong_GB2312" w:cs="FangSong_GB2312"/>
          <w:kern w:val="0"/>
          <w:sz w:val="32"/>
          <w:szCs w:val="32"/>
          <w:lang w:val="en-US" w:eastAsia="zh-CN"/>
        </w:rPr>
        <w:t>21.18万元</w:t>
      </w:r>
      <w:r>
        <w:rPr>
          <w:rFonts w:ascii="FangSong_GB2312" w:hAnsi="FangSong_GB2312" w:eastAsia="FangSong_GB2312" w:cs="FangSong_GB2312"/>
          <w:kern w:val="0"/>
          <w:sz w:val="32"/>
          <w:szCs w:val="32"/>
        </w:rPr>
        <w:t>、其他交通费用</w:t>
      </w:r>
      <w:r>
        <w:rPr>
          <w:rFonts w:hint="eastAsia" w:ascii="FangSong_GB2312" w:hAnsi="FangSong_GB2312" w:eastAsia="FangSong_GB2312" w:cs="FangSong_GB2312"/>
          <w:kern w:val="0"/>
          <w:sz w:val="32"/>
          <w:szCs w:val="32"/>
          <w:lang w:val="en-US" w:eastAsia="zh-CN"/>
        </w:rPr>
        <w:t>59.37万元</w:t>
      </w:r>
      <w:r>
        <w:rPr>
          <w:rFonts w:ascii="FangSong_GB2312" w:hAnsi="FangSong_GB2312" w:eastAsia="FangSong_GB2312" w:cs="FangSong_GB2312"/>
          <w:kern w:val="0"/>
          <w:sz w:val="32"/>
          <w:szCs w:val="32"/>
        </w:rPr>
        <w:t>、其他商品和服务支出</w:t>
      </w:r>
      <w:r>
        <w:rPr>
          <w:rFonts w:hint="eastAsia" w:ascii="FangSong_GB2312" w:hAnsi="FangSong_GB2312" w:eastAsia="FangSong_GB2312" w:cs="FangSong_GB2312"/>
          <w:kern w:val="0"/>
          <w:sz w:val="32"/>
          <w:szCs w:val="32"/>
          <w:lang w:val="en-US" w:eastAsia="zh-CN"/>
        </w:rPr>
        <w:t>8.67万元</w:t>
      </w:r>
      <w:r>
        <w:rPr>
          <w:rFonts w:ascii="FangSong_GB2312" w:hAnsi="FangSong_GB2312" w:eastAsia="FangSong_GB2312" w:cs="FangSong_GB2312"/>
          <w:kern w:val="0"/>
          <w:sz w:val="32"/>
          <w:szCs w:val="32"/>
        </w:rPr>
        <w:t>。</w:t>
      </w:r>
    </w:p>
    <w:p w14:paraId="27A074BC">
      <w:pPr>
        <w:pStyle w:val="29"/>
        <w:widowControl/>
        <w:spacing w:before="240" w:after="240" w:line="560" w:lineRule="atLeast"/>
        <w:ind w:firstLine="640"/>
        <w:jc w:val="left"/>
        <w:rPr>
          <w:rFonts w:ascii="Times New Roman" w:hAnsi="Times New Roman" w:eastAsia="Times New Roman" w:cs="Times New Roman"/>
          <w:kern w:val="0"/>
          <w:sz w:val="24"/>
        </w:rPr>
      </w:pPr>
      <w:r>
        <w:rPr>
          <w:rFonts w:ascii="FangSong_GB2312" w:hAnsi="FangSong_GB2312" w:eastAsia="FangSong_GB2312" w:cs="FangSong_GB2312"/>
          <w:b/>
          <w:bCs/>
          <w:kern w:val="0"/>
          <w:sz w:val="32"/>
          <w:szCs w:val="32"/>
        </w:rPr>
        <w:t>（</w:t>
      </w:r>
      <w:r>
        <w:rPr>
          <w:rFonts w:hint="eastAsia" w:ascii="FangSong_GB2312" w:hAnsi="FangSong_GB2312" w:eastAsia="FangSong_GB2312" w:cs="FangSong_GB2312"/>
          <w:b/>
          <w:bCs/>
          <w:kern w:val="0"/>
          <w:sz w:val="32"/>
          <w:szCs w:val="32"/>
          <w:lang w:val="en-US" w:eastAsia="zh-CN"/>
        </w:rPr>
        <w:t>二</w:t>
      </w:r>
      <w:r>
        <w:rPr>
          <w:rFonts w:ascii="FangSong_GB2312" w:hAnsi="FangSong_GB2312" w:eastAsia="FangSong_GB2312" w:cs="FangSong_GB2312"/>
          <w:b/>
          <w:bCs/>
          <w:kern w:val="0"/>
          <w:sz w:val="32"/>
          <w:szCs w:val="32"/>
        </w:rPr>
        <w:t>）资本性支出</w:t>
      </w:r>
      <w:r>
        <w:rPr>
          <w:rFonts w:eastAsia="Times New Roman"/>
          <w:kern w:val="0"/>
          <w:sz w:val="32"/>
          <w:szCs w:val="32"/>
          <w:u w:val="single"/>
          <w:lang w:eastAsia="en-US"/>
        </w:rPr>
        <w:t xml:space="preserve"> 799.46</w:t>
      </w:r>
      <w:r>
        <w:rPr>
          <w:rFonts w:ascii="FangSong_GB2312" w:hAnsi="FangSong_GB2312" w:eastAsia="FangSong_GB2312" w:cs="FangSong_GB2312"/>
          <w:b/>
          <w:bCs/>
          <w:kern w:val="0"/>
          <w:sz w:val="32"/>
          <w:szCs w:val="32"/>
        </w:rPr>
        <w:t>万元。</w:t>
      </w:r>
      <w:r>
        <w:rPr>
          <w:rFonts w:ascii="FangSong_GB2312" w:hAnsi="FangSong_GB2312" w:eastAsia="FangSong_GB2312" w:cs="FangSong_GB2312"/>
          <w:kern w:val="0"/>
          <w:sz w:val="32"/>
          <w:szCs w:val="32"/>
        </w:rPr>
        <w:t>主要包括：房屋建筑物构建</w:t>
      </w:r>
      <w:r>
        <w:rPr>
          <w:rFonts w:hint="eastAsia" w:ascii="FangSong_GB2312" w:hAnsi="FangSong_GB2312" w:eastAsia="FangSong_GB2312" w:cs="FangSong_GB2312"/>
          <w:kern w:val="0"/>
          <w:sz w:val="32"/>
          <w:szCs w:val="32"/>
          <w:lang w:val="en-US" w:eastAsia="zh-CN"/>
        </w:rPr>
        <w:t>638万元</w:t>
      </w:r>
      <w:r>
        <w:rPr>
          <w:rFonts w:ascii="FangSong_GB2312" w:hAnsi="FangSong_GB2312" w:eastAsia="FangSong_GB2312" w:cs="FangSong_GB2312"/>
          <w:kern w:val="0"/>
          <w:sz w:val="32"/>
          <w:szCs w:val="32"/>
        </w:rPr>
        <w:t>、办公设备购置</w:t>
      </w:r>
      <w:r>
        <w:rPr>
          <w:rFonts w:hint="eastAsia" w:ascii="FangSong_GB2312" w:hAnsi="FangSong_GB2312" w:eastAsia="FangSong_GB2312" w:cs="FangSong_GB2312"/>
          <w:kern w:val="0"/>
          <w:sz w:val="32"/>
          <w:szCs w:val="32"/>
          <w:lang w:val="en-US" w:eastAsia="zh-CN"/>
        </w:rPr>
        <w:t>4.91万元</w:t>
      </w:r>
      <w:r>
        <w:rPr>
          <w:rFonts w:ascii="FangSong_GB2312" w:hAnsi="FangSong_GB2312" w:eastAsia="FangSong_GB2312" w:cs="FangSong_GB2312"/>
          <w:kern w:val="0"/>
          <w:sz w:val="32"/>
          <w:szCs w:val="32"/>
        </w:rPr>
        <w:t>、专用设备购置</w:t>
      </w:r>
      <w:r>
        <w:rPr>
          <w:rFonts w:hint="eastAsia" w:ascii="FangSong_GB2312" w:hAnsi="FangSong_GB2312" w:eastAsia="FangSong_GB2312" w:cs="FangSong_GB2312"/>
          <w:kern w:val="0"/>
          <w:sz w:val="32"/>
          <w:szCs w:val="32"/>
          <w:lang w:val="en-US" w:eastAsia="zh-CN"/>
        </w:rPr>
        <w:t>156.55万元</w:t>
      </w:r>
      <w:r>
        <w:rPr>
          <w:rFonts w:ascii="FangSong_GB2312" w:hAnsi="FangSong_GB2312" w:eastAsia="FangSong_GB2312" w:cs="FangSong_GB2312"/>
          <w:kern w:val="0"/>
          <w:sz w:val="32"/>
          <w:szCs w:val="32"/>
        </w:rPr>
        <w:t>。</w:t>
      </w:r>
    </w:p>
    <w:p w14:paraId="0B25DFA6">
      <w:pPr>
        <w:pStyle w:val="29"/>
        <w:widowControl/>
        <w:spacing w:before="240" w:after="240" w:line="600" w:lineRule="atLeast"/>
        <w:ind w:firstLine="643"/>
        <w:jc w:val="left"/>
        <w:rPr>
          <w:rFonts w:ascii="Times New Roman" w:hAnsi="Times New Roman" w:eastAsia="Times New Roman" w:cs="Times New Roman"/>
          <w:kern w:val="0"/>
          <w:sz w:val="24"/>
        </w:rPr>
      </w:pPr>
      <w:r>
        <w:rPr>
          <w:rFonts w:ascii="黑体" w:hAnsi="黑体" w:eastAsia="黑体" w:cs="黑体"/>
          <w:b/>
          <w:bCs/>
          <w:kern w:val="0"/>
          <w:sz w:val="32"/>
          <w:szCs w:val="32"/>
        </w:rPr>
        <w:t>八、财政拨款</w:t>
      </w:r>
      <w:r>
        <w:rPr>
          <w:rFonts w:ascii="Times New Roman" w:hAnsi="Times New Roman" w:eastAsia="Times New Roman" w:cs="Times New Roman"/>
          <w:b/>
          <w:bCs/>
          <w:kern w:val="0"/>
          <w:sz w:val="32"/>
          <w:szCs w:val="32"/>
          <w:lang w:eastAsia="en-US"/>
        </w:rPr>
        <w:t>“</w:t>
      </w:r>
      <w:r>
        <w:rPr>
          <w:rFonts w:ascii="黑体" w:hAnsi="黑体" w:eastAsia="黑体" w:cs="黑体"/>
          <w:b/>
          <w:bCs/>
          <w:kern w:val="0"/>
          <w:sz w:val="32"/>
          <w:szCs w:val="32"/>
        </w:rPr>
        <w:t>三公</w:t>
      </w:r>
      <w:r>
        <w:rPr>
          <w:rFonts w:ascii="Times New Roman" w:hAnsi="Times New Roman" w:eastAsia="Times New Roman" w:cs="Times New Roman"/>
          <w:b/>
          <w:bCs/>
          <w:kern w:val="0"/>
          <w:sz w:val="32"/>
          <w:szCs w:val="32"/>
          <w:lang w:eastAsia="en-US"/>
        </w:rPr>
        <w:t>”</w:t>
      </w:r>
      <w:r>
        <w:rPr>
          <w:rFonts w:ascii="黑体" w:hAnsi="黑体" w:eastAsia="黑体" w:cs="黑体"/>
          <w:b/>
          <w:bCs/>
          <w:kern w:val="0"/>
          <w:sz w:val="32"/>
          <w:szCs w:val="32"/>
        </w:rPr>
        <w:t>经费支出决算情况说明</w:t>
      </w:r>
    </w:p>
    <w:p w14:paraId="0A6528D8">
      <w:pPr>
        <w:pStyle w:val="29"/>
        <w:widowControl/>
        <w:spacing w:before="240" w:after="240"/>
        <w:ind w:firstLine="643"/>
        <w:jc w:val="left"/>
        <w:rPr>
          <w:rFonts w:ascii="Times New Roman" w:hAnsi="Times New Roman" w:eastAsia="Times New Roman" w:cs="Times New Roman"/>
          <w:kern w:val="0"/>
          <w:sz w:val="24"/>
        </w:rPr>
      </w:pPr>
      <w:r>
        <w:rPr>
          <w:rFonts w:ascii="楷体" w:hAnsi="楷体" w:eastAsia="楷体" w:cs="楷体"/>
          <w:b/>
          <w:bCs/>
          <w:kern w:val="0"/>
          <w:sz w:val="32"/>
          <w:szCs w:val="32"/>
        </w:rPr>
        <w:t>（一）财政拨款</w:t>
      </w:r>
      <w:r>
        <w:rPr>
          <w:rFonts w:ascii="Times New Roman" w:hAnsi="Times New Roman" w:eastAsia="Times New Roman" w:cs="Times New Roman"/>
          <w:b/>
          <w:bCs/>
          <w:kern w:val="0"/>
          <w:sz w:val="32"/>
          <w:szCs w:val="32"/>
          <w:lang w:eastAsia="en-US"/>
        </w:rPr>
        <w:t>“</w:t>
      </w:r>
      <w:r>
        <w:rPr>
          <w:rFonts w:ascii="楷体" w:hAnsi="楷体" w:eastAsia="楷体" w:cs="楷体"/>
          <w:b/>
          <w:bCs/>
          <w:kern w:val="0"/>
          <w:sz w:val="32"/>
          <w:szCs w:val="32"/>
        </w:rPr>
        <w:t>三公</w:t>
      </w:r>
      <w:r>
        <w:rPr>
          <w:rFonts w:ascii="Times New Roman" w:hAnsi="Times New Roman" w:eastAsia="Times New Roman" w:cs="Times New Roman"/>
          <w:b/>
          <w:bCs/>
          <w:kern w:val="0"/>
          <w:sz w:val="32"/>
          <w:szCs w:val="32"/>
          <w:lang w:eastAsia="en-US"/>
        </w:rPr>
        <w:t>”</w:t>
      </w:r>
      <w:r>
        <w:rPr>
          <w:rFonts w:ascii="楷体" w:hAnsi="楷体" w:eastAsia="楷体" w:cs="楷体"/>
          <w:b/>
          <w:bCs/>
          <w:kern w:val="0"/>
          <w:sz w:val="32"/>
          <w:szCs w:val="32"/>
        </w:rPr>
        <w:t>经费支出总体情况说明。</w:t>
      </w:r>
    </w:p>
    <w:p w14:paraId="209A820C">
      <w:pPr>
        <w:pStyle w:val="8"/>
        <w:spacing w:before="163" w:line="372" w:lineRule="auto"/>
        <w:jc w:val="both"/>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内蒙古自治区特种设备检验研究院鄂尔多斯分院</w:t>
      </w:r>
      <w:r>
        <w:rPr>
          <w:rFonts w:ascii="Times New Roman" w:hAnsi="Times New Roman" w:eastAsia="Times New Roman" w:cs="Times New Roman"/>
          <w:kern w:val="0"/>
          <w:sz w:val="24"/>
        </w:rPr>
        <w:t xml:space="preserve"> </w:t>
      </w:r>
      <w:r>
        <w:rPr>
          <w:rFonts w:eastAsia="Times New Roman"/>
          <w:kern w:val="0"/>
          <w:sz w:val="32"/>
          <w:szCs w:val="32"/>
          <w:lang w:eastAsia="en-US"/>
        </w:rPr>
        <w:t>2025</w:t>
      </w:r>
      <w:r>
        <w:rPr>
          <w:rFonts w:ascii="FangSong_GB2312" w:hAnsi="FangSong_GB2312" w:eastAsia="FangSong_GB2312" w:cs="FangSong_GB2312"/>
          <w:kern w:val="0"/>
          <w:sz w:val="32"/>
          <w:szCs w:val="32"/>
        </w:rPr>
        <w:t>年度财政拨款“三公”经费全年预算</w:t>
      </w:r>
      <w:r>
        <w:rPr>
          <w:rFonts w:eastAsia="Times New Roman"/>
          <w:kern w:val="0"/>
          <w:sz w:val="32"/>
          <w:szCs w:val="32"/>
          <w:u w:val="single"/>
          <w:lang w:eastAsia="en-US"/>
        </w:rPr>
        <w:t xml:space="preserve"> 21.51</w:t>
      </w:r>
      <w:r>
        <w:rPr>
          <w:rFonts w:ascii="FangSong_GB2312" w:hAnsi="FangSong_GB2312" w:eastAsia="FangSong_GB2312" w:cs="FangSong_GB2312"/>
          <w:kern w:val="0"/>
          <w:sz w:val="32"/>
          <w:szCs w:val="32"/>
        </w:rPr>
        <w:t>万元，支出决算</w:t>
      </w:r>
      <w:r>
        <w:rPr>
          <w:rFonts w:eastAsia="Times New Roman"/>
          <w:kern w:val="0"/>
          <w:sz w:val="32"/>
          <w:szCs w:val="32"/>
          <w:u w:val="single"/>
          <w:lang w:eastAsia="en-US"/>
        </w:rPr>
        <w:t xml:space="preserve"> 21.51</w:t>
      </w:r>
      <w:r>
        <w:rPr>
          <w:rFonts w:ascii="FangSong_GB2312" w:hAnsi="FangSong_GB2312" w:eastAsia="FangSong_GB2312" w:cs="FangSong_GB2312"/>
          <w:kern w:val="0"/>
          <w:sz w:val="32"/>
          <w:szCs w:val="32"/>
        </w:rPr>
        <w:t>万元，完成预算的</w:t>
      </w:r>
      <w:r>
        <w:rPr>
          <w:rFonts w:eastAsia="Times New Roman"/>
          <w:kern w:val="0"/>
          <w:sz w:val="32"/>
          <w:szCs w:val="32"/>
          <w:u w:val="single"/>
          <w:lang w:eastAsia="en-US"/>
        </w:rPr>
        <w:t xml:space="preserve"> 100.00</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。其中：因公出国（境）费全年预算</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rPr>
        <w:t>万元，支出决算</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rPr>
        <w:t>万元，完成预算的</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；公务用车购置及运行维护费全年预算</w:t>
      </w:r>
      <w:r>
        <w:rPr>
          <w:rFonts w:eastAsia="Times New Roman"/>
          <w:kern w:val="0"/>
          <w:sz w:val="32"/>
          <w:szCs w:val="32"/>
          <w:u w:val="single"/>
          <w:lang w:eastAsia="en-US"/>
        </w:rPr>
        <w:t xml:space="preserve"> 21.18</w:t>
      </w:r>
      <w:r>
        <w:rPr>
          <w:rFonts w:ascii="FangSong_GB2312" w:hAnsi="FangSong_GB2312" w:eastAsia="FangSong_GB2312" w:cs="FangSong_GB2312"/>
          <w:kern w:val="0"/>
          <w:sz w:val="32"/>
          <w:szCs w:val="32"/>
        </w:rPr>
        <w:t>万元，支出决算</w:t>
      </w:r>
      <w:r>
        <w:rPr>
          <w:rFonts w:eastAsia="Times New Roman"/>
          <w:kern w:val="0"/>
          <w:sz w:val="32"/>
          <w:szCs w:val="32"/>
          <w:u w:val="single"/>
          <w:lang w:eastAsia="en-US"/>
        </w:rPr>
        <w:t xml:space="preserve"> 21.18</w:t>
      </w:r>
      <w:r>
        <w:rPr>
          <w:rFonts w:ascii="FangSong_GB2312" w:hAnsi="FangSong_GB2312" w:eastAsia="FangSong_GB2312" w:cs="FangSong_GB2312"/>
          <w:kern w:val="0"/>
          <w:sz w:val="32"/>
          <w:szCs w:val="32"/>
        </w:rPr>
        <w:t>万元，完成预算的</w:t>
      </w:r>
      <w:r>
        <w:rPr>
          <w:rFonts w:eastAsia="Times New Roman"/>
          <w:kern w:val="0"/>
          <w:sz w:val="32"/>
          <w:szCs w:val="32"/>
          <w:u w:val="single"/>
          <w:lang w:eastAsia="en-US"/>
        </w:rPr>
        <w:t xml:space="preserve"> 100.00</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；公务接待费全年预算</w:t>
      </w:r>
      <w:r>
        <w:rPr>
          <w:rFonts w:eastAsia="Times New Roman"/>
          <w:kern w:val="0"/>
          <w:sz w:val="32"/>
          <w:szCs w:val="32"/>
          <w:u w:val="single"/>
          <w:lang w:eastAsia="en-US"/>
        </w:rPr>
        <w:t xml:space="preserve"> 0.33</w:t>
      </w:r>
      <w:r>
        <w:rPr>
          <w:rFonts w:ascii="FangSong_GB2312" w:hAnsi="FangSong_GB2312" w:eastAsia="FangSong_GB2312" w:cs="FangSong_GB2312"/>
          <w:kern w:val="0"/>
          <w:sz w:val="32"/>
          <w:szCs w:val="32"/>
        </w:rPr>
        <w:t>万元，支出决算</w:t>
      </w:r>
      <w:r>
        <w:rPr>
          <w:rFonts w:eastAsia="Times New Roman"/>
          <w:kern w:val="0"/>
          <w:sz w:val="32"/>
          <w:szCs w:val="32"/>
          <w:u w:val="single"/>
          <w:lang w:eastAsia="en-US"/>
        </w:rPr>
        <w:t xml:space="preserve"> 0.33</w:t>
      </w:r>
      <w:r>
        <w:rPr>
          <w:rFonts w:ascii="FangSong_GB2312" w:hAnsi="FangSong_GB2312" w:eastAsia="FangSong_GB2312" w:cs="FangSong_GB2312"/>
          <w:kern w:val="0"/>
          <w:sz w:val="32"/>
          <w:szCs w:val="32"/>
        </w:rPr>
        <w:t>万元，完成预算的</w:t>
      </w:r>
      <w:r>
        <w:rPr>
          <w:rFonts w:eastAsia="Times New Roman"/>
          <w:kern w:val="0"/>
          <w:sz w:val="32"/>
          <w:szCs w:val="32"/>
          <w:u w:val="single"/>
          <w:lang w:eastAsia="en-US"/>
        </w:rPr>
        <w:t xml:space="preserve"> 100.00</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w:t>
      </w:r>
      <w:r>
        <w:rPr>
          <w:rFonts w:eastAsia="Times New Roman"/>
          <w:kern w:val="0"/>
          <w:sz w:val="32"/>
          <w:szCs w:val="32"/>
          <w:lang w:eastAsia="en-US"/>
        </w:rPr>
        <w:t>2025</w:t>
      </w:r>
      <w:r>
        <w:rPr>
          <w:rFonts w:ascii="FangSong_GB2312" w:hAnsi="FangSong_GB2312" w:eastAsia="FangSong_GB2312" w:cs="FangSong_GB2312"/>
          <w:kern w:val="0"/>
          <w:sz w:val="32"/>
          <w:szCs w:val="32"/>
        </w:rPr>
        <w:t>年度一般公共预算财政拨款“三公”经费全年预算</w:t>
      </w:r>
      <w:r>
        <w:rPr>
          <w:rFonts w:eastAsia="Times New Roman"/>
          <w:kern w:val="0"/>
          <w:sz w:val="32"/>
          <w:szCs w:val="32"/>
          <w:u w:val="single"/>
          <w:lang w:eastAsia="en-US"/>
        </w:rPr>
        <w:t xml:space="preserve"> 21.51</w:t>
      </w:r>
      <w:r>
        <w:rPr>
          <w:rFonts w:ascii="FangSong_GB2312" w:hAnsi="FangSong_GB2312" w:eastAsia="FangSong_GB2312" w:cs="FangSong_GB2312"/>
          <w:kern w:val="0"/>
          <w:sz w:val="32"/>
          <w:szCs w:val="32"/>
        </w:rPr>
        <w:t>万元，支出决算</w:t>
      </w:r>
      <w:r>
        <w:rPr>
          <w:rFonts w:eastAsia="Times New Roman"/>
          <w:kern w:val="0"/>
          <w:sz w:val="32"/>
          <w:szCs w:val="32"/>
          <w:u w:val="single"/>
          <w:lang w:eastAsia="en-US"/>
        </w:rPr>
        <w:t xml:space="preserve"> 21.51</w:t>
      </w:r>
      <w:r>
        <w:rPr>
          <w:rFonts w:ascii="FangSong_GB2312" w:hAnsi="FangSong_GB2312" w:eastAsia="FangSong_GB2312" w:cs="FangSong_GB2312"/>
          <w:kern w:val="0"/>
          <w:sz w:val="32"/>
          <w:szCs w:val="32"/>
        </w:rPr>
        <w:t>万元，</w:t>
      </w:r>
      <w:r>
        <w:rPr>
          <w:spacing w:val="3"/>
        </w:rPr>
        <w:t>严格执行</w:t>
      </w:r>
      <w:r>
        <w:rPr>
          <w:spacing w:val="-119"/>
        </w:rPr>
        <w:t xml:space="preserve"> </w:t>
      </w:r>
      <w:r>
        <w:rPr>
          <w:spacing w:val="3"/>
        </w:rPr>
        <w:t>“</w:t>
      </w:r>
      <w:r>
        <w:rPr>
          <w:spacing w:val="-117"/>
        </w:rPr>
        <w:t xml:space="preserve"> </w:t>
      </w:r>
      <w:r>
        <w:rPr>
          <w:spacing w:val="3"/>
        </w:rPr>
        <w:t>三公”经费预算安排，无</w:t>
      </w:r>
      <w:r>
        <w:rPr>
          <w:spacing w:val="18"/>
        </w:rPr>
        <w:t>差异。</w:t>
      </w:r>
    </w:p>
    <w:p w14:paraId="52952F93">
      <w:pPr>
        <w:pStyle w:val="29"/>
        <w:widowControl/>
        <w:spacing w:before="240" w:after="240"/>
        <w:ind w:firstLine="643"/>
        <w:jc w:val="left"/>
        <w:rPr>
          <w:rFonts w:ascii="Times New Roman" w:hAnsi="Times New Roman" w:eastAsia="Times New Roman" w:cs="Times New Roman"/>
          <w:kern w:val="0"/>
          <w:sz w:val="24"/>
        </w:rPr>
      </w:pPr>
      <w:r>
        <w:rPr>
          <w:rFonts w:ascii="楷体" w:hAnsi="楷体" w:eastAsia="楷体" w:cs="楷体"/>
          <w:b/>
          <w:bCs/>
          <w:kern w:val="0"/>
          <w:sz w:val="32"/>
          <w:szCs w:val="32"/>
        </w:rPr>
        <w:t>（二）财政拨款</w:t>
      </w:r>
      <w:r>
        <w:rPr>
          <w:rFonts w:ascii="Times New Roman" w:hAnsi="Times New Roman" w:eastAsia="Times New Roman" w:cs="Times New Roman"/>
          <w:b/>
          <w:bCs/>
          <w:kern w:val="0"/>
          <w:sz w:val="32"/>
          <w:szCs w:val="32"/>
          <w:lang w:eastAsia="en-US"/>
        </w:rPr>
        <w:t>“</w:t>
      </w:r>
      <w:r>
        <w:rPr>
          <w:rFonts w:ascii="楷体" w:hAnsi="楷体" w:eastAsia="楷体" w:cs="楷体"/>
          <w:b/>
          <w:bCs/>
          <w:kern w:val="0"/>
          <w:sz w:val="32"/>
          <w:szCs w:val="32"/>
        </w:rPr>
        <w:t>三公</w:t>
      </w:r>
      <w:r>
        <w:rPr>
          <w:rFonts w:ascii="Times New Roman" w:hAnsi="Times New Roman" w:eastAsia="Times New Roman" w:cs="Times New Roman"/>
          <w:b/>
          <w:bCs/>
          <w:kern w:val="0"/>
          <w:sz w:val="32"/>
          <w:szCs w:val="32"/>
          <w:lang w:eastAsia="en-US"/>
        </w:rPr>
        <w:t>”</w:t>
      </w:r>
      <w:r>
        <w:rPr>
          <w:rFonts w:ascii="楷体" w:hAnsi="楷体" w:eastAsia="楷体" w:cs="楷体"/>
          <w:b/>
          <w:bCs/>
          <w:kern w:val="0"/>
          <w:sz w:val="32"/>
          <w:szCs w:val="32"/>
        </w:rPr>
        <w:t>经费支出具体情况说明。</w:t>
      </w:r>
    </w:p>
    <w:p w14:paraId="1EB4B174">
      <w:pPr>
        <w:pStyle w:val="29"/>
        <w:widowControl/>
        <w:spacing w:before="240" w:after="240" w:line="560" w:lineRule="atLeast"/>
        <w:ind w:firstLine="640"/>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内蒙古自治区特种设备检验研究院鄂尔多斯分院</w:t>
      </w:r>
      <w:r>
        <w:rPr>
          <w:rFonts w:ascii="Times New Roman" w:hAnsi="Times New Roman" w:eastAsia="Times New Roman" w:cs="Times New Roman"/>
          <w:kern w:val="0"/>
          <w:sz w:val="24"/>
        </w:rPr>
        <w:t xml:space="preserve"> </w:t>
      </w:r>
      <w:r>
        <w:rPr>
          <w:rFonts w:eastAsia="Times New Roman"/>
          <w:kern w:val="0"/>
          <w:sz w:val="32"/>
          <w:szCs w:val="32"/>
          <w:lang w:eastAsia="en-US"/>
        </w:rPr>
        <w:t>2025</w:t>
      </w:r>
      <w:r>
        <w:rPr>
          <w:rFonts w:ascii="FangSong_GB2312" w:hAnsi="FangSong_GB2312" w:eastAsia="FangSong_GB2312" w:cs="FangSong_GB2312"/>
          <w:kern w:val="0"/>
          <w:sz w:val="32"/>
          <w:szCs w:val="32"/>
        </w:rPr>
        <w:t>年度财政拨款“三公”经费支出</w:t>
      </w:r>
      <w:r>
        <w:rPr>
          <w:rFonts w:eastAsia="Times New Roman"/>
          <w:kern w:val="0"/>
          <w:sz w:val="32"/>
          <w:szCs w:val="32"/>
          <w:u w:val="single"/>
          <w:lang w:eastAsia="en-US"/>
        </w:rPr>
        <w:t xml:space="preserve"> 21.51</w:t>
      </w:r>
      <w:r>
        <w:rPr>
          <w:rFonts w:ascii="FangSong_GB2312" w:hAnsi="FangSong_GB2312" w:eastAsia="FangSong_GB2312" w:cs="FangSong_GB2312"/>
          <w:kern w:val="0"/>
          <w:sz w:val="32"/>
          <w:szCs w:val="32"/>
        </w:rPr>
        <w:t>万元。因公出国（境）费支出</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rPr>
        <w:t>万元，占</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；公务用车购置及运行维护费支出</w:t>
      </w:r>
      <w:r>
        <w:rPr>
          <w:rFonts w:eastAsia="Times New Roman"/>
          <w:kern w:val="0"/>
          <w:sz w:val="32"/>
          <w:szCs w:val="32"/>
          <w:u w:val="single"/>
          <w:lang w:eastAsia="en-US"/>
        </w:rPr>
        <w:t xml:space="preserve"> 21.18</w:t>
      </w:r>
      <w:r>
        <w:rPr>
          <w:rFonts w:ascii="FangSong_GB2312" w:hAnsi="FangSong_GB2312" w:eastAsia="FangSong_GB2312" w:cs="FangSong_GB2312"/>
          <w:kern w:val="0"/>
          <w:sz w:val="32"/>
          <w:szCs w:val="32"/>
        </w:rPr>
        <w:t>万元，占</w:t>
      </w:r>
      <w:r>
        <w:rPr>
          <w:rFonts w:eastAsia="Times New Roman"/>
          <w:kern w:val="0"/>
          <w:sz w:val="32"/>
          <w:szCs w:val="32"/>
          <w:u w:val="single"/>
          <w:lang w:eastAsia="en-US"/>
        </w:rPr>
        <w:t xml:space="preserve"> 98.44</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；公务接待费支出</w:t>
      </w:r>
      <w:r>
        <w:rPr>
          <w:rFonts w:eastAsia="Times New Roman"/>
          <w:kern w:val="0"/>
          <w:sz w:val="32"/>
          <w:szCs w:val="32"/>
          <w:u w:val="single"/>
          <w:lang w:eastAsia="en-US"/>
        </w:rPr>
        <w:t xml:space="preserve"> 0.33</w:t>
      </w:r>
      <w:r>
        <w:rPr>
          <w:rFonts w:ascii="FangSong_GB2312" w:hAnsi="FangSong_GB2312" w:eastAsia="FangSong_GB2312" w:cs="FangSong_GB2312"/>
          <w:kern w:val="0"/>
          <w:sz w:val="32"/>
          <w:szCs w:val="32"/>
        </w:rPr>
        <w:t>万元，占</w:t>
      </w:r>
      <w:r>
        <w:rPr>
          <w:rFonts w:eastAsia="Times New Roman"/>
          <w:kern w:val="0"/>
          <w:sz w:val="32"/>
          <w:szCs w:val="32"/>
          <w:u w:val="single"/>
          <w:lang w:eastAsia="en-US"/>
        </w:rPr>
        <w:t xml:space="preserve"> 1.56</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。其中：</w:t>
      </w:r>
    </w:p>
    <w:p w14:paraId="4E9A42C5">
      <w:pPr>
        <w:pStyle w:val="29"/>
        <w:widowControl/>
        <w:spacing w:before="240" w:after="240" w:line="560" w:lineRule="atLeast"/>
        <w:ind w:firstLine="640"/>
        <w:jc w:val="left"/>
        <w:rPr>
          <w:rFonts w:ascii="FangSong_GB2312" w:hAnsi="FangSong_GB2312" w:eastAsia="FangSong_GB2312" w:cs="FangSong_GB2312"/>
          <w:kern w:val="0"/>
          <w:sz w:val="32"/>
          <w:szCs w:val="32"/>
        </w:rPr>
      </w:pPr>
      <w:r>
        <w:rPr>
          <w:rFonts w:eastAsia="Times New Roman"/>
          <w:b/>
          <w:bCs/>
          <w:kern w:val="0"/>
          <w:sz w:val="32"/>
          <w:szCs w:val="32"/>
          <w:lang w:eastAsia="en-US"/>
        </w:rPr>
        <w:t>1</w:t>
      </w:r>
      <w:r>
        <w:rPr>
          <w:rFonts w:ascii="FangSong_GB2312" w:hAnsi="FangSong_GB2312" w:eastAsia="FangSong_GB2312" w:cs="FangSong_GB2312"/>
          <w:b/>
          <w:bCs/>
          <w:kern w:val="0"/>
          <w:sz w:val="32"/>
          <w:szCs w:val="32"/>
          <w:lang w:eastAsia="en-US"/>
        </w:rPr>
        <w:t>.</w:t>
      </w:r>
      <w:r>
        <w:rPr>
          <w:rFonts w:ascii="FangSong_GB2312" w:hAnsi="FangSong_GB2312" w:eastAsia="FangSong_GB2312" w:cs="FangSong_GB2312"/>
          <w:b/>
          <w:bCs/>
          <w:kern w:val="0"/>
          <w:sz w:val="32"/>
          <w:szCs w:val="32"/>
        </w:rPr>
        <w:t>因公出国（境）费支出</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rPr>
        <w:t>万元，全年出国（境）团组</w:t>
      </w:r>
      <w:r>
        <w:rPr>
          <w:rFonts w:eastAsia="Times New Roman"/>
          <w:kern w:val="0"/>
          <w:sz w:val="32"/>
          <w:szCs w:val="32"/>
          <w:u w:val="single"/>
          <w:lang w:eastAsia="en-US"/>
        </w:rPr>
        <w:t xml:space="preserve">0 </w:t>
      </w:r>
      <w:r>
        <w:rPr>
          <w:rFonts w:ascii="FangSong_GB2312" w:hAnsi="FangSong_GB2312" w:eastAsia="FangSong_GB2312" w:cs="FangSong_GB2312"/>
          <w:kern w:val="0"/>
          <w:sz w:val="32"/>
          <w:szCs w:val="32"/>
        </w:rPr>
        <w:t>个，累计</w:t>
      </w:r>
      <w:r>
        <w:rPr>
          <w:rFonts w:eastAsia="Times New Roman"/>
          <w:kern w:val="0"/>
          <w:sz w:val="32"/>
          <w:szCs w:val="32"/>
          <w:u w:val="single"/>
          <w:lang w:eastAsia="en-US"/>
        </w:rPr>
        <w:t xml:space="preserve">0 </w:t>
      </w:r>
      <w:r>
        <w:rPr>
          <w:rFonts w:ascii="FangSong_GB2312" w:hAnsi="FangSong_GB2312" w:eastAsia="FangSong_GB2312" w:cs="FangSong_GB2312"/>
          <w:kern w:val="0"/>
          <w:sz w:val="32"/>
          <w:szCs w:val="32"/>
        </w:rPr>
        <w:t>人次。与上年决算相比，增加</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rPr>
        <w:t>万元，增长</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，变动原因：本年度不存在因公出国（境）费支出。</w:t>
      </w:r>
    </w:p>
    <w:p w14:paraId="4D7EC270">
      <w:pPr>
        <w:pStyle w:val="29"/>
        <w:widowControl/>
        <w:spacing w:before="240" w:after="240" w:line="560" w:lineRule="atLeast"/>
        <w:ind w:firstLine="640"/>
        <w:jc w:val="left"/>
        <w:rPr>
          <w:rFonts w:ascii="Times New Roman" w:hAnsi="Times New Roman" w:eastAsia="Times New Roman" w:cs="Times New Roman"/>
          <w:kern w:val="0"/>
          <w:sz w:val="24"/>
        </w:rPr>
      </w:pPr>
      <w:r>
        <w:rPr>
          <w:rFonts w:eastAsia="Times New Roman"/>
          <w:b/>
          <w:bCs/>
          <w:kern w:val="0"/>
          <w:sz w:val="32"/>
          <w:szCs w:val="32"/>
          <w:lang w:eastAsia="en-US"/>
        </w:rPr>
        <w:t>2</w:t>
      </w:r>
      <w:r>
        <w:rPr>
          <w:rFonts w:ascii="FangSong_GB2312" w:hAnsi="FangSong_GB2312" w:eastAsia="FangSong_GB2312" w:cs="FangSong_GB2312"/>
          <w:b/>
          <w:bCs/>
          <w:kern w:val="0"/>
          <w:sz w:val="32"/>
          <w:szCs w:val="32"/>
          <w:lang w:eastAsia="en-US"/>
        </w:rPr>
        <w:t>.</w:t>
      </w:r>
      <w:r>
        <w:rPr>
          <w:rFonts w:ascii="FangSong_GB2312" w:hAnsi="FangSong_GB2312" w:eastAsia="FangSong_GB2312" w:cs="FangSong_GB2312"/>
          <w:b/>
          <w:bCs/>
          <w:kern w:val="0"/>
          <w:sz w:val="32"/>
          <w:szCs w:val="32"/>
        </w:rPr>
        <w:t>公务用车购置及运行维护费支出</w:t>
      </w:r>
      <w:r>
        <w:rPr>
          <w:rFonts w:eastAsia="Times New Roman"/>
          <w:kern w:val="0"/>
          <w:sz w:val="32"/>
          <w:szCs w:val="32"/>
          <w:u w:val="single"/>
          <w:lang w:eastAsia="en-US"/>
        </w:rPr>
        <w:t xml:space="preserve"> 21.18</w:t>
      </w:r>
      <w:r>
        <w:rPr>
          <w:rFonts w:ascii="FangSong_GB2312" w:hAnsi="FangSong_GB2312" w:eastAsia="FangSong_GB2312" w:cs="FangSong_GB2312"/>
          <w:kern w:val="0"/>
          <w:sz w:val="32"/>
          <w:szCs w:val="32"/>
        </w:rPr>
        <w:t>万元。其中：</w:t>
      </w:r>
    </w:p>
    <w:p w14:paraId="52121330">
      <w:pPr>
        <w:pStyle w:val="29"/>
        <w:widowControl/>
        <w:spacing w:before="240" w:after="240" w:line="560" w:lineRule="atLeast"/>
        <w:ind w:firstLine="640"/>
        <w:jc w:val="left"/>
        <w:rPr>
          <w:rFonts w:ascii="Times New Roman" w:hAnsi="Times New Roman" w:eastAsia="Times New Roman" w:cs="Times New Roman"/>
          <w:kern w:val="0"/>
          <w:sz w:val="24"/>
        </w:rPr>
      </w:pPr>
      <w:r>
        <w:rPr>
          <w:rFonts w:ascii="FangSong_GB2312" w:hAnsi="FangSong_GB2312" w:eastAsia="FangSong_GB2312" w:cs="FangSong_GB2312"/>
          <w:b/>
          <w:bCs/>
          <w:kern w:val="0"/>
          <w:sz w:val="32"/>
          <w:szCs w:val="32"/>
        </w:rPr>
        <w:t>（</w:t>
      </w:r>
      <w:r>
        <w:rPr>
          <w:rFonts w:eastAsia="Times New Roman"/>
          <w:b/>
          <w:bCs/>
          <w:kern w:val="0"/>
          <w:sz w:val="32"/>
          <w:szCs w:val="32"/>
          <w:lang w:eastAsia="en-US"/>
        </w:rPr>
        <w:t>1</w:t>
      </w:r>
      <w:r>
        <w:rPr>
          <w:rFonts w:ascii="FangSong_GB2312" w:hAnsi="FangSong_GB2312" w:eastAsia="FangSong_GB2312" w:cs="FangSong_GB2312"/>
          <w:b/>
          <w:bCs/>
          <w:kern w:val="0"/>
          <w:sz w:val="32"/>
          <w:szCs w:val="32"/>
        </w:rPr>
        <w:t>）公务用车购置支出</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rPr>
        <w:t>万元。本年度使用财政拨款购置公务用车</w:t>
      </w:r>
      <w:r>
        <w:rPr>
          <w:rFonts w:eastAsia="Times New Roman"/>
          <w:kern w:val="0"/>
          <w:sz w:val="32"/>
          <w:szCs w:val="32"/>
          <w:u w:val="single"/>
          <w:lang w:eastAsia="en-US"/>
        </w:rPr>
        <w:t xml:space="preserve">0 </w:t>
      </w:r>
      <w:r>
        <w:rPr>
          <w:rFonts w:ascii="FangSong_GB2312" w:hAnsi="FangSong_GB2312" w:eastAsia="FangSong_GB2312" w:cs="FangSong_GB2312"/>
          <w:kern w:val="0"/>
          <w:sz w:val="32"/>
          <w:szCs w:val="32"/>
        </w:rPr>
        <w:t>辆，开支内容：</w:t>
      </w:r>
      <w:r>
        <w:rPr>
          <w:rFonts w:hint="eastAsia" w:ascii="FangSong_GB2312" w:hAnsi="FangSong_GB2312" w:eastAsia="FangSong_GB2312" w:cs="FangSong_GB2312"/>
          <w:kern w:val="0"/>
          <w:sz w:val="32"/>
          <w:szCs w:val="32"/>
          <w:lang w:val="en-US" w:eastAsia="zh-CN"/>
        </w:rPr>
        <w:t>未购置公务车辆</w:t>
      </w:r>
      <w:r>
        <w:rPr>
          <w:rFonts w:ascii="FangSong_GB2312" w:hAnsi="FangSong_GB2312" w:eastAsia="FangSong_GB2312" w:cs="FangSong_GB2312"/>
          <w:kern w:val="0"/>
          <w:sz w:val="32"/>
          <w:szCs w:val="32"/>
        </w:rPr>
        <w:t>。与上年决算相比，增加</w:t>
      </w:r>
      <w:r>
        <w:rPr>
          <w:rFonts w:eastAsia="Times New Roman"/>
          <w:kern w:val="0"/>
          <w:sz w:val="32"/>
          <w:szCs w:val="32"/>
          <w:u w:val="single"/>
        </w:rPr>
        <w:t xml:space="preserve"> 0</w:t>
      </w:r>
      <w:r>
        <w:rPr>
          <w:rFonts w:ascii="FangSong_GB2312" w:hAnsi="FangSong_GB2312" w:eastAsia="FangSong_GB2312" w:cs="FangSong_GB2312"/>
          <w:kern w:val="0"/>
          <w:sz w:val="32"/>
          <w:szCs w:val="32"/>
        </w:rPr>
        <w:t>万元，增长</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，变动原因：</w:t>
      </w:r>
      <w:r>
        <w:rPr>
          <w:rFonts w:hint="eastAsia" w:ascii="FangSong_GB2312" w:hAnsi="FangSong_GB2312" w:eastAsia="FangSong_GB2312" w:cs="FangSong_GB2312"/>
          <w:kern w:val="0"/>
          <w:sz w:val="32"/>
          <w:szCs w:val="32"/>
          <w:lang w:val="en-US" w:eastAsia="zh-CN"/>
        </w:rPr>
        <w:t>本年度未购置公务车辆</w:t>
      </w:r>
      <w:r>
        <w:rPr>
          <w:rFonts w:ascii="FangSong_GB2312" w:hAnsi="FangSong_GB2312" w:eastAsia="FangSong_GB2312" w:cs="FangSong_GB2312"/>
          <w:kern w:val="0"/>
          <w:sz w:val="32"/>
          <w:szCs w:val="32"/>
        </w:rPr>
        <w:t>。</w:t>
      </w:r>
    </w:p>
    <w:p w14:paraId="1A0FE607">
      <w:pPr>
        <w:pStyle w:val="29"/>
        <w:widowControl/>
        <w:spacing w:before="240" w:after="240" w:line="560" w:lineRule="atLeast"/>
        <w:ind w:firstLine="640"/>
        <w:jc w:val="left"/>
        <w:rPr>
          <w:rFonts w:ascii="Times New Roman" w:hAnsi="Times New Roman" w:eastAsia="Times New Roman" w:cs="Times New Roman"/>
          <w:kern w:val="0"/>
          <w:sz w:val="24"/>
        </w:rPr>
      </w:pPr>
      <w:r>
        <w:rPr>
          <w:rFonts w:ascii="FangSong_GB2312" w:hAnsi="FangSong_GB2312" w:eastAsia="FangSong_GB2312" w:cs="FangSong_GB2312"/>
          <w:b/>
          <w:bCs/>
          <w:kern w:val="0"/>
          <w:sz w:val="32"/>
          <w:szCs w:val="32"/>
        </w:rPr>
        <w:t>（</w:t>
      </w:r>
      <w:r>
        <w:rPr>
          <w:rFonts w:eastAsia="Times New Roman"/>
          <w:b/>
          <w:bCs/>
          <w:kern w:val="0"/>
          <w:sz w:val="32"/>
          <w:szCs w:val="32"/>
          <w:lang w:eastAsia="en-US"/>
        </w:rPr>
        <w:t>2</w:t>
      </w:r>
      <w:r>
        <w:rPr>
          <w:rFonts w:ascii="FangSong_GB2312" w:hAnsi="FangSong_GB2312" w:eastAsia="FangSong_GB2312" w:cs="FangSong_GB2312"/>
          <w:b/>
          <w:bCs/>
          <w:kern w:val="0"/>
          <w:sz w:val="32"/>
          <w:szCs w:val="32"/>
        </w:rPr>
        <w:t>）公务用车运行维护费支出</w:t>
      </w:r>
      <w:r>
        <w:rPr>
          <w:rFonts w:eastAsia="Times New Roman"/>
          <w:kern w:val="0"/>
          <w:sz w:val="32"/>
          <w:szCs w:val="32"/>
          <w:u w:val="single"/>
          <w:lang w:eastAsia="en-US"/>
        </w:rPr>
        <w:t xml:space="preserve"> 21.18</w:t>
      </w:r>
      <w:r>
        <w:rPr>
          <w:rFonts w:ascii="FangSong_GB2312" w:hAnsi="FangSong_GB2312" w:eastAsia="FangSong_GB2312" w:cs="FangSong_GB2312"/>
          <w:kern w:val="0"/>
          <w:sz w:val="32"/>
          <w:szCs w:val="32"/>
        </w:rPr>
        <w:t>万元。公务用车运行维护费主要用于按规定保留的公务用车的燃料费、</w:t>
      </w:r>
      <w:r>
        <w:rPr>
          <w:rFonts w:ascii="FangSong_GB2312" w:hAnsi="FangSong_GB2312" w:eastAsia="FangSong_GB2312" w:cs="FangSong_GB2312"/>
          <w:color w:val="000000"/>
          <w:kern w:val="0"/>
          <w:sz w:val="32"/>
          <w:szCs w:val="32"/>
        </w:rPr>
        <w:t>新能源汽车充电费、</w:t>
      </w:r>
      <w:r>
        <w:rPr>
          <w:rFonts w:ascii="FangSong_GB2312" w:hAnsi="FangSong_GB2312" w:eastAsia="FangSong_GB2312" w:cs="FangSong_GB2312"/>
          <w:kern w:val="0"/>
          <w:sz w:val="32"/>
          <w:szCs w:val="32"/>
        </w:rPr>
        <w:t>维修费、过桥过路费、保险费、安全奖励费用等支出。截至</w:t>
      </w:r>
      <w:r>
        <w:rPr>
          <w:rFonts w:eastAsia="Times New Roman"/>
          <w:kern w:val="0"/>
          <w:sz w:val="32"/>
          <w:szCs w:val="32"/>
          <w:lang w:eastAsia="en-US"/>
        </w:rPr>
        <w:t>2025</w:t>
      </w:r>
      <w:r>
        <w:rPr>
          <w:rFonts w:ascii="FangSong_GB2312" w:hAnsi="FangSong_GB2312" w:eastAsia="FangSong_GB2312" w:cs="FangSong_GB2312"/>
          <w:kern w:val="0"/>
          <w:sz w:val="32"/>
          <w:szCs w:val="32"/>
        </w:rPr>
        <w:t>年</w:t>
      </w:r>
      <w:r>
        <w:rPr>
          <w:rFonts w:eastAsia="Times New Roman"/>
          <w:kern w:val="0"/>
          <w:sz w:val="32"/>
          <w:szCs w:val="32"/>
          <w:lang w:eastAsia="en-US"/>
        </w:rPr>
        <w:t>12</w:t>
      </w:r>
      <w:r>
        <w:rPr>
          <w:rFonts w:ascii="FangSong_GB2312" w:hAnsi="FangSong_GB2312" w:eastAsia="FangSong_GB2312" w:cs="FangSong_GB2312"/>
          <w:kern w:val="0"/>
          <w:sz w:val="32"/>
          <w:szCs w:val="32"/>
        </w:rPr>
        <w:t>月</w:t>
      </w:r>
      <w:r>
        <w:rPr>
          <w:rFonts w:eastAsia="Times New Roman"/>
          <w:kern w:val="0"/>
          <w:sz w:val="32"/>
          <w:szCs w:val="32"/>
          <w:lang w:eastAsia="en-US"/>
        </w:rPr>
        <w:t>31</w:t>
      </w:r>
      <w:r>
        <w:rPr>
          <w:rFonts w:ascii="FangSong_GB2312" w:hAnsi="FangSong_GB2312" w:eastAsia="FangSong_GB2312" w:cs="FangSong_GB2312"/>
          <w:kern w:val="0"/>
          <w:sz w:val="32"/>
          <w:szCs w:val="32"/>
        </w:rPr>
        <w:t>日，使用财政拨款开支的公务用车保有量为</w:t>
      </w:r>
      <w:r>
        <w:rPr>
          <w:rFonts w:eastAsia="Times New Roman"/>
          <w:kern w:val="0"/>
          <w:sz w:val="32"/>
          <w:szCs w:val="32"/>
          <w:u w:val="single"/>
          <w:lang w:eastAsia="en-US"/>
        </w:rPr>
        <w:t xml:space="preserve">12 </w:t>
      </w:r>
      <w:r>
        <w:rPr>
          <w:rFonts w:ascii="FangSong_GB2312" w:hAnsi="FangSong_GB2312" w:eastAsia="FangSong_GB2312" w:cs="FangSong_GB2312"/>
          <w:kern w:val="0"/>
          <w:sz w:val="32"/>
          <w:szCs w:val="32"/>
        </w:rPr>
        <w:t>辆。与上年决算相比，减少</w:t>
      </w:r>
      <w:r>
        <w:rPr>
          <w:rFonts w:eastAsia="Times New Roman"/>
          <w:kern w:val="0"/>
          <w:sz w:val="32"/>
          <w:szCs w:val="32"/>
          <w:u w:val="single"/>
          <w:lang w:eastAsia="en-US"/>
        </w:rPr>
        <w:t>10.29</w:t>
      </w:r>
      <w:r>
        <w:rPr>
          <w:rFonts w:ascii="FangSong_GB2312" w:hAnsi="FangSong_GB2312" w:eastAsia="FangSong_GB2312" w:cs="FangSong_GB2312"/>
          <w:kern w:val="0"/>
          <w:sz w:val="32"/>
          <w:szCs w:val="32"/>
        </w:rPr>
        <w:t>万元，下降</w:t>
      </w:r>
      <w:r>
        <w:rPr>
          <w:rFonts w:eastAsia="Times New Roman"/>
          <w:kern w:val="0"/>
          <w:sz w:val="32"/>
          <w:szCs w:val="32"/>
          <w:u w:val="single"/>
          <w:lang w:eastAsia="en-US"/>
        </w:rPr>
        <w:t>32.70</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，变动原因：</w:t>
      </w:r>
      <w:r>
        <w:rPr>
          <w:rFonts w:hint="eastAsia" w:ascii="FangSong_GB2312" w:hAnsi="FangSong_GB2312" w:eastAsia="FangSong_GB2312" w:cs="FangSong_GB2312"/>
          <w:kern w:val="0"/>
          <w:sz w:val="32"/>
          <w:szCs w:val="32"/>
          <w:lang w:val="en-US" w:eastAsia="zh-CN"/>
        </w:rPr>
        <w:t>本年度大力压减公务车辆运行支出</w:t>
      </w:r>
      <w:r>
        <w:rPr>
          <w:rFonts w:ascii="FangSong_GB2312" w:hAnsi="FangSong_GB2312" w:eastAsia="FangSong_GB2312" w:cs="FangSong_GB2312"/>
          <w:kern w:val="0"/>
          <w:sz w:val="32"/>
          <w:szCs w:val="32"/>
        </w:rPr>
        <w:t>。</w:t>
      </w:r>
    </w:p>
    <w:p w14:paraId="057A513C">
      <w:pPr>
        <w:pStyle w:val="29"/>
        <w:widowControl/>
        <w:spacing w:before="240" w:after="240" w:line="560" w:lineRule="atLeast"/>
        <w:ind w:firstLine="640"/>
        <w:jc w:val="left"/>
        <w:rPr>
          <w:rFonts w:ascii="Times New Roman" w:hAnsi="Times New Roman" w:eastAsia="Times New Roman" w:cs="Times New Roman"/>
          <w:kern w:val="0"/>
          <w:sz w:val="24"/>
        </w:rPr>
      </w:pPr>
      <w:r>
        <w:rPr>
          <w:rFonts w:eastAsia="Times New Roman"/>
          <w:b/>
          <w:bCs/>
          <w:kern w:val="0"/>
          <w:sz w:val="32"/>
          <w:szCs w:val="32"/>
          <w:lang w:eastAsia="en-US"/>
        </w:rPr>
        <w:t>3</w:t>
      </w:r>
      <w:r>
        <w:rPr>
          <w:rFonts w:ascii="FangSong_GB2312" w:hAnsi="FangSong_GB2312" w:eastAsia="FangSong_GB2312" w:cs="FangSong_GB2312"/>
          <w:b/>
          <w:bCs/>
          <w:kern w:val="0"/>
          <w:sz w:val="32"/>
          <w:szCs w:val="32"/>
          <w:lang w:eastAsia="en-US"/>
        </w:rPr>
        <w:t>.</w:t>
      </w:r>
      <w:r>
        <w:rPr>
          <w:rFonts w:ascii="FangSong_GB2312" w:hAnsi="FangSong_GB2312" w:eastAsia="FangSong_GB2312" w:cs="FangSong_GB2312"/>
          <w:b/>
          <w:bCs/>
          <w:kern w:val="0"/>
          <w:sz w:val="32"/>
          <w:szCs w:val="32"/>
        </w:rPr>
        <w:t>公务接待费支出</w:t>
      </w:r>
      <w:r>
        <w:rPr>
          <w:rFonts w:eastAsia="Times New Roman"/>
          <w:kern w:val="0"/>
          <w:sz w:val="32"/>
          <w:szCs w:val="32"/>
          <w:u w:val="single"/>
          <w:lang w:eastAsia="en-US"/>
        </w:rPr>
        <w:t xml:space="preserve"> 0.33</w:t>
      </w:r>
      <w:r>
        <w:rPr>
          <w:rFonts w:ascii="FangSong_GB2312" w:hAnsi="FangSong_GB2312" w:eastAsia="FangSong_GB2312" w:cs="FangSong_GB2312"/>
          <w:kern w:val="0"/>
          <w:sz w:val="32"/>
          <w:szCs w:val="32"/>
        </w:rPr>
        <w:t>万元。其中：国内公务接待支出</w:t>
      </w:r>
      <w:r>
        <w:rPr>
          <w:rFonts w:eastAsia="Times New Roman"/>
          <w:kern w:val="0"/>
          <w:sz w:val="32"/>
          <w:szCs w:val="32"/>
          <w:u w:val="single"/>
          <w:lang w:eastAsia="en-US"/>
        </w:rPr>
        <w:t xml:space="preserve"> 0.33</w:t>
      </w:r>
      <w:r>
        <w:rPr>
          <w:rFonts w:ascii="FangSong_GB2312" w:hAnsi="FangSong_GB2312" w:eastAsia="FangSong_GB2312" w:cs="FangSong_GB2312"/>
          <w:kern w:val="0"/>
          <w:sz w:val="32"/>
          <w:szCs w:val="32"/>
        </w:rPr>
        <w:t>万元，接待</w:t>
      </w:r>
      <w:r>
        <w:rPr>
          <w:rFonts w:eastAsia="Times New Roman"/>
          <w:kern w:val="0"/>
          <w:sz w:val="32"/>
          <w:szCs w:val="32"/>
          <w:u w:val="single"/>
          <w:lang w:eastAsia="en-US"/>
        </w:rPr>
        <w:t xml:space="preserve">3 </w:t>
      </w:r>
      <w:r>
        <w:rPr>
          <w:rFonts w:ascii="FangSong_GB2312" w:hAnsi="FangSong_GB2312" w:eastAsia="FangSong_GB2312" w:cs="FangSong_GB2312"/>
          <w:kern w:val="0"/>
          <w:sz w:val="32"/>
          <w:szCs w:val="32"/>
        </w:rPr>
        <w:t>批次，</w:t>
      </w:r>
      <w:r>
        <w:rPr>
          <w:rFonts w:eastAsia="Times New Roman"/>
          <w:kern w:val="0"/>
          <w:sz w:val="32"/>
          <w:szCs w:val="32"/>
          <w:u w:val="single"/>
          <w:lang w:eastAsia="en-US"/>
        </w:rPr>
        <w:t xml:space="preserve">28 </w:t>
      </w:r>
      <w:r>
        <w:rPr>
          <w:rFonts w:ascii="FangSong_GB2312" w:hAnsi="FangSong_GB2312" w:eastAsia="FangSong_GB2312" w:cs="FangSong_GB2312"/>
          <w:kern w:val="0"/>
          <w:sz w:val="32"/>
          <w:szCs w:val="32"/>
        </w:rPr>
        <w:t>人次，开支内容：接待餐费；国（境）外公务接待支出</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rPr>
        <w:t>万元，接待</w:t>
      </w:r>
      <w:r>
        <w:rPr>
          <w:rFonts w:eastAsia="Times New Roman"/>
          <w:kern w:val="0"/>
          <w:sz w:val="32"/>
          <w:szCs w:val="32"/>
          <w:u w:val="single"/>
          <w:lang w:eastAsia="en-US"/>
        </w:rPr>
        <w:t xml:space="preserve">0 </w:t>
      </w:r>
      <w:r>
        <w:rPr>
          <w:rFonts w:ascii="FangSong_GB2312" w:hAnsi="FangSong_GB2312" w:eastAsia="FangSong_GB2312" w:cs="FangSong_GB2312"/>
          <w:kern w:val="0"/>
          <w:sz w:val="32"/>
          <w:szCs w:val="32"/>
        </w:rPr>
        <w:t>批次，</w:t>
      </w:r>
      <w:r>
        <w:rPr>
          <w:rFonts w:eastAsia="Times New Roman"/>
          <w:kern w:val="0"/>
          <w:sz w:val="32"/>
          <w:szCs w:val="32"/>
          <w:u w:val="single"/>
          <w:lang w:eastAsia="en-US"/>
        </w:rPr>
        <w:t xml:space="preserve">0 </w:t>
      </w:r>
      <w:r>
        <w:rPr>
          <w:rFonts w:ascii="FangSong_GB2312" w:hAnsi="FangSong_GB2312" w:eastAsia="FangSong_GB2312" w:cs="FangSong_GB2312"/>
          <w:kern w:val="0"/>
          <w:sz w:val="32"/>
          <w:szCs w:val="32"/>
        </w:rPr>
        <w:t>人次，开支内容：接待餐费。与上年决算相比，增加</w:t>
      </w:r>
      <w:r>
        <w:rPr>
          <w:rFonts w:eastAsia="Times New Roman"/>
          <w:kern w:val="0"/>
          <w:sz w:val="32"/>
          <w:szCs w:val="32"/>
          <w:u w:val="single"/>
          <w:lang w:eastAsia="en-US"/>
        </w:rPr>
        <w:t xml:space="preserve"> 0.26</w:t>
      </w:r>
      <w:r>
        <w:rPr>
          <w:rFonts w:ascii="FangSong_GB2312" w:hAnsi="FangSong_GB2312" w:eastAsia="FangSong_GB2312" w:cs="FangSong_GB2312"/>
          <w:kern w:val="0"/>
          <w:sz w:val="32"/>
          <w:szCs w:val="32"/>
        </w:rPr>
        <w:t>万元，增长</w:t>
      </w:r>
      <w:r>
        <w:rPr>
          <w:rFonts w:eastAsia="Times New Roman"/>
          <w:kern w:val="0"/>
          <w:sz w:val="32"/>
          <w:szCs w:val="32"/>
          <w:u w:val="single"/>
          <w:lang w:eastAsia="en-US"/>
        </w:rPr>
        <w:t>340.26</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，变动原因：</w:t>
      </w:r>
      <w:r>
        <w:rPr>
          <w:rFonts w:hint="eastAsia" w:ascii="FangSong_GB2312" w:hAnsi="FangSong_GB2312" w:eastAsia="FangSong_GB2312" w:cs="FangSong_GB2312"/>
          <w:kern w:val="0"/>
          <w:sz w:val="32"/>
          <w:szCs w:val="32"/>
          <w:lang w:val="en-US" w:eastAsia="zh-CN"/>
        </w:rPr>
        <w:t>因业务发展需要，本年度公务接待批次较上年增加</w:t>
      </w:r>
      <w:r>
        <w:rPr>
          <w:rFonts w:ascii="FangSong_GB2312" w:hAnsi="FangSong_GB2312" w:eastAsia="FangSong_GB2312" w:cs="FangSong_GB2312"/>
          <w:kern w:val="0"/>
          <w:sz w:val="32"/>
          <w:szCs w:val="32"/>
        </w:rPr>
        <w:t>。</w:t>
      </w:r>
    </w:p>
    <w:p w14:paraId="79DCDBAE">
      <w:pPr>
        <w:pStyle w:val="29"/>
        <w:widowControl/>
        <w:spacing w:before="240" w:after="240" w:line="600" w:lineRule="atLeast"/>
        <w:ind w:firstLine="643"/>
        <w:jc w:val="left"/>
        <w:rPr>
          <w:rFonts w:ascii="Times New Roman" w:hAnsi="Times New Roman" w:eastAsia="Times New Roman" w:cs="Times New Roman"/>
          <w:kern w:val="0"/>
          <w:sz w:val="24"/>
        </w:rPr>
      </w:pPr>
      <w:r>
        <w:rPr>
          <w:rFonts w:ascii="黑体" w:hAnsi="黑体" w:eastAsia="黑体" w:cs="黑体"/>
          <w:b/>
          <w:bCs/>
          <w:kern w:val="0"/>
          <w:sz w:val="32"/>
          <w:szCs w:val="32"/>
        </w:rPr>
        <w:t>九、政府性基金预算财政拨款支出决算情况说明</w:t>
      </w:r>
    </w:p>
    <w:p w14:paraId="293EFBF3">
      <w:pPr>
        <w:pStyle w:val="29"/>
        <w:widowControl/>
        <w:spacing w:before="240" w:after="240" w:line="560" w:lineRule="atLeast"/>
        <w:ind w:firstLine="640"/>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内蒙古自治区特种设备检验研究院鄂尔多斯分院</w:t>
      </w:r>
      <w:r>
        <w:rPr>
          <w:rFonts w:eastAsia="Times New Roman"/>
          <w:kern w:val="0"/>
          <w:sz w:val="32"/>
          <w:szCs w:val="32"/>
          <w:lang w:eastAsia="en-US"/>
        </w:rPr>
        <w:t>2025</w:t>
      </w:r>
      <w:r>
        <w:rPr>
          <w:rFonts w:ascii="FangSong_GB2312" w:hAnsi="FangSong_GB2312" w:eastAsia="FangSong_GB2312" w:cs="FangSong_GB2312"/>
          <w:kern w:val="0"/>
          <w:sz w:val="32"/>
          <w:szCs w:val="32"/>
        </w:rPr>
        <w:t>年度政府性基金预算财政拨款支出决算</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rPr>
        <w:t>万元。与上年决算相比，增加</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rPr>
        <w:t>万元，增长</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，变动原因：本年无政府性基金预算财政拨款收、支、余。</w:t>
      </w:r>
    </w:p>
    <w:p w14:paraId="1946F7EF">
      <w:pPr>
        <w:pStyle w:val="29"/>
        <w:widowControl/>
        <w:spacing w:before="240" w:after="240" w:line="600" w:lineRule="atLeast"/>
        <w:ind w:firstLine="643"/>
        <w:jc w:val="left"/>
        <w:rPr>
          <w:rFonts w:ascii="Times New Roman" w:hAnsi="Times New Roman" w:eastAsia="Times New Roman" w:cs="Times New Roman"/>
          <w:kern w:val="0"/>
          <w:sz w:val="24"/>
        </w:rPr>
      </w:pPr>
      <w:r>
        <w:rPr>
          <w:rFonts w:ascii="黑体" w:hAnsi="黑体" w:eastAsia="黑体" w:cs="黑体"/>
          <w:b/>
          <w:bCs/>
          <w:kern w:val="0"/>
          <w:sz w:val="32"/>
          <w:szCs w:val="32"/>
        </w:rPr>
        <w:t>十、国有资本经营预算财政拨款支出决算情况说明</w:t>
      </w:r>
    </w:p>
    <w:p w14:paraId="08DC1876">
      <w:pPr>
        <w:pStyle w:val="29"/>
        <w:widowControl/>
        <w:spacing w:before="240" w:after="240" w:line="560" w:lineRule="atLeast"/>
        <w:ind w:firstLine="640"/>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内蒙古自治区特种设备检验研究院鄂尔多斯分院</w:t>
      </w:r>
      <w:r>
        <w:rPr>
          <w:rFonts w:eastAsia="Times New Roman"/>
          <w:kern w:val="0"/>
          <w:sz w:val="32"/>
          <w:szCs w:val="32"/>
          <w:lang w:eastAsia="en-US"/>
        </w:rPr>
        <w:t>2025</w:t>
      </w:r>
      <w:r>
        <w:rPr>
          <w:rFonts w:ascii="FangSong_GB2312" w:hAnsi="FangSong_GB2312" w:eastAsia="FangSong_GB2312" w:cs="FangSong_GB2312"/>
          <w:kern w:val="0"/>
          <w:sz w:val="32"/>
          <w:szCs w:val="32"/>
        </w:rPr>
        <w:t>年度国有资本经营预算财政拨款支出决算</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rPr>
        <w:t>万元。与上年决算相比，增加</w:t>
      </w:r>
      <w:r>
        <w:rPr>
          <w:rFonts w:eastAsia="Times New Roman"/>
          <w:kern w:val="0"/>
          <w:sz w:val="32"/>
          <w:szCs w:val="32"/>
          <w:u w:val="single"/>
          <w:lang w:eastAsia="en-US"/>
        </w:rPr>
        <w:t>0</w:t>
      </w:r>
      <w:r>
        <w:rPr>
          <w:rFonts w:ascii="FangSong_GB2312" w:hAnsi="FangSong_GB2312" w:eastAsia="FangSong_GB2312" w:cs="FangSong_GB2312"/>
          <w:kern w:val="0"/>
          <w:sz w:val="32"/>
          <w:szCs w:val="32"/>
        </w:rPr>
        <w:t>万元，增长</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，变动原因：本年无国有资本经营预算财政拨款收、支、余。</w:t>
      </w:r>
    </w:p>
    <w:p w14:paraId="4CB75377">
      <w:pPr>
        <w:pStyle w:val="29"/>
        <w:widowControl/>
        <w:spacing w:before="240" w:after="240" w:line="600" w:lineRule="atLeast"/>
        <w:ind w:firstLine="643"/>
        <w:jc w:val="left"/>
        <w:rPr>
          <w:rFonts w:ascii="Times New Roman" w:hAnsi="Times New Roman" w:eastAsia="Times New Roman" w:cs="Times New Roman"/>
          <w:kern w:val="0"/>
          <w:sz w:val="24"/>
        </w:rPr>
      </w:pPr>
      <w:r>
        <w:rPr>
          <w:rFonts w:ascii="黑体" w:hAnsi="黑体" w:eastAsia="黑体" w:cs="黑体"/>
          <w:b/>
          <w:bCs/>
          <w:kern w:val="0"/>
          <w:sz w:val="32"/>
          <w:szCs w:val="32"/>
        </w:rPr>
        <w:t>十一、机关运行经费（公用经费）支出决算情况说明</w:t>
      </w:r>
    </w:p>
    <w:p w14:paraId="60123A05">
      <w:pPr>
        <w:pStyle w:val="8"/>
        <w:spacing w:before="161" w:line="372" w:lineRule="auto"/>
        <w:ind w:left="2" w:right="7" w:firstLine="685"/>
        <w:jc w:val="both"/>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 xml:space="preserve">内蒙古自治区特种设备检验研究院鄂尔多斯分院 </w:t>
      </w:r>
      <w:r>
        <w:rPr>
          <w:rFonts w:eastAsia="Times New Roman"/>
          <w:kern w:val="0"/>
          <w:sz w:val="32"/>
          <w:szCs w:val="32"/>
          <w:lang w:eastAsia="en-US"/>
        </w:rPr>
        <w:t>2025</w:t>
      </w:r>
      <w:r>
        <w:rPr>
          <w:rFonts w:ascii="FangSong_GB2312" w:hAnsi="FangSong_GB2312" w:eastAsia="FangSong_GB2312" w:cs="FangSong_GB2312"/>
          <w:kern w:val="0"/>
          <w:sz w:val="32"/>
          <w:szCs w:val="32"/>
        </w:rPr>
        <w:t>年度公用经费支出决算</w:t>
      </w:r>
      <w:r>
        <w:rPr>
          <w:rFonts w:eastAsia="Times New Roman"/>
          <w:kern w:val="0"/>
          <w:sz w:val="32"/>
          <w:szCs w:val="32"/>
          <w:u w:val="single"/>
          <w:lang w:eastAsia="en-US"/>
        </w:rPr>
        <w:t xml:space="preserve"> 0.49</w:t>
      </w:r>
      <w:r>
        <w:rPr>
          <w:rFonts w:ascii="FangSong_GB2312" w:hAnsi="FangSong_GB2312" w:eastAsia="FangSong_GB2312" w:cs="FangSong_GB2312"/>
          <w:kern w:val="0"/>
          <w:sz w:val="32"/>
          <w:szCs w:val="32"/>
        </w:rPr>
        <w:t>万元，与上年决算相比，增加</w:t>
      </w:r>
      <w:r>
        <w:rPr>
          <w:rFonts w:eastAsia="Times New Roman"/>
          <w:kern w:val="0"/>
          <w:sz w:val="32"/>
          <w:szCs w:val="32"/>
          <w:u w:val="single"/>
          <w:lang w:eastAsia="en-US"/>
        </w:rPr>
        <w:t xml:space="preserve"> 0.03</w:t>
      </w:r>
      <w:r>
        <w:rPr>
          <w:rFonts w:ascii="FangSong_GB2312" w:hAnsi="FangSong_GB2312" w:eastAsia="FangSong_GB2312" w:cs="FangSong_GB2312"/>
          <w:kern w:val="0"/>
          <w:sz w:val="32"/>
          <w:szCs w:val="32"/>
        </w:rPr>
        <w:t>万元，增长</w:t>
      </w:r>
      <w:r>
        <w:rPr>
          <w:rFonts w:eastAsia="Times New Roman"/>
          <w:kern w:val="0"/>
          <w:sz w:val="32"/>
          <w:szCs w:val="32"/>
          <w:u w:val="single"/>
          <w:lang w:eastAsia="en-US"/>
        </w:rPr>
        <w:t xml:space="preserve"> 5.88</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，变动原因：</w:t>
      </w:r>
      <w:r>
        <w:rPr>
          <w:rFonts w:hint="eastAsia" w:ascii="FangSong_GB2312" w:hAnsi="FangSong_GB2312" w:eastAsia="FangSong_GB2312" w:cs="FangSong_GB2312"/>
          <w:kern w:val="0"/>
          <w:sz w:val="32"/>
          <w:szCs w:val="32"/>
          <w:lang w:val="en-US" w:eastAsia="zh-CN"/>
        </w:rPr>
        <w:t>本年度退休人员经费增加</w:t>
      </w:r>
      <w:r>
        <w:rPr>
          <w:rFonts w:ascii="FangSong_GB2312" w:hAnsi="FangSong_GB2312" w:eastAsia="FangSong_GB2312" w:cs="FangSong_GB2312"/>
          <w:kern w:val="0"/>
          <w:sz w:val="32"/>
          <w:szCs w:val="32"/>
        </w:rPr>
        <w:t>。其中，机关运行经费支出决算</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rPr>
        <w:t>万元。比上年决算相比，增加</w:t>
      </w:r>
      <w:r>
        <w:rPr>
          <w:rFonts w:eastAsia="Times New Roman"/>
          <w:kern w:val="0"/>
          <w:sz w:val="32"/>
          <w:szCs w:val="32"/>
          <w:u w:val="single"/>
          <w:lang w:eastAsia="en-US"/>
        </w:rPr>
        <w:t>0</w:t>
      </w:r>
      <w:r>
        <w:rPr>
          <w:rFonts w:ascii="FangSong_GB2312" w:hAnsi="FangSong_GB2312" w:eastAsia="FangSong_GB2312" w:cs="FangSong_GB2312"/>
          <w:kern w:val="0"/>
          <w:sz w:val="32"/>
          <w:szCs w:val="32"/>
        </w:rPr>
        <w:t>万元，增长</w:t>
      </w:r>
      <w:r>
        <w:rPr>
          <w:rFonts w:eastAsia="Times New Roman"/>
          <w:kern w:val="0"/>
          <w:sz w:val="32"/>
          <w:szCs w:val="32"/>
          <w:u w:val="single"/>
          <w:lang w:eastAsia="en-US"/>
        </w:rPr>
        <w:t>0</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，变动原因：</w:t>
      </w:r>
      <w:r>
        <w:rPr>
          <w:spacing w:val="12"/>
        </w:rPr>
        <w:t>我单位类型为公益二类</w:t>
      </w:r>
      <w:r>
        <w:rPr>
          <w:rFonts w:hint="eastAsia"/>
          <w:spacing w:val="12"/>
          <w:lang w:val="en-US" w:eastAsia="zh-CN"/>
        </w:rPr>
        <w:t>事业</w:t>
      </w:r>
      <w:r>
        <w:rPr>
          <w:spacing w:val="12"/>
        </w:rPr>
        <w:t>单位，无机关运</w:t>
      </w:r>
      <w:r>
        <w:rPr>
          <w:spacing w:val="13"/>
        </w:rPr>
        <w:t>行经费支出。</w:t>
      </w:r>
    </w:p>
    <w:p w14:paraId="5D9C9A3A">
      <w:pPr>
        <w:pStyle w:val="29"/>
        <w:widowControl/>
        <w:spacing w:before="240" w:after="240" w:line="600" w:lineRule="atLeast"/>
        <w:ind w:firstLine="643"/>
        <w:jc w:val="left"/>
        <w:rPr>
          <w:rFonts w:ascii="Times New Roman" w:hAnsi="Times New Roman" w:eastAsia="Times New Roman" w:cs="Times New Roman"/>
          <w:kern w:val="0"/>
          <w:sz w:val="24"/>
        </w:rPr>
      </w:pPr>
      <w:r>
        <w:rPr>
          <w:rFonts w:ascii="黑体" w:hAnsi="黑体" w:eastAsia="黑体" w:cs="黑体"/>
          <w:b/>
          <w:bCs/>
          <w:kern w:val="0"/>
          <w:sz w:val="32"/>
          <w:szCs w:val="32"/>
        </w:rPr>
        <w:t>十二、政府采购支出决算情况说明</w:t>
      </w:r>
    </w:p>
    <w:p w14:paraId="4A7B17A0">
      <w:pPr>
        <w:pStyle w:val="29"/>
        <w:widowControl/>
        <w:spacing w:before="240" w:after="240" w:line="560" w:lineRule="atLeast"/>
        <w:ind w:firstLine="640"/>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内蒙古自治区特种设备检验研究院鄂尔多斯分院</w:t>
      </w:r>
      <w:r>
        <w:rPr>
          <w:rFonts w:eastAsia="Times New Roman"/>
          <w:kern w:val="0"/>
          <w:sz w:val="32"/>
          <w:szCs w:val="32"/>
          <w:lang w:eastAsia="en-US"/>
        </w:rPr>
        <w:t>2025</w:t>
      </w:r>
      <w:r>
        <w:rPr>
          <w:rFonts w:ascii="FangSong_GB2312" w:hAnsi="FangSong_GB2312" w:eastAsia="FangSong_GB2312" w:cs="FangSong_GB2312"/>
          <w:kern w:val="0"/>
          <w:sz w:val="32"/>
          <w:szCs w:val="32"/>
        </w:rPr>
        <w:t>年度政府采购支出总额</w:t>
      </w:r>
      <w:r>
        <w:rPr>
          <w:rFonts w:eastAsia="Times New Roman"/>
          <w:kern w:val="0"/>
          <w:sz w:val="32"/>
          <w:szCs w:val="32"/>
          <w:u w:val="single"/>
          <w:lang w:eastAsia="en-US"/>
        </w:rPr>
        <w:t xml:space="preserve"> 4768.22</w:t>
      </w:r>
      <w:r>
        <w:rPr>
          <w:rFonts w:ascii="FangSong_GB2312" w:hAnsi="FangSong_GB2312" w:eastAsia="FangSong_GB2312" w:cs="FangSong_GB2312"/>
          <w:kern w:val="0"/>
          <w:sz w:val="32"/>
          <w:szCs w:val="32"/>
        </w:rPr>
        <w:t>万元，其中：政府采购货物支出</w:t>
      </w:r>
      <w:r>
        <w:rPr>
          <w:rFonts w:eastAsia="Times New Roman"/>
          <w:kern w:val="0"/>
          <w:sz w:val="32"/>
          <w:szCs w:val="32"/>
          <w:u w:val="single"/>
          <w:lang w:eastAsia="en-US"/>
        </w:rPr>
        <w:t xml:space="preserve"> 147.93</w:t>
      </w:r>
      <w:r>
        <w:rPr>
          <w:rFonts w:ascii="FangSong_GB2312" w:hAnsi="FangSong_GB2312" w:eastAsia="FangSong_GB2312" w:cs="FangSong_GB2312"/>
          <w:kern w:val="0"/>
          <w:sz w:val="32"/>
          <w:szCs w:val="32"/>
        </w:rPr>
        <w:t>万元、政府采购工程支出</w:t>
      </w:r>
      <w:r>
        <w:rPr>
          <w:rFonts w:eastAsia="Times New Roman"/>
          <w:kern w:val="0"/>
          <w:sz w:val="32"/>
          <w:szCs w:val="32"/>
          <w:u w:val="single"/>
          <w:lang w:eastAsia="en-US"/>
        </w:rPr>
        <w:t xml:space="preserve"> 4202.25</w:t>
      </w:r>
      <w:r>
        <w:rPr>
          <w:rFonts w:ascii="FangSong_GB2312" w:hAnsi="FangSong_GB2312" w:eastAsia="FangSong_GB2312" w:cs="FangSong_GB2312"/>
          <w:kern w:val="0"/>
          <w:sz w:val="32"/>
          <w:szCs w:val="32"/>
        </w:rPr>
        <w:t>万元、政府采购服务支出</w:t>
      </w:r>
      <w:r>
        <w:rPr>
          <w:rFonts w:eastAsia="Times New Roman"/>
          <w:kern w:val="0"/>
          <w:sz w:val="32"/>
          <w:szCs w:val="32"/>
          <w:u w:val="single"/>
          <w:lang w:eastAsia="en-US"/>
        </w:rPr>
        <w:t xml:space="preserve"> 418.04</w:t>
      </w:r>
      <w:r>
        <w:rPr>
          <w:rFonts w:ascii="FangSong_GB2312" w:hAnsi="FangSong_GB2312" w:eastAsia="FangSong_GB2312" w:cs="FangSong_GB2312"/>
          <w:kern w:val="0"/>
          <w:sz w:val="32"/>
          <w:szCs w:val="32"/>
        </w:rPr>
        <w:t>万元。政府采购授予中小企业合同金额</w:t>
      </w:r>
      <w:r>
        <w:rPr>
          <w:rFonts w:eastAsia="Times New Roman"/>
          <w:kern w:val="0"/>
          <w:sz w:val="32"/>
          <w:szCs w:val="32"/>
          <w:u w:val="single"/>
          <w:lang w:eastAsia="en-US"/>
        </w:rPr>
        <w:t xml:space="preserve"> 4728.77</w:t>
      </w:r>
      <w:r>
        <w:rPr>
          <w:rFonts w:ascii="FangSong_GB2312" w:hAnsi="FangSong_GB2312" w:eastAsia="FangSong_GB2312" w:cs="FangSong_GB2312"/>
          <w:kern w:val="0"/>
          <w:sz w:val="32"/>
          <w:szCs w:val="32"/>
        </w:rPr>
        <w:t>万元，占政府采购支出总额的</w:t>
      </w:r>
      <w:r>
        <w:rPr>
          <w:rFonts w:hint="eastAsia"/>
          <w:kern w:val="0"/>
          <w:sz w:val="32"/>
          <w:szCs w:val="32"/>
          <w:u w:val="single"/>
          <w:lang w:val="en-US" w:eastAsia="zh-CN"/>
        </w:rPr>
        <w:t>99.2</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，其中：授予小微企业合同金额</w:t>
      </w:r>
      <w:r>
        <w:rPr>
          <w:rFonts w:eastAsia="Times New Roman"/>
          <w:kern w:val="0"/>
          <w:sz w:val="32"/>
          <w:szCs w:val="32"/>
          <w:u w:val="single"/>
          <w:lang w:eastAsia="en-US"/>
        </w:rPr>
        <w:t xml:space="preserve"> </w:t>
      </w:r>
      <w:r>
        <w:rPr>
          <w:rFonts w:hint="eastAsia"/>
          <w:kern w:val="0"/>
          <w:sz w:val="32"/>
          <w:szCs w:val="32"/>
          <w:u w:val="single"/>
          <w:lang w:val="en-US" w:eastAsia="zh-CN"/>
        </w:rPr>
        <w:t>801.94</w:t>
      </w:r>
      <w:r>
        <w:rPr>
          <w:rFonts w:ascii="FangSong_GB2312" w:hAnsi="FangSong_GB2312" w:eastAsia="FangSong_GB2312" w:cs="FangSong_GB2312"/>
          <w:kern w:val="0"/>
          <w:sz w:val="32"/>
          <w:szCs w:val="32"/>
        </w:rPr>
        <w:t>万元，占政府采购支出总额的</w:t>
      </w:r>
      <w:r>
        <w:rPr>
          <w:rFonts w:hint="eastAsia"/>
          <w:kern w:val="0"/>
          <w:sz w:val="32"/>
          <w:szCs w:val="32"/>
          <w:u w:val="single"/>
          <w:lang w:val="en-US" w:eastAsia="zh-CN"/>
        </w:rPr>
        <w:t>16.8</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w:t>
      </w:r>
    </w:p>
    <w:p w14:paraId="0405FE2F">
      <w:pPr>
        <w:pStyle w:val="29"/>
        <w:widowControl/>
        <w:spacing w:before="240" w:after="240" w:line="600" w:lineRule="atLeast"/>
        <w:ind w:firstLine="643"/>
        <w:jc w:val="left"/>
        <w:rPr>
          <w:rFonts w:ascii="Times New Roman" w:hAnsi="Times New Roman" w:eastAsia="Times New Roman" w:cs="Times New Roman"/>
          <w:kern w:val="0"/>
          <w:sz w:val="24"/>
        </w:rPr>
      </w:pPr>
      <w:r>
        <w:rPr>
          <w:rFonts w:ascii="黑体" w:hAnsi="黑体" w:eastAsia="黑体" w:cs="黑体"/>
          <w:b/>
          <w:bCs/>
          <w:kern w:val="0"/>
          <w:sz w:val="32"/>
          <w:szCs w:val="32"/>
        </w:rPr>
        <w:t>十三、国有资产占用情况说明</w:t>
      </w:r>
    </w:p>
    <w:p w14:paraId="50D1CF0D">
      <w:pPr>
        <w:pStyle w:val="29"/>
        <w:widowControl/>
        <w:spacing w:before="240" w:after="240" w:line="560" w:lineRule="atLeast"/>
        <w:ind w:firstLine="640"/>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内蒙古自治区特种设备检验研究院鄂尔多斯分院截至</w:t>
      </w:r>
      <w:r>
        <w:rPr>
          <w:rFonts w:eastAsia="Times New Roman"/>
          <w:kern w:val="0"/>
          <w:sz w:val="32"/>
          <w:szCs w:val="32"/>
          <w:lang w:eastAsia="en-US"/>
        </w:rPr>
        <w:t>2025</w:t>
      </w:r>
      <w:r>
        <w:rPr>
          <w:rFonts w:ascii="FangSong_GB2312" w:hAnsi="FangSong_GB2312" w:eastAsia="FangSong_GB2312" w:cs="FangSong_GB2312"/>
          <w:kern w:val="0"/>
          <w:sz w:val="32"/>
          <w:szCs w:val="32"/>
        </w:rPr>
        <w:t>年</w:t>
      </w:r>
      <w:r>
        <w:rPr>
          <w:rFonts w:eastAsia="Times New Roman"/>
          <w:kern w:val="0"/>
          <w:sz w:val="32"/>
          <w:szCs w:val="32"/>
          <w:lang w:eastAsia="en-US"/>
        </w:rPr>
        <w:t>12</w:t>
      </w:r>
      <w:r>
        <w:rPr>
          <w:rFonts w:ascii="FangSong_GB2312" w:hAnsi="FangSong_GB2312" w:eastAsia="FangSong_GB2312" w:cs="FangSong_GB2312"/>
          <w:kern w:val="0"/>
          <w:sz w:val="32"/>
          <w:szCs w:val="32"/>
        </w:rPr>
        <w:t>月</w:t>
      </w:r>
      <w:r>
        <w:rPr>
          <w:rFonts w:eastAsia="Times New Roman"/>
          <w:kern w:val="0"/>
          <w:sz w:val="32"/>
          <w:szCs w:val="32"/>
          <w:lang w:eastAsia="en-US"/>
        </w:rPr>
        <w:t>31</w:t>
      </w:r>
      <w:r>
        <w:rPr>
          <w:rFonts w:ascii="FangSong_GB2312" w:hAnsi="FangSong_GB2312" w:eastAsia="FangSong_GB2312" w:cs="FangSong_GB2312"/>
          <w:kern w:val="0"/>
          <w:sz w:val="32"/>
          <w:szCs w:val="32"/>
        </w:rPr>
        <w:t>日，本部门（单位）共有车辆</w:t>
      </w:r>
      <w:r>
        <w:rPr>
          <w:rFonts w:eastAsia="Times New Roman"/>
          <w:kern w:val="0"/>
          <w:sz w:val="32"/>
          <w:szCs w:val="32"/>
          <w:u w:val="single"/>
          <w:lang w:eastAsia="en-US"/>
        </w:rPr>
        <w:t xml:space="preserve">12 </w:t>
      </w:r>
      <w:r>
        <w:rPr>
          <w:rFonts w:ascii="FangSong_GB2312" w:hAnsi="FangSong_GB2312" w:eastAsia="FangSong_GB2312" w:cs="FangSong_GB2312"/>
          <w:kern w:val="0"/>
          <w:sz w:val="32"/>
          <w:szCs w:val="32"/>
        </w:rPr>
        <w:t>辆，其中：副部（省）级及以上领导用车</w:t>
      </w:r>
      <w:r>
        <w:rPr>
          <w:rFonts w:eastAsia="Times New Roman"/>
          <w:kern w:val="0"/>
          <w:sz w:val="32"/>
          <w:szCs w:val="32"/>
          <w:u w:val="single"/>
          <w:lang w:eastAsia="en-US"/>
        </w:rPr>
        <w:t xml:space="preserve">0 </w:t>
      </w:r>
      <w:r>
        <w:rPr>
          <w:rFonts w:ascii="FangSong_GB2312" w:hAnsi="FangSong_GB2312" w:eastAsia="FangSong_GB2312" w:cs="FangSong_GB2312"/>
          <w:kern w:val="0"/>
          <w:sz w:val="32"/>
          <w:szCs w:val="32"/>
        </w:rPr>
        <w:t>辆、主要负责人用车</w:t>
      </w:r>
      <w:r>
        <w:rPr>
          <w:rFonts w:eastAsia="Times New Roman"/>
          <w:kern w:val="0"/>
          <w:sz w:val="32"/>
          <w:szCs w:val="32"/>
          <w:u w:val="single"/>
          <w:lang w:eastAsia="en-US"/>
        </w:rPr>
        <w:t xml:space="preserve">0 </w:t>
      </w:r>
      <w:r>
        <w:rPr>
          <w:rFonts w:ascii="FangSong_GB2312" w:hAnsi="FangSong_GB2312" w:eastAsia="FangSong_GB2312" w:cs="FangSong_GB2312"/>
          <w:kern w:val="0"/>
          <w:sz w:val="32"/>
          <w:szCs w:val="32"/>
        </w:rPr>
        <w:t>辆、机要通信用车</w:t>
      </w:r>
      <w:r>
        <w:rPr>
          <w:rFonts w:eastAsia="Times New Roman"/>
          <w:kern w:val="0"/>
          <w:sz w:val="32"/>
          <w:szCs w:val="32"/>
          <w:u w:val="single"/>
          <w:lang w:eastAsia="en-US"/>
        </w:rPr>
        <w:t xml:space="preserve">0 </w:t>
      </w:r>
      <w:r>
        <w:rPr>
          <w:rFonts w:ascii="FangSong_GB2312" w:hAnsi="FangSong_GB2312" w:eastAsia="FangSong_GB2312" w:cs="FangSong_GB2312"/>
          <w:kern w:val="0"/>
          <w:sz w:val="32"/>
          <w:szCs w:val="32"/>
        </w:rPr>
        <w:t>辆、应急保障用车</w:t>
      </w:r>
      <w:r>
        <w:rPr>
          <w:rFonts w:eastAsia="Times New Roman"/>
          <w:kern w:val="0"/>
          <w:sz w:val="32"/>
          <w:szCs w:val="32"/>
          <w:u w:val="single"/>
          <w:lang w:eastAsia="en-US"/>
        </w:rPr>
        <w:t xml:space="preserve">0 </w:t>
      </w:r>
      <w:r>
        <w:rPr>
          <w:rFonts w:ascii="FangSong_GB2312" w:hAnsi="FangSong_GB2312" w:eastAsia="FangSong_GB2312" w:cs="FangSong_GB2312"/>
          <w:kern w:val="0"/>
          <w:sz w:val="32"/>
          <w:szCs w:val="32"/>
        </w:rPr>
        <w:t>辆、执法执勤用车</w:t>
      </w:r>
      <w:r>
        <w:rPr>
          <w:rFonts w:eastAsia="Times New Roman"/>
          <w:kern w:val="0"/>
          <w:sz w:val="32"/>
          <w:szCs w:val="32"/>
          <w:u w:val="single"/>
          <w:lang w:eastAsia="en-US"/>
        </w:rPr>
        <w:t xml:space="preserve">0 </w:t>
      </w:r>
      <w:r>
        <w:rPr>
          <w:rFonts w:ascii="FangSong_GB2312" w:hAnsi="FangSong_GB2312" w:eastAsia="FangSong_GB2312" w:cs="FangSong_GB2312"/>
          <w:kern w:val="0"/>
          <w:sz w:val="32"/>
          <w:szCs w:val="32"/>
        </w:rPr>
        <w:t>辆、特种专业技术用车</w:t>
      </w:r>
      <w:r>
        <w:rPr>
          <w:rFonts w:eastAsia="Times New Roman"/>
          <w:kern w:val="0"/>
          <w:sz w:val="32"/>
          <w:szCs w:val="32"/>
          <w:u w:val="single"/>
          <w:lang w:eastAsia="en-US"/>
        </w:rPr>
        <w:t xml:space="preserve">12 </w:t>
      </w:r>
      <w:r>
        <w:rPr>
          <w:rFonts w:ascii="FangSong_GB2312" w:hAnsi="FangSong_GB2312" w:eastAsia="FangSong_GB2312" w:cs="FangSong_GB2312"/>
          <w:kern w:val="0"/>
          <w:sz w:val="32"/>
          <w:szCs w:val="32"/>
        </w:rPr>
        <w:t>辆、离退休干部服务用车</w:t>
      </w:r>
      <w:r>
        <w:rPr>
          <w:rFonts w:eastAsia="Times New Roman"/>
          <w:kern w:val="0"/>
          <w:sz w:val="32"/>
          <w:szCs w:val="32"/>
          <w:u w:val="single"/>
          <w:lang w:eastAsia="en-US"/>
        </w:rPr>
        <w:t xml:space="preserve">0 </w:t>
      </w:r>
      <w:r>
        <w:rPr>
          <w:rFonts w:ascii="FangSong_GB2312" w:hAnsi="FangSong_GB2312" w:eastAsia="FangSong_GB2312" w:cs="FangSong_GB2312"/>
          <w:kern w:val="0"/>
          <w:sz w:val="32"/>
          <w:szCs w:val="32"/>
        </w:rPr>
        <w:t>辆、其他用车</w:t>
      </w:r>
      <w:r>
        <w:rPr>
          <w:rFonts w:eastAsia="Times New Roman"/>
          <w:kern w:val="0"/>
          <w:sz w:val="32"/>
          <w:szCs w:val="32"/>
          <w:u w:val="single"/>
          <w:lang w:eastAsia="en-US"/>
        </w:rPr>
        <w:t xml:space="preserve">0 </w:t>
      </w:r>
      <w:r>
        <w:rPr>
          <w:rFonts w:ascii="FangSong_GB2312" w:hAnsi="FangSong_GB2312" w:eastAsia="FangSong_GB2312" w:cs="FangSong_GB2312"/>
          <w:kern w:val="0"/>
          <w:sz w:val="32"/>
          <w:szCs w:val="32"/>
        </w:rPr>
        <w:t>辆；单价</w:t>
      </w:r>
      <w:r>
        <w:rPr>
          <w:rFonts w:eastAsia="Times New Roman"/>
          <w:kern w:val="0"/>
          <w:sz w:val="32"/>
          <w:szCs w:val="32"/>
          <w:lang w:eastAsia="en-US"/>
        </w:rPr>
        <w:t>100</w:t>
      </w:r>
      <w:r>
        <w:rPr>
          <w:rFonts w:ascii="FangSong_GB2312" w:hAnsi="FangSong_GB2312" w:eastAsia="FangSong_GB2312" w:cs="FangSong_GB2312"/>
          <w:kern w:val="0"/>
          <w:sz w:val="32"/>
          <w:szCs w:val="32"/>
        </w:rPr>
        <w:t>万元（含）以上设备（不含车辆）</w:t>
      </w:r>
      <w:r>
        <w:rPr>
          <w:rFonts w:eastAsia="Times New Roman"/>
          <w:kern w:val="0"/>
          <w:sz w:val="32"/>
          <w:szCs w:val="32"/>
          <w:u w:val="single"/>
          <w:lang w:eastAsia="en-US"/>
        </w:rPr>
        <w:t xml:space="preserve">18 </w:t>
      </w:r>
      <w:r>
        <w:rPr>
          <w:rFonts w:ascii="FangSong_GB2312" w:hAnsi="FangSong_GB2312" w:eastAsia="FangSong_GB2312" w:cs="FangSong_GB2312"/>
          <w:kern w:val="0"/>
          <w:sz w:val="32"/>
          <w:szCs w:val="32"/>
        </w:rPr>
        <w:t>台（套）。</w:t>
      </w:r>
    </w:p>
    <w:p w14:paraId="66A479E3">
      <w:pPr>
        <w:pStyle w:val="29"/>
        <w:widowControl/>
        <w:spacing w:before="240" w:after="240" w:line="600" w:lineRule="atLeast"/>
        <w:ind w:firstLine="643"/>
        <w:jc w:val="left"/>
        <w:rPr>
          <w:rFonts w:ascii="Times New Roman" w:hAnsi="Times New Roman" w:eastAsia="Times New Roman" w:cs="Times New Roman"/>
          <w:kern w:val="0"/>
          <w:sz w:val="24"/>
        </w:rPr>
      </w:pPr>
      <w:r>
        <w:rPr>
          <w:rFonts w:ascii="黑体" w:hAnsi="黑体" w:eastAsia="黑体" w:cs="黑体"/>
          <w:b/>
          <w:bCs/>
          <w:kern w:val="0"/>
          <w:sz w:val="32"/>
          <w:szCs w:val="32"/>
        </w:rPr>
        <w:t>十四、预算绩效情况说明</w:t>
      </w:r>
    </w:p>
    <w:p w14:paraId="4F2BAF4A">
      <w:pPr>
        <w:pStyle w:val="29"/>
        <w:widowControl/>
        <w:spacing w:before="240" w:after="240"/>
        <w:ind w:firstLine="643"/>
        <w:jc w:val="left"/>
        <w:rPr>
          <w:rFonts w:ascii="Times New Roman" w:hAnsi="Times New Roman" w:eastAsia="Times New Roman" w:cs="Times New Roman"/>
          <w:kern w:val="0"/>
          <w:sz w:val="24"/>
        </w:rPr>
      </w:pPr>
      <w:r>
        <w:rPr>
          <w:rFonts w:ascii="楷体" w:hAnsi="楷体" w:eastAsia="楷体" w:cs="楷体"/>
          <w:b/>
          <w:bCs/>
          <w:kern w:val="0"/>
          <w:sz w:val="32"/>
          <w:szCs w:val="32"/>
        </w:rPr>
        <w:t>（一）预算绩效管理工作开展情况。</w:t>
      </w:r>
    </w:p>
    <w:p w14:paraId="26B3B276">
      <w:pPr>
        <w:pStyle w:val="29"/>
        <w:widowControl/>
        <w:spacing w:before="240" w:after="240" w:line="560" w:lineRule="atLeast"/>
        <w:ind w:firstLine="640"/>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内蒙古自治区特种设备检验研究院鄂尔多斯分院根据预算绩效管理要求组织对</w:t>
      </w:r>
      <w:r>
        <w:rPr>
          <w:rFonts w:eastAsia="Times New Roman"/>
          <w:kern w:val="0"/>
          <w:sz w:val="32"/>
          <w:szCs w:val="32"/>
          <w:lang w:eastAsia="en-US"/>
        </w:rPr>
        <w:t>2025</w:t>
      </w:r>
      <w:r>
        <w:rPr>
          <w:rFonts w:ascii="FangSong_GB2312" w:hAnsi="FangSong_GB2312" w:eastAsia="FangSong_GB2312" w:cs="FangSong_GB2312"/>
          <w:kern w:val="0"/>
          <w:sz w:val="32"/>
          <w:szCs w:val="32"/>
        </w:rPr>
        <w:t>年一般公共预算项目支出全面开展绩效自评，共涉及项目</w:t>
      </w:r>
      <w:r>
        <w:rPr>
          <w:rFonts w:hint="eastAsia"/>
          <w:kern w:val="0"/>
          <w:sz w:val="32"/>
          <w:szCs w:val="32"/>
          <w:u w:val="single"/>
          <w:lang w:val="en-US" w:eastAsia="zh-CN"/>
        </w:rPr>
        <w:t>3</w:t>
      </w:r>
      <w:r>
        <w:rPr>
          <w:rFonts w:ascii="FangSong_GB2312" w:hAnsi="FangSong_GB2312" w:eastAsia="FangSong_GB2312" w:cs="FangSong_GB2312"/>
          <w:kern w:val="0"/>
          <w:sz w:val="32"/>
          <w:szCs w:val="32"/>
        </w:rPr>
        <w:t>个，资金</w:t>
      </w:r>
      <w:r>
        <w:rPr>
          <w:rFonts w:eastAsia="Times New Roman"/>
          <w:kern w:val="0"/>
          <w:sz w:val="32"/>
          <w:szCs w:val="32"/>
          <w:u w:val="single"/>
          <w:lang w:eastAsia="en-US"/>
        </w:rPr>
        <w:t xml:space="preserve"> 2081.22</w:t>
      </w:r>
      <w:r>
        <w:rPr>
          <w:rFonts w:ascii="FangSong_GB2312" w:hAnsi="FangSong_GB2312" w:eastAsia="FangSong_GB2312" w:cs="FangSong_GB2312"/>
          <w:kern w:val="0"/>
          <w:sz w:val="32"/>
          <w:szCs w:val="32"/>
        </w:rPr>
        <w:t>万元，占一般公共预算项目支出总额的</w:t>
      </w:r>
      <w:r>
        <w:rPr>
          <w:rFonts w:eastAsia="Times New Roman"/>
          <w:kern w:val="0"/>
          <w:sz w:val="32"/>
          <w:szCs w:val="32"/>
          <w:lang w:eastAsia="en-US"/>
        </w:rPr>
        <w:t>100</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w:t>
      </w:r>
      <w:r>
        <w:rPr>
          <w:rFonts w:hint="eastAsia" w:ascii="FangSong_GB2312" w:hAnsi="FangSong_GB2312" w:eastAsia="FangSong_GB2312" w:cs="FangSong_GB2312"/>
          <w:kern w:val="0"/>
          <w:sz w:val="32"/>
          <w:szCs w:val="32"/>
          <w:lang w:val="en-US" w:eastAsia="zh-CN"/>
        </w:rPr>
        <w:t>其他资金</w:t>
      </w:r>
      <w:r>
        <w:rPr>
          <w:rFonts w:ascii="FangSong_GB2312" w:hAnsi="FangSong_GB2312" w:eastAsia="FangSong_GB2312" w:cs="FangSong_GB2312"/>
          <w:kern w:val="0"/>
          <w:sz w:val="32"/>
          <w:szCs w:val="32"/>
        </w:rPr>
        <w:t>预算项目</w:t>
      </w:r>
      <w:r>
        <w:rPr>
          <w:rFonts w:hint="eastAsia"/>
          <w:kern w:val="0"/>
          <w:sz w:val="32"/>
          <w:szCs w:val="32"/>
          <w:u w:val="single"/>
          <w:lang w:val="en-US" w:eastAsia="zh-CN"/>
        </w:rPr>
        <w:t>1</w:t>
      </w:r>
      <w:r>
        <w:rPr>
          <w:rFonts w:ascii="FangSong_GB2312" w:hAnsi="FangSong_GB2312" w:eastAsia="FangSong_GB2312" w:cs="FangSong_GB2312"/>
          <w:kern w:val="0"/>
          <w:sz w:val="32"/>
          <w:szCs w:val="32"/>
        </w:rPr>
        <w:t>个，共涉及资金</w:t>
      </w:r>
      <w:r>
        <w:rPr>
          <w:rFonts w:eastAsia="Times New Roman"/>
          <w:kern w:val="0"/>
          <w:sz w:val="32"/>
          <w:szCs w:val="32"/>
          <w:u w:val="single"/>
          <w:lang w:eastAsia="en-US"/>
        </w:rPr>
        <w:t xml:space="preserve"> </w:t>
      </w:r>
      <w:r>
        <w:rPr>
          <w:rFonts w:hint="eastAsia"/>
          <w:kern w:val="0"/>
          <w:sz w:val="32"/>
          <w:szCs w:val="32"/>
          <w:u w:val="single"/>
          <w:lang w:val="en-US" w:eastAsia="zh-CN"/>
        </w:rPr>
        <w:t>729.5</w:t>
      </w:r>
      <w:r>
        <w:rPr>
          <w:rFonts w:ascii="FangSong_GB2312" w:hAnsi="FangSong_GB2312" w:eastAsia="FangSong_GB2312" w:cs="FangSong_GB2312"/>
          <w:kern w:val="0"/>
          <w:sz w:val="32"/>
          <w:szCs w:val="32"/>
        </w:rPr>
        <w:t>万元，占其他资金预算项目支出总额的 100%。</w:t>
      </w:r>
    </w:p>
    <w:p w14:paraId="7664B27D">
      <w:pPr>
        <w:pStyle w:val="29"/>
        <w:widowControl/>
        <w:spacing w:before="240" w:after="240"/>
        <w:ind w:firstLine="643"/>
        <w:jc w:val="left"/>
        <w:rPr>
          <w:rFonts w:ascii="Times New Roman" w:hAnsi="Times New Roman" w:eastAsia="Times New Roman" w:cs="Times New Roman"/>
          <w:kern w:val="0"/>
          <w:sz w:val="24"/>
        </w:rPr>
      </w:pPr>
      <w:r>
        <w:rPr>
          <w:rFonts w:ascii="楷体" w:hAnsi="楷体" w:eastAsia="楷体" w:cs="楷体"/>
          <w:b/>
          <w:bCs/>
          <w:kern w:val="0"/>
          <w:sz w:val="32"/>
          <w:szCs w:val="32"/>
        </w:rPr>
        <w:t>（二）部门（单位）决算中项目绩效自评结果。</w:t>
      </w:r>
    </w:p>
    <w:p w14:paraId="7346A431">
      <w:pPr>
        <w:pStyle w:val="29"/>
        <w:widowControl/>
        <w:spacing w:before="240" w:after="240" w:line="560" w:lineRule="atLeast"/>
        <w:ind w:firstLine="640"/>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内蒙古自治区特种设备检验研究院鄂尔多斯分院</w:t>
      </w:r>
      <w:r>
        <w:rPr>
          <w:rFonts w:eastAsia="Times New Roman"/>
          <w:kern w:val="0"/>
          <w:sz w:val="32"/>
          <w:szCs w:val="32"/>
          <w:lang w:eastAsia="en-US"/>
        </w:rPr>
        <w:t>2025</w:t>
      </w:r>
      <w:r>
        <w:rPr>
          <w:rFonts w:ascii="FangSong_GB2312" w:hAnsi="FangSong_GB2312" w:eastAsia="FangSong_GB2312" w:cs="FangSong_GB2312"/>
          <w:kern w:val="0"/>
          <w:sz w:val="32"/>
          <w:szCs w:val="32"/>
        </w:rPr>
        <w:t>年度在决算中反映</w:t>
      </w:r>
      <w:r>
        <w:rPr>
          <w:rFonts w:hint="eastAsia"/>
          <w:kern w:val="0"/>
          <w:sz w:val="32"/>
          <w:szCs w:val="32"/>
          <w:u w:val="single"/>
          <w:lang w:val="en-US" w:eastAsia="zh-CN"/>
        </w:rPr>
        <w:t>3</w:t>
      </w:r>
      <w:r>
        <w:rPr>
          <w:rFonts w:ascii="FangSong_GB2312" w:hAnsi="FangSong_GB2312" w:eastAsia="FangSong_GB2312" w:cs="FangSong_GB2312"/>
          <w:kern w:val="0"/>
          <w:sz w:val="32"/>
          <w:szCs w:val="32"/>
        </w:rPr>
        <w:t>个一般公共预算项目，以及</w:t>
      </w:r>
      <w:r>
        <w:rPr>
          <w:rFonts w:hint="eastAsia"/>
          <w:kern w:val="0"/>
          <w:sz w:val="32"/>
          <w:szCs w:val="32"/>
          <w:u w:val="single"/>
          <w:lang w:val="en-US" w:eastAsia="zh-CN"/>
        </w:rPr>
        <w:t>1</w:t>
      </w:r>
      <w:r>
        <w:rPr>
          <w:rFonts w:ascii="FangSong_GB2312" w:hAnsi="FangSong_GB2312" w:eastAsia="FangSong_GB2312" w:cs="FangSong_GB2312"/>
          <w:kern w:val="0"/>
          <w:sz w:val="32"/>
          <w:szCs w:val="32"/>
        </w:rPr>
        <w:t>个</w:t>
      </w:r>
      <w:r>
        <w:rPr>
          <w:rFonts w:hint="eastAsia" w:ascii="FangSong_GB2312" w:hAnsi="FangSong_GB2312" w:eastAsia="FangSong_GB2312" w:cs="FangSong_GB2312"/>
          <w:kern w:val="0"/>
          <w:sz w:val="32"/>
          <w:szCs w:val="32"/>
          <w:lang w:val="en-US" w:eastAsia="zh-CN"/>
        </w:rPr>
        <w:t>其他资金预算</w:t>
      </w:r>
      <w:r>
        <w:rPr>
          <w:rFonts w:ascii="FangSong_GB2312" w:hAnsi="FangSong_GB2312" w:eastAsia="FangSong_GB2312" w:cs="FangSong_GB2312"/>
          <w:kern w:val="0"/>
          <w:sz w:val="32"/>
          <w:szCs w:val="32"/>
        </w:rPr>
        <w:t>项目，共</w:t>
      </w:r>
      <w:r>
        <w:rPr>
          <w:rFonts w:hint="eastAsia"/>
          <w:kern w:val="0"/>
          <w:sz w:val="32"/>
          <w:szCs w:val="32"/>
          <w:u w:val="single"/>
          <w:lang w:val="en-US" w:eastAsia="zh-CN"/>
        </w:rPr>
        <w:t>4</w:t>
      </w:r>
      <w:r>
        <w:rPr>
          <w:rFonts w:ascii="FangSong_GB2312" w:hAnsi="FangSong_GB2312" w:eastAsia="FangSong_GB2312" w:cs="FangSong_GB2312"/>
          <w:kern w:val="0"/>
          <w:sz w:val="32"/>
          <w:szCs w:val="32"/>
        </w:rPr>
        <w:t>个项目的绩效自评结果。</w:t>
      </w:r>
    </w:p>
    <w:p w14:paraId="1314981D">
      <w:pPr>
        <w:pStyle w:val="29"/>
        <w:widowControl/>
        <w:numPr>
          <w:ilvl w:val="0"/>
          <w:numId w:val="1"/>
        </w:numPr>
        <w:spacing w:before="240" w:after="240" w:line="560" w:lineRule="atLeast"/>
        <w:ind w:firstLine="640"/>
        <w:jc w:val="left"/>
        <w:rPr>
          <w:rFonts w:ascii="FangSong_GB2312" w:hAnsi="FangSong_GB2312" w:eastAsia="FangSong_GB2312" w:cs="FangSong_GB2312"/>
          <w:kern w:val="0"/>
          <w:sz w:val="32"/>
          <w:szCs w:val="32"/>
        </w:rPr>
      </w:pPr>
      <w:r>
        <w:rPr>
          <w:rFonts w:hint="eastAsia" w:ascii="FangSong_GB2312" w:hAnsi="FangSong_GB2312" w:eastAsia="FangSong_GB2312" w:cs="FangSong_GB2312"/>
          <w:color w:val="auto"/>
          <w:kern w:val="0"/>
          <w:sz w:val="32"/>
          <w:szCs w:val="32"/>
          <w:lang w:val="en-US" w:eastAsia="zh-CN"/>
        </w:rPr>
        <w:t>特种设备安全监管</w:t>
      </w:r>
      <w:r>
        <w:rPr>
          <w:rFonts w:ascii="FangSong_GB2312" w:hAnsi="FangSong_GB2312" w:eastAsia="FangSong_GB2312" w:cs="FangSong_GB2312"/>
          <w:kern w:val="0"/>
          <w:sz w:val="32"/>
          <w:szCs w:val="32"/>
        </w:rPr>
        <w:t>项目自评综述：根据年初设定的绩效目标，项目自评得分</w:t>
      </w:r>
      <w:r>
        <w:rPr>
          <w:rFonts w:hint="eastAsia"/>
          <w:kern w:val="0"/>
          <w:sz w:val="32"/>
          <w:szCs w:val="32"/>
          <w:u w:val="single"/>
          <w:lang w:val="en-US" w:eastAsia="zh-CN"/>
        </w:rPr>
        <w:t>98.86</w:t>
      </w:r>
      <w:r>
        <w:rPr>
          <w:rFonts w:ascii="FangSong_GB2312" w:hAnsi="FangSong_GB2312" w:eastAsia="FangSong_GB2312" w:cs="FangSong_GB2312"/>
          <w:kern w:val="0"/>
          <w:sz w:val="32"/>
          <w:szCs w:val="32"/>
        </w:rPr>
        <w:t>分。全年预算数为</w:t>
      </w:r>
      <w:r>
        <w:rPr>
          <w:rFonts w:hint="eastAsia"/>
          <w:kern w:val="0"/>
          <w:sz w:val="32"/>
          <w:szCs w:val="32"/>
          <w:u w:val="single"/>
          <w:lang w:val="en-US" w:eastAsia="zh-CN"/>
        </w:rPr>
        <w:t>1988</w:t>
      </w:r>
      <w:r>
        <w:rPr>
          <w:rFonts w:ascii="FangSong_GB2312" w:hAnsi="FangSong_GB2312" w:eastAsia="FangSong_GB2312" w:cs="FangSong_GB2312"/>
          <w:kern w:val="0"/>
          <w:sz w:val="32"/>
          <w:szCs w:val="32"/>
        </w:rPr>
        <w:t>万元，执行数为</w:t>
      </w:r>
      <w:r>
        <w:rPr>
          <w:rFonts w:hint="eastAsia"/>
          <w:kern w:val="0"/>
          <w:sz w:val="32"/>
          <w:szCs w:val="32"/>
          <w:u w:val="single"/>
          <w:lang w:val="en-US" w:eastAsia="zh-CN"/>
        </w:rPr>
        <w:t>1935.41</w:t>
      </w:r>
      <w:r>
        <w:rPr>
          <w:rFonts w:ascii="FangSong_GB2312" w:hAnsi="FangSong_GB2312" w:eastAsia="FangSong_GB2312" w:cs="FangSong_GB2312"/>
          <w:kern w:val="0"/>
          <w:sz w:val="32"/>
          <w:szCs w:val="32"/>
        </w:rPr>
        <w:t>万元，完成预算的</w:t>
      </w:r>
      <w:r>
        <w:rPr>
          <w:rFonts w:hint="eastAsia"/>
          <w:kern w:val="0"/>
          <w:sz w:val="32"/>
          <w:szCs w:val="32"/>
          <w:u w:val="single"/>
          <w:lang w:val="en-US" w:eastAsia="zh-CN"/>
        </w:rPr>
        <w:t>97.35</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 xml:space="preserve">。项目绩效目标完成情况：完成锅炉检验 </w:t>
      </w:r>
      <w:r>
        <w:rPr>
          <w:rFonts w:hint="eastAsia" w:ascii="FangSong_GB2312" w:hAnsi="FangSong_GB2312" w:eastAsia="FangSong_GB2312" w:cs="FangSong_GB2312"/>
          <w:kern w:val="0"/>
          <w:sz w:val="32"/>
          <w:szCs w:val="32"/>
          <w:lang w:val="en-US" w:eastAsia="zh-CN"/>
        </w:rPr>
        <w:t>1101</w:t>
      </w:r>
      <w:r>
        <w:rPr>
          <w:rFonts w:ascii="FangSong_GB2312" w:hAnsi="FangSong_GB2312" w:eastAsia="FangSong_GB2312" w:cs="FangSong_GB2312"/>
          <w:kern w:val="0"/>
          <w:sz w:val="32"/>
          <w:szCs w:val="32"/>
        </w:rPr>
        <w:t xml:space="preserve"> 台；</w:t>
      </w:r>
      <w:r>
        <w:rPr>
          <w:rFonts w:hint="eastAsia" w:ascii="FangSong_GB2312" w:hAnsi="FangSong_GB2312" w:eastAsia="FangSong_GB2312" w:cs="FangSong_GB2312"/>
          <w:kern w:val="0"/>
          <w:sz w:val="32"/>
          <w:szCs w:val="32"/>
          <w:lang w:val="en-US" w:eastAsia="zh-CN"/>
        </w:rPr>
        <w:t>电梯监督检验</w:t>
      </w:r>
      <w:r>
        <w:rPr>
          <w:rFonts w:ascii="FangSong_GB2312" w:hAnsi="FangSong_GB2312" w:eastAsia="FangSong_GB2312" w:cs="FangSong_GB2312"/>
          <w:kern w:val="0"/>
          <w:sz w:val="32"/>
          <w:szCs w:val="32"/>
        </w:rPr>
        <w:t xml:space="preserve"> </w:t>
      </w:r>
      <w:r>
        <w:rPr>
          <w:rFonts w:hint="eastAsia" w:ascii="FangSong_GB2312" w:hAnsi="FangSong_GB2312" w:eastAsia="FangSong_GB2312" w:cs="FangSong_GB2312"/>
          <w:kern w:val="0"/>
          <w:sz w:val="32"/>
          <w:szCs w:val="32"/>
          <w:lang w:val="en-US" w:eastAsia="zh-CN"/>
        </w:rPr>
        <w:t>3020</w:t>
      </w:r>
      <w:r>
        <w:rPr>
          <w:rFonts w:ascii="FangSong_GB2312" w:hAnsi="FangSong_GB2312" w:eastAsia="FangSong_GB2312" w:cs="FangSong_GB2312"/>
          <w:kern w:val="0"/>
          <w:sz w:val="32"/>
          <w:szCs w:val="32"/>
        </w:rPr>
        <w:t xml:space="preserve">台；各类起重机械及厂内机动车辆检验 </w:t>
      </w:r>
      <w:r>
        <w:rPr>
          <w:rFonts w:hint="eastAsia" w:ascii="FangSong_GB2312" w:hAnsi="FangSong_GB2312" w:eastAsia="FangSong_GB2312" w:cs="FangSong_GB2312"/>
          <w:kern w:val="0"/>
          <w:sz w:val="32"/>
          <w:szCs w:val="32"/>
          <w:lang w:val="en-US" w:eastAsia="zh-CN"/>
        </w:rPr>
        <w:t>6118</w:t>
      </w:r>
      <w:r>
        <w:rPr>
          <w:rFonts w:ascii="FangSong_GB2312" w:hAnsi="FangSong_GB2312" w:eastAsia="FangSong_GB2312" w:cs="FangSong_GB2312"/>
          <w:kern w:val="0"/>
          <w:sz w:val="32"/>
          <w:szCs w:val="32"/>
        </w:rPr>
        <w:t>台；</w:t>
      </w:r>
      <w:r>
        <w:rPr>
          <w:rFonts w:hint="eastAsia" w:ascii="FangSong_GB2312" w:hAnsi="FangSong_GB2312" w:eastAsia="FangSong_GB2312" w:cs="FangSong_GB2312"/>
          <w:kern w:val="0"/>
          <w:sz w:val="32"/>
          <w:szCs w:val="32"/>
          <w:lang w:val="en-US" w:eastAsia="zh-CN"/>
        </w:rPr>
        <w:t>管道检验数量510千米；锅炉及压力容器检验数量4455台</w:t>
      </w:r>
      <w:r>
        <w:rPr>
          <w:rFonts w:ascii="FangSong_GB2312" w:hAnsi="FangSong_GB2312" w:eastAsia="FangSong_GB2312" w:cs="FangSong_GB2312"/>
          <w:kern w:val="0"/>
          <w:sz w:val="32"/>
          <w:szCs w:val="32"/>
        </w:rPr>
        <w:t>。全年</w:t>
      </w:r>
      <w:r>
        <w:rPr>
          <w:rFonts w:hint="eastAsia" w:ascii="FangSong_GB2312" w:hAnsi="FangSong_GB2312" w:eastAsia="FangSong_GB2312" w:cs="FangSong_GB2312"/>
          <w:kern w:val="0"/>
          <w:sz w:val="32"/>
          <w:szCs w:val="32"/>
          <w:lang w:val="en-US" w:eastAsia="zh-CN"/>
        </w:rPr>
        <w:t>非税</w:t>
      </w:r>
      <w:r>
        <w:rPr>
          <w:rFonts w:ascii="FangSong_GB2312" w:hAnsi="FangSong_GB2312" w:eastAsia="FangSong_GB2312" w:cs="FangSong_GB2312"/>
          <w:kern w:val="0"/>
          <w:sz w:val="32"/>
          <w:szCs w:val="32"/>
        </w:rPr>
        <w:t xml:space="preserve">收入 </w:t>
      </w:r>
      <w:r>
        <w:rPr>
          <w:rFonts w:hint="eastAsia" w:ascii="FangSong_GB2312" w:hAnsi="FangSong_GB2312" w:eastAsia="FangSong_GB2312" w:cs="FangSong_GB2312"/>
          <w:kern w:val="0"/>
          <w:sz w:val="32"/>
          <w:szCs w:val="32"/>
          <w:lang w:val="en-US" w:eastAsia="zh-CN"/>
        </w:rPr>
        <w:t>6344.77</w:t>
      </w:r>
      <w:r>
        <w:rPr>
          <w:rFonts w:ascii="FangSong_GB2312" w:hAnsi="FangSong_GB2312" w:eastAsia="FangSong_GB2312" w:cs="FangSong_GB2312"/>
          <w:kern w:val="0"/>
          <w:sz w:val="32"/>
          <w:szCs w:val="32"/>
        </w:rPr>
        <w:t xml:space="preserve"> 万元，保障鄂尔多斯市特种设备安全运转，未发生重大安全事故。</w:t>
      </w:r>
    </w:p>
    <w:tbl>
      <w:tblPr>
        <w:tblStyle w:val="19"/>
        <w:tblW w:w="957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77"/>
        <w:gridCol w:w="345"/>
        <w:gridCol w:w="1338"/>
        <w:gridCol w:w="880"/>
        <w:gridCol w:w="744"/>
        <w:gridCol w:w="729"/>
        <w:gridCol w:w="806"/>
        <w:gridCol w:w="846"/>
        <w:gridCol w:w="792"/>
        <w:gridCol w:w="790"/>
        <w:gridCol w:w="763"/>
        <w:gridCol w:w="660"/>
      </w:tblGrid>
      <w:tr w14:paraId="406149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9570"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450C5B02">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项目支出绩效自评表</w:t>
            </w:r>
            <w:r>
              <w:rPr>
                <w:rFonts w:hint="eastAsia" w:ascii="宋体" w:hAnsi="宋体" w:eastAsia="宋体" w:cs="宋体"/>
                <w:b/>
                <w:bCs/>
                <w:i w:val="0"/>
                <w:iCs w:val="0"/>
                <w:color w:val="000000"/>
                <w:kern w:val="0"/>
                <w:sz w:val="40"/>
                <w:szCs w:val="40"/>
                <w:u w:val="none"/>
                <w:lang w:val="en-US" w:eastAsia="zh-CN" w:bidi="ar"/>
              </w:rPr>
              <w:br w:type="textWrapping"/>
            </w:r>
            <w:r>
              <w:rPr>
                <w:rFonts w:hint="eastAsia" w:ascii="宋体" w:hAnsi="宋体" w:eastAsia="宋体" w:cs="宋体"/>
                <w:b/>
                <w:bCs/>
                <w:i w:val="0"/>
                <w:iCs w:val="0"/>
                <w:color w:val="000000"/>
                <w:kern w:val="0"/>
                <w:sz w:val="40"/>
                <w:szCs w:val="40"/>
                <w:u w:val="none"/>
                <w:lang w:val="en-US" w:eastAsia="zh-CN" w:bidi="ar"/>
              </w:rPr>
              <w:t>(2025年度）</w:t>
            </w:r>
          </w:p>
        </w:tc>
      </w:tr>
      <w:tr w14:paraId="123DF9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22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788E4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834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908611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特种设备安全监管经费</w:t>
            </w:r>
          </w:p>
        </w:tc>
      </w:tr>
      <w:tr w14:paraId="22AC8B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22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555E3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主管部门</w:t>
            </w:r>
          </w:p>
        </w:tc>
        <w:tc>
          <w:tcPr>
            <w:tcW w:w="369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A5DDF8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内蒙古自治区市场监督管理局部门</w:t>
            </w:r>
          </w:p>
        </w:tc>
        <w:tc>
          <w:tcPr>
            <w:tcW w:w="16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3C1C9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实施单位</w:t>
            </w:r>
          </w:p>
        </w:tc>
        <w:tc>
          <w:tcPr>
            <w:tcW w:w="300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9DF5FE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内蒙古自治区特种设备检验研究院鄂尔多斯分院</w:t>
            </w:r>
          </w:p>
        </w:tc>
      </w:tr>
      <w:tr w14:paraId="51330A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2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A829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项目资金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（万元）</w:t>
            </w: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A970A">
            <w:pPr>
              <w:rPr>
                <w:rFonts w:hint="eastAsia" w:ascii="宋体" w:hAnsi="宋体" w:eastAsia="宋体" w:cs="宋体"/>
                <w:i w:val="0"/>
                <w:iCs w:val="0"/>
                <w:color w:val="000000"/>
                <w:sz w:val="18"/>
                <w:szCs w:val="18"/>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07B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年初预算数</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6743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全年预算数</w:t>
            </w:r>
          </w:p>
        </w:tc>
        <w:tc>
          <w:tcPr>
            <w:tcW w:w="16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4569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全年执行数</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01C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155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36CB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执行率（%）</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A7B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r>
      <w:tr w14:paraId="3EA5C0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2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E09E7D">
            <w:pPr>
              <w:jc w:val="center"/>
              <w:rPr>
                <w:rFonts w:hint="eastAsia" w:ascii="宋体" w:hAnsi="宋体" w:eastAsia="宋体" w:cs="宋体"/>
                <w:i w:val="0"/>
                <w:iCs w:val="0"/>
                <w:color w:val="000000"/>
                <w:sz w:val="18"/>
                <w:szCs w:val="18"/>
                <w:u w:val="none"/>
              </w:rPr>
            </w:pP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518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年度资金总额</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658B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2138</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96A5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2138</w:t>
            </w:r>
          </w:p>
        </w:tc>
        <w:tc>
          <w:tcPr>
            <w:tcW w:w="16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0036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2085.41</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2D2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55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45AE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97.54</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DB3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9.75</w:t>
            </w:r>
          </w:p>
        </w:tc>
      </w:tr>
      <w:tr w14:paraId="09513C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2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B0FA3F">
            <w:pPr>
              <w:jc w:val="center"/>
              <w:rPr>
                <w:rFonts w:hint="eastAsia" w:ascii="宋体" w:hAnsi="宋体" w:eastAsia="宋体" w:cs="宋体"/>
                <w:i w:val="0"/>
                <w:iCs w:val="0"/>
                <w:color w:val="000000"/>
                <w:sz w:val="18"/>
                <w:szCs w:val="18"/>
                <w:u w:val="none"/>
              </w:rPr>
            </w:pP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0203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其中：财政拨款</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421B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1988</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FFF3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1988</w:t>
            </w:r>
          </w:p>
        </w:tc>
        <w:tc>
          <w:tcPr>
            <w:tcW w:w="16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03B4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1935.41</w:t>
            </w:r>
          </w:p>
        </w:tc>
        <w:tc>
          <w:tcPr>
            <w:tcW w:w="7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6E271">
            <w:pPr>
              <w:keepNext w:val="0"/>
              <w:keepLines w:val="0"/>
              <w:widowControl/>
              <w:suppressLineNumbers w:val="0"/>
              <w:jc w:val="center"/>
              <w:textAlignment w:val="center"/>
              <w:rPr>
                <w:rFonts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c>
          <w:tcPr>
            <w:tcW w:w="155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FBC6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97.35</w:t>
            </w:r>
          </w:p>
        </w:tc>
        <w:tc>
          <w:tcPr>
            <w:tcW w:w="6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3D47F">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r>
      <w:tr w14:paraId="10401E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2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DE796F">
            <w:pPr>
              <w:jc w:val="center"/>
              <w:rPr>
                <w:rFonts w:hint="eastAsia" w:ascii="宋体" w:hAnsi="宋体" w:eastAsia="宋体" w:cs="宋体"/>
                <w:i w:val="0"/>
                <w:iCs w:val="0"/>
                <w:color w:val="000000"/>
                <w:sz w:val="18"/>
                <w:szCs w:val="18"/>
                <w:u w:val="none"/>
              </w:rPr>
            </w:pP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C05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上年结转资金</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02FBC">
            <w:pPr>
              <w:rPr>
                <w:rFonts w:hint="eastAsia" w:ascii="宋体" w:hAnsi="宋体" w:eastAsia="宋体" w:cs="宋体"/>
                <w:i w:val="0"/>
                <w:iCs w:val="0"/>
                <w:color w:val="000000"/>
                <w:sz w:val="18"/>
                <w:szCs w:val="18"/>
                <w:u w:val="none"/>
              </w:rPr>
            </w:pP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5FF7D8">
            <w:pPr>
              <w:jc w:val="center"/>
              <w:rPr>
                <w:rFonts w:hint="eastAsia" w:ascii="宋体" w:hAnsi="宋体" w:eastAsia="宋体" w:cs="宋体"/>
                <w:i w:val="0"/>
                <w:iCs w:val="0"/>
                <w:color w:val="000000"/>
                <w:sz w:val="18"/>
                <w:szCs w:val="18"/>
                <w:u w:val="none"/>
              </w:rPr>
            </w:pPr>
          </w:p>
        </w:tc>
        <w:tc>
          <w:tcPr>
            <w:tcW w:w="16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DECA8F">
            <w:pPr>
              <w:jc w:val="center"/>
              <w:rPr>
                <w:rFonts w:hint="eastAsia" w:ascii="宋体" w:hAnsi="宋体" w:eastAsia="宋体" w:cs="宋体"/>
                <w:i w:val="0"/>
                <w:iCs w:val="0"/>
                <w:color w:val="000000"/>
                <w:sz w:val="18"/>
                <w:szCs w:val="18"/>
                <w:u w:val="none"/>
              </w:rPr>
            </w:pPr>
          </w:p>
        </w:tc>
        <w:tc>
          <w:tcPr>
            <w:tcW w:w="7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773BB">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c>
          <w:tcPr>
            <w:tcW w:w="155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7886EE">
            <w:pPr>
              <w:jc w:val="center"/>
              <w:rPr>
                <w:rFonts w:hint="eastAsia" w:ascii="宋体" w:hAnsi="宋体" w:eastAsia="宋体" w:cs="宋体"/>
                <w:i w:val="0"/>
                <w:iCs w:val="0"/>
                <w:color w:val="000000"/>
                <w:sz w:val="18"/>
                <w:szCs w:val="18"/>
                <w:u w:val="none"/>
              </w:rPr>
            </w:pPr>
          </w:p>
        </w:tc>
        <w:tc>
          <w:tcPr>
            <w:tcW w:w="6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EFB3F">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r>
      <w:tr w14:paraId="3B8980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2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8F0912">
            <w:pPr>
              <w:jc w:val="center"/>
              <w:rPr>
                <w:rFonts w:hint="eastAsia" w:ascii="宋体" w:hAnsi="宋体" w:eastAsia="宋体" w:cs="宋体"/>
                <w:i w:val="0"/>
                <w:iCs w:val="0"/>
                <w:color w:val="000000"/>
                <w:sz w:val="18"/>
                <w:szCs w:val="18"/>
                <w:u w:val="none"/>
              </w:rPr>
            </w:pP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AAA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其他资金</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A4BC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8D3C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w:t>
            </w:r>
          </w:p>
        </w:tc>
        <w:tc>
          <w:tcPr>
            <w:tcW w:w="16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1AF8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w:t>
            </w:r>
          </w:p>
        </w:tc>
        <w:tc>
          <w:tcPr>
            <w:tcW w:w="7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9D951">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c>
          <w:tcPr>
            <w:tcW w:w="155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1E17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6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DC9D2">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r>
      <w:tr w14:paraId="65D095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2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93FB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年度总体目标</w:t>
            </w:r>
          </w:p>
        </w:tc>
        <w:tc>
          <w:tcPr>
            <w:tcW w:w="449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5D702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预期目标</w:t>
            </w:r>
          </w:p>
        </w:tc>
        <w:tc>
          <w:tcPr>
            <w:tcW w:w="385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A83BC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实际完成情况</w:t>
            </w:r>
          </w:p>
        </w:tc>
      </w:tr>
      <w:tr w14:paraId="623F38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2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8CBF29">
            <w:pPr>
              <w:jc w:val="center"/>
              <w:rPr>
                <w:rFonts w:hint="eastAsia" w:ascii="宋体" w:hAnsi="宋体" w:eastAsia="宋体" w:cs="宋体"/>
                <w:i w:val="0"/>
                <w:iCs w:val="0"/>
                <w:color w:val="000000"/>
                <w:sz w:val="18"/>
                <w:szCs w:val="18"/>
                <w:u w:val="none"/>
              </w:rPr>
            </w:pPr>
          </w:p>
        </w:tc>
        <w:tc>
          <w:tcPr>
            <w:tcW w:w="449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B7FAB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用于保障特种设备安全监管工作开展，完成全年检验任务，依法定期对全市特种设备进行安全检验，保障人民群众生命和财产安全，努力完成内蒙古自治区煤化工及新能源装置安全技术中心工程项目建设。</w:t>
            </w:r>
          </w:p>
        </w:tc>
        <w:tc>
          <w:tcPr>
            <w:tcW w:w="385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E9CBA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预期目标：完成全年检验任务，依法定期对全市特种设备进行安全检验，保障人民群众生命和财产安全。提高业务人员素质、能力，努力建成中国煤炭及化工设备质量监督及检验中心，保证鄂尔多斯市特种设备正常安全使用，依法对全市的特种设备进行定期检验，监督检验。</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绩效目标实际完成情况：完成锅炉检验1101台；压力容器检验4455台；压力管道检验510千米；电梯检验3020台；各类起重机械及厂内机动车辆检验6118台。全年累计完成非税收入6344.77万元。</w:t>
            </w:r>
          </w:p>
        </w:tc>
      </w:tr>
      <w:tr w14:paraId="614195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03F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绩效指标</w:t>
            </w:r>
          </w:p>
        </w:tc>
        <w:tc>
          <w:tcPr>
            <w:tcW w:w="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2F8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一级指标</w:t>
            </w: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D56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二级指标</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2E9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三级指标</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63A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指标性质</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4A8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指标方向</w:t>
            </w:r>
          </w:p>
        </w:tc>
        <w:tc>
          <w:tcPr>
            <w:tcW w:w="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E00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年度指标值</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7D7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实际完成值</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720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计量单位</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4A4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9BE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B394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偏差原因分析及改进措施</w:t>
            </w:r>
          </w:p>
        </w:tc>
      </w:tr>
      <w:tr w14:paraId="56FA97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877" w:type="dxa"/>
            <w:vMerge w:val="restart"/>
            <w:tcBorders>
              <w:top w:val="single" w:color="000000" w:sz="4" w:space="0"/>
              <w:left w:val="single" w:color="000000" w:sz="4" w:space="0"/>
              <w:bottom w:val="nil"/>
              <w:right w:val="single" w:color="000000" w:sz="4" w:space="0"/>
            </w:tcBorders>
            <w:shd w:val="clear" w:color="auto" w:fill="auto"/>
            <w:vAlign w:val="center"/>
          </w:tcPr>
          <w:p w14:paraId="5FF616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绩效指标</w:t>
            </w:r>
          </w:p>
        </w:tc>
        <w:tc>
          <w:tcPr>
            <w:tcW w:w="345" w:type="dxa"/>
            <w:vMerge w:val="restart"/>
            <w:tcBorders>
              <w:top w:val="single" w:color="000000" w:sz="4" w:space="0"/>
              <w:left w:val="single" w:color="000000" w:sz="4" w:space="0"/>
              <w:bottom w:val="nil"/>
              <w:right w:val="single" w:color="000000" w:sz="4" w:space="0"/>
            </w:tcBorders>
            <w:shd w:val="clear" w:color="auto" w:fill="auto"/>
            <w:vAlign w:val="center"/>
          </w:tcPr>
          <w:p w14:paraId="0C3000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1338" w:type="dxa"/>
            <w:vMerge w:val="restart"/>
            <w:tcBorders>
              <w:top w:val="single" w:color="000000" w:sz="4" w:space="0"/>
              <w:left w:val="single" w:color="000000" w:sz="4" w:space="0"/>
              <w:bottom w:val="nil"/>
              <w:right w:val="single" w:color="000000" w:sz="4" w:space="0"/>
            </w:tcBorders>
            <w:shd w:val="clear" w:color="auto" w:fill="auto"/>
            <w:vAlign w:val="center"/>
          </w:tcPr>
          <w:p w14:paraId="042360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880" w:type="dxa"/>
            <w:tcBorders>
              <w:top w:val="single" w:color="000000" w:sz="4" w:space="0"/>
              <w:left w:val="single" w:color="000000" w:sz="4" w:space="0"/>
              <w:bottom w:val="nil"/>
              <w:right w:val="single" w:color="000000" w:sz="4" w:space="0"/>
            </w:tcBorders>
            <w:shd w:val="clear" w:color="auto" w:fill="auto"/>
            <w:vAlign w:val="center"/>
          </w:tcPr>
          <w:p w14:paraId="373132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完成锅炉检验数量</w:t>
            </w:r>
          </w:p>
        </w:tc>
        <w:tc>
          <w:tcPr>
            <w:tcW w:w="744" w:type="dxa"/>
            <w:tcBorders>
              <w:top w:val="single" w:color="000000" w:sz="4" w:space="0"/>
              <w:left w:val="single" w:color="000000" w:sz="4" w:space="0"/>
              <w:bottom w:val="nil"/>
              <w:right w:val="single" w:color="000000" w:sz="4" w:space="0"/>
            </w:tcBorders>
            <w:shd w:val="clear" w:color="auto" w:fill="auto"/>
            <w:vAlign w:val="center"/>
          </w:tcPr>
          <w:p w14:paraId="038D8F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729" w:type="dxa"/>
            <w:tcBorders>
              <w:top w:val="single" w:color="000000" w:sz="4" w:space="0"/>
              <w:left w:val="single" w:color="000000" w:sz="4" w:space="0"/>
              <w:bottom w:val="nil"/>
              <w:right w:val="single" w:color="000000" w:sz="4" w:space="0"/>
            </w:tcBorders>
            <w:shd w:val="clear" w:color="auto" w:fill="auto"/>
            <w:vAlign w:val="center"/>
          </w:tcPr>
          <w:p w14:paraId="3A98DD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806" w:type="dxa"/>
            <w:tcBorders>
              <w:top w:val="single" w:color="000000" w:sz="4" w:space="0"/>
              <w:left w:val="single" w:color="000000" w:sz="4" w:space="0"/>
              <w:bottom w:val="nil"/>
              <w:right w:val="single" w:color="000000" w:sz="4" w:space="0"/>
            </w:tcBorders>
            <w:shd w:val="clear" w:color="auto" w:fill="auto"/>
            <w:vAlign w:val="center"/>
          </w:tcPr>
          <w:p w14:paraId="12F88B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1250</w:t>
            </w:r>
          </w:p>
        </w:tc>
        <w:tc>
          <w:tcPr>
            <w:tcW w:w="846" w:type="dxa"/>
            <w:tcBorders>
              <w:top w:val="single" w:color="000000" w:sz="4" w:space="0"/>
              <w:left w:val="single" w:color="000000" w:sz="4" w:space="0"/>
              <w:bottom w:val="nil"/>
              <w:right w:val="single" w:color="000000" w:sz="4" w:space="0"/>
            </w:tcBorders>
            <w:shd w:val="clear" w:color="auto" w:fill="auto"/>
            <w:vAlign w:val="center"/>
          </w:tcPr>
          <w:p w14:paraId="52CE59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1101</w:t>
            </w:r>
          </w:p>
        </w:tc>
        <w:tc>
          <w:tcPr>
            <w:tcW w:w="792" w:type="dxa"/>
            <w:tcBorders>
              <w:top w:val="single" w:color="000000" w:sz="4" w:space="0"/>
              <w:left w:val="single" w:color="000000" w:sz="4" w:space="0"/>
              <w:bottom w:val="nil"/>
              <w:right w:val="single" w:color="000000" w:sz="4" w:space="0"/>
            </w:tcBorders>
            <w:shd w:val="clear" w:color="auto" w:fill="auto"/>
            <w:vAlign w:val="center"/>
          </w:tcPr>
          <w:p w14:paraId="7D767F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790" w:type="dxa"/>
            <w:tcBorders>
              <w:top w:val="single" w:color="000000" w:sz="4" w:space="0"/>
              <w:left w:val="single" w:color="000000" w:sz="4" w:space="0"/>
              <w:bottom w:val="nil"/>
              <w:right w:val="single" w:color="000000" w:sz="4" w:space="0"/>
            </w:tcBorders>
            <w:shd w:val="clear" w:color="auto" w:fill="auto"/>
            <w:vAlign w:val="center"/>
          </w:tcPr>
          <w:p w14:paraId="66D4E9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763" w:type="dxa"/>
            <w:tcBorders>
              <w:top w:val="single" w:color="000000" w:sz="4" w:space="0"/>
              <w:left w:val="single" w:color="000000" w:sz="4" w:space="0"/>
              <w:bottom w:val="nil"/>
              <w:right w:val="single" w:color="000000" w:sz="4" w:space="0"/>
            </w:tcBorders>
            <w:shd w:val="clear" w:color="auto" w:fill="auto"/>
            <w:vAlign w:val="center"/>
          </w:tcPr>
          <w:p w14:paraId="35EA89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2.64</w:t>
            </w:r>
          </w:p>
        </w:tc>
        <w:tc>
          <w:tcPr>
            <w:tcW w:w="660" w:type="dxa"/>
            <w:tcBorders>
              <w:top w:val="single" w:color="000000" w:sz="4" w:space="0"/>
              <w:left w:val="single" w:color="000000" w:sz="4" w:space="0"/>
              <w:bottom w:val="nil"/>
              <w:right w:val="single" w:color="000000" w:sz="4" w:space="0"/>
            </w:tcBorders>
            <w:shd w:val="clear" w:color="auto" w:fill="auto"/>
            <w:vAlign w:val="center"/>
          </w:tcPr>
          <w:p w14:paraId="09462DD6">
            <w:pPr>
              <w:jc w:val="center"/>
              <w:rPr>
                <w:rFonts w:hint="eastAsia" w:ascii="宋体" w:hAnsi="宋体" w:eastAsia="宋体" w:cs="宋体"/>
                <w:i w:val="0"/>
                <w:iCs w:val="0"/>
                <w:color w:val="000000"/>
                <w:sz w:val="18"/>
                <w:szCs w:val="18"/>
                <w:u w:val="none"/>
              </w:rPr>
            </w:pPr>
          </w:p>
        </w:tc>
      </w:tr>
      <w:tr w14:paraId="71C43F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877" w:type="dxa"/>
            <w:vMerge w:val="continue"/>
            <w:tcBorders>
              <w:top w:val="single" w:color="000000" w:sz="4" w:space="0"/>
              <w:left w:val="single" w:color="000000" w:sz="4" w:space="0"/>
              <w:bottom w:val="nil"/>
              <w:right w:val="single" w:color="000000" w:sz="4" w:space="0"/>
            </w:tcBorders>
            <w:shd w:val="clear" w:color="auto" w:fill="auto"/>
            <w:vAlign w:val="center"/>
          </w:tcPr>
          <w:p w14:paraId="6A310C73">
            <w:pPr>
              <w:jc w:val="center"/>
              <w:rPr>
                <w:rFonts w:hint="eastAsia" w:ascii="宋体" w:hAnsi="宋体" w:eastAsia="宋体" w:cs="宋体"/>
                <w:i w:val="0"/>
                <w:iCs w:val="0"/>
                <w:color w:val="000000"/>
                <w:sz w:val="18"/>
                <w:szCs w:val="18"/>
                <w:u w:val="none"/>
              </w:rPr>
            </w:pPr>
          </w:p>
        </w:tc>
        <w:tc>
          <w:tcPr>
            <w:tcW w:w="345" w:type="dxa"/>
            <w:vMerge w:val="continue"/>
            <w:tcBorders>
              <w:top w:val="single" w:color="000000" w:sz="4" w:space="0"/>
              <w:left w:val="single" w:color="000000" w:sz="4" w:space="0"/>
              <w:bottom w:val="nil"/>
              <w:right w:val="single" w:color="000000" w:sz="4" w:space="0"/>
            </w:tcBorders>
            <w:shd w:val="clear" w:color="auto" w:fill="auto"/>
            <w:vAlign w:val="center"/>
          </w:tcPr>
          <w:p w14:paraId="062C7249">
            <w:pPr>
              <w:jc w:val="center"/>
              <w:rPr>
                <w:rFonts w:hint="eastAsia" w:ascii="宋体" w:hAnsi="宋体" w:eastAsia="宋体" w:cs="宋体"/>
                <w:i w:val="0"/>
                <w:iCs w:val="0"/>
                <w:color w:val="000000"/>
                <w:sz w:val="18"/>
                <w:szCs w:val="18"/>
                <w:u w:val="none"/>
              </w:rPr>
            </w:pPr>
          </w:p>
        </w:tc>
        <w:tc>
          <w:tcPr>
            <w:tcW w:w="1338" w:type="dxa"/>
            <w:vMerge w:val="continue"/>
            <w:tcBorders>
              <w:top w:val="single" w:color="000000" w:sz="4" w:space="0"/>
              <w:left w:val="single" w:color="000000" w:sz="4" w:space="0"/>
              <w:bottom w:val="nil"/>
              <w:right w:val="single" w:color="000000" w:sz="4" w:space="0"/>
            </w:tcBorders>
            <w:shd w:val="clear" w:color="auto" w:fill="auto"/>
            <w:vAlign w:val="center"/>
          </w:tcPr>
          <w:p w14:paraId="32D51C12">
            <w:pPr>
              <w:jc w:val="center"/>
              <w:rPr>
                <w:rFonts w:hint="eastAsia" w:ascii="宋体" w:hAnsi="宋体" w:eastAsia="宋体" w:cs="宋体"/>
                <w:i w:val="0"/>
                <w:iCs w:val="0"/>
                <w:color w:val="000000"/>
                <w:sz w:val="18"/>
                <w:szCs w:val="18"/>
                <w:u w:val="none"/>
              </w:rPr>
            </w:pPr>
          </w:p>
        </w:tc>
        <w:tc>
          <w:tcPr>
            <w:tcW w:w="880" w:type="dxa"/>
            <w:tcBorders>
              <w:top w:val="single" w:color="000000" w:sz="4" w:space="0"/>
              <w:left w:val="single" w:color="000000" w:sz="4" w:space="0"/>
              <w:bottom w:val="nil"/>
              <w:right w:val="single" w:color="000000" w:sz="4" w:space="0"/>
            </w:tcBorders>
            <w:shd w:val="clear" w:color="auto" w:fill="auto"/>
            <w:vAlign w:val="center"/>
          </w:tcPr>
          <w:p w14:paraId="4162B7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完成电梯监督检验数量</w:t>
            </w:r>
          </w:p>
        </w:tc>
        <w:tc>
          <w:tcPr>
            <w:tcW w:w="744" w:type="dxa"/>
            <w:tcBorders>
              <w:top w:val="single" w:color="000000" w:sz="4" w:space="0"/>
              <w:left w:val="single" w:color="000000" w:sz="4" w:space="0"/>
              <w:bottom w:val="nil"/>
              <w:right w:val="single" w:color="000000" w:sz="4" w:space="0"/>
            </w:tcBorders>
            <w:shd w:val="clear" w:color="auto" w:fill="auto"/>
            <w:vAlign w:val="center"/>
          </w:tcPr>
          <w:p w14:paraId="20FE5F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729" w:type="dxa"/>
            <w:tcBorders>
              <w:top w:val="single" w:color="000000" w:sz="4" w:space="0"/>
              <w:left w:val="single" w:color="000000" w:sz="4" w:space="0"/>
              <w:bottom w:val="nil"/>
              <w:right w:val="single" w:color="000000" w:sz="4" w:space="0"/>
            </w:tcBorders>
            <w:shd w:val="clear" w:color="auto" w:fill="auto"/>
            <w:vAlign w:val="center"/>
          </w:tcPr>
          <w:p w14:paraId="514020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806" w:type="dxa"/>
            <w:tcBorders>
              <w:top w:val="single" w:color="000000" w:sz="4" w:space="0"/>
              <w:left w:val="single" w:color="000000" w:sz="4" w:space="0"/>
              <w:bottom w:val="nil"/>
              <w:right w:val="single" w:color="000000" w:sz="4" w:space="0"/>
            </w:tcBorders>
            <w:shd w:val="clear" w:color="auto" w:fill="auto"/>
            <w:vAlign w:val="center"/>
          </w:tcPr>
          <w:p w14:paraId="067A5C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846" w:type="dxa"/>
            <w:tcBorders>
              <w:top w:val="single" w:color="000000" w:sz="4" w:space="0"/>
              <w:left w:val="single" w:color="000000" w:sz="4" w:space="0"/>
              <w:bottom w:val="nil"/>
              <w:right w:val="single" w:color="000000" w:sz="4" w:space="0"/>
            </w:tcBorders>
            <w:shd w:val="clear" w:color="auto" w:fill="auto"/>
            <w:vAlign w:val="center"/>
          </w:tcPr>
          <w:p w14:paraId="27CA06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3020</w:t>
            </w:r>
          </w:p>
        </w:tc>
        <w:tc>
          <w:tcPr>
            <w:tcW w:w="792" w:type="dxa"/>
            <w:tcBorders>
              <w:top w:val="single" w:color="000000" w:sz="4" w:space="0"/>
              <w:left w:val="single" w:color="000000" w:sz="4" w:space="0"/>
              <w:bottom w:val="nil"/>
              <w:right w:val="single" w:color="000000" w:sz="4" w:space="0"/>
            </w:tcBorders>
            <w:shd w:val="clear" w:color="auto" w:fill="auto"/>
            <w:vAlign w:val="center"/>
          </w:tcPr>
          <w:p w14:paraId="418982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790" w:type="dxa"/>
            <w:tcBorders>
              <w:top w:val="single" w:color="000000" w:sz="4" w:space="0"/>
              <w:left w:val="single" w:color="000000" w:sz="4" w:space="0"/>
              <w:bottom w:val="nil"/>
              <w:right w:val="single" w:color="000000" w:sz="4" w:space="0"/>
            </w:tcBorders>
            <w:shd w:val="clear" w:color="auto" w:fill="auto"/>
            <w:vAlign w:val="center"/>
          </w:tcPr>
          <w:p w14:paraId="62219B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763" w:type="dxa"/>
            <w:tcBorders>
              <w:top w:val="single" w:color="000000" w:sz="4" w:space="0"/>
              <w:left w:val="single" w:color="000000" w:sz="4" w:space="0"/>
              <w:bottom w:val="nil"/>
              <w:right w:val="single" w:color="000000" w:sz="4" w:space="0"/>
            </w:tcBorders>
            <w:shd w:val="clear" w:color="auto" w:fill="auto"/>
            <w:vAlign w:val="center"/>
          </w:tcPr>
          <w:p w14:paraId="4F8570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660" w:type="dxa"/>
            <w:tcBorders>
              <w:top w:val="single" w:color="000000" w:sz="4" w:space="0"/>
              <w:left w:val="single" w:color="000000" w:sz="4" w:space="0"/>
              <w:bottom w:val="nil"/>
              <w:right w:val="single" w:color="000000" w:sz="4" w:space="0"/>
            </w:tcBorders>
            <w:shd w:val="clear" w:color="auto" w:fill="auto"/>
            <w:vAlign w:val="center"/>
          </w:tcPr>
          <w:p w14:paraId="5D9AC343">
            <w:pPr>
              <w:jc w:val="center"/>
              <w:rPr>
                <w:rFonts w:hint="eastAsia" w:ascii="宋体" w:hAnsi="宋体" w:eastAsia="宋体" w:cs="宋体"/>
                <w:i w:val="0"/>
                <w:iCs w:val="0"/>
                <w:color w:val="000000"/>
                <w:sz w:val="18"/>
                <w:szCs w:val="18"/>
                <w:u w:val="none"/>
              </w:rPr>
            </w:pPr>
          </w:p>
        </w:tc>
      </w:tr>
      <w:tr w14:paraId="494B44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877" w:type="dxa"/>
            <w:vMerge w:val="continue"/>
            <w:tcBorders>
              <w:top w:val="single" w:color="000000" w:sz="4" w:space="0"/>
              <w:left w:val="single" w:color="000000" w:sz="4" w:space="0"/>
              <w:bottom w:val="nil"/>
              <w:right w:val="single" w:color="000000" w:sz="4" w:space="0"/>
            </w:tcBorders>
            <w:shd w:val="clear" w:color="auto" w:fill="auto"/>
            <w:vAlign w:val="center"/>
          </w:tcPr>
          <w:p w14:paraId="5B689D0E">
            <w:pPr>
              <w:jc w:val="center"/>
              <w:rPr>
                <w:rFonts w:hint="eastAsia" w:ascii="宋体" w:hAnsi="宋体" w:eastAsia="宋体" w:cs="宋体"/>
                <w:i w:val="0"/>
                <w:iCs w:val="0"/>
                <w:color w:val="000000"/>
                <w:sz w:val="18"/>
                <w:szCs w:val="18"/>
                <w:u w:val="none"/>
              </w:rPr>
            </w:pPr>
          </w:p>
        </w:tc>
        <w:tc>
          <w:tcPr>
            <w:tcW w:w="345" w:type="dxa"/>
            <w:vMerge w:val="continue"/>
            <w:tcBorders>
              <w:top w:val="single" w:color="000000" w:sz="4" w:space="0"/>
              <w:left w:val="single" w:color="000000" w:sz="4" w:space="0"/>
              <w:bottom w:val="nil"/>
              <w:right w:val="single" w:color="000000" w:sz="4" w:space="0"/>
            </w:tcBorders>
            <w:shd w:val="clear" w:color="auto" w:fill="auto"/>
            <w:vAlign w:val="center"/>
          </w:tcPr>
          <w:p w14:paraId="64B91948">
            <w:pPr>
              <w:jc w:val="center"/>
              <w:rPr>
                <w:rFonts w:hint="eastAsia" w:ascii="宋体" w:hAnsi="宋体" w:eastAsia="宋体" w:cs="宋体"/>
                <w:i w:val="0"/>
                <w:iCs w:val="0"/>
                <w:color w:val="000000"/>
                <w:sz w:val="18"/>
                <w:szCs w:val="18"/>
                <w:u w:val="none"/>
              </w:rPr>
            </w:pPr>
          </w:p>
        </w:tc>
        <w:tc>
          <w:tcPr>
            <w:tcW w:w="1338" w:type="dxa"/>
            <w:vMerge w:val="continue"/>
            <w:tcBorders>
              <w:top w:val="single" w:color="000000" w:sz="4" w:space="0"/>
              <w:left w:val="single" w:color="000000" w:sz="4" w:space="0"/>
              <w:bottom w:val="nil"/>
              <w:right w:val="single" w:color="000000" w:sz="4" w:space="0"/>
            </w:tcBorders>
            <w:shd w:val="clear" w:color="auto" w:fill="auto"/>
            <w:vAlign w:val="center"/>
          </w:tcPr>
          <w:p w14:paraId="3BB265A7">
            <w:pPr>
              <w:jc w:val="center"/>
              <w:rPr>
                <w:rFonts w:hint="eastAsia" w:ascii="宋体" w:hAnsi="宋体" w:eastAsia="宋体" w:cs="宋体"/>
                <w:i w:val="0"/>
                <w:iCs w:val="0"/>
                <w:color w:val="000000"/>
                <w:sz w:val="18"/>
                <w:szCs w:val="18"/>
                <w:u w:val="none"/>
              </w:rPr>
            </w:pPr>
          </w:p>
        </w:tc>
        <w:tc>
          <w:tcPr>
            <w:tcW w:w="880" w:type="dxa"/>
            <w:tcBorders>
              <w:top w:val="single" w:color="000000" w:sz="4" w:space="0"/>
              <w:left w:val="single" w:color="000000" w:sz="4" w:space="0"/>
              <w:bottom w:val="nil"/>
              <w:right w:val="single" w:color="000000" w:sz="4" w:space="0"/>
            </w:tcBorders>
            <w:shd w:val="clear" w:color="auto" w:fill="auto"/>
            <w:vAlign w:val="center"/>
          </w:tcPr>
          <w:p w14:paraId="377301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完成起重机械检验数量</w:t>
            </w:r>
          </w:p>
        </w:tc>
        <w:tc>
          <w:tcPr>
            <w:tcW w:w="744" w:type="dxa"/>
            <w:tcBorders>
              <w:top w:val="single" w:color="000000" w:sz="4" w:space="0"/>
              <w:left w:val="single" w:color="000000" w:sz="4" w:space="0"/>
              <w:bottom w:val="nil"/>
              <w:right w:val="single" w:color="000000" w:sz="4" w:space="0"/>
            </w:tcBorders>
            <w:shd w:val="clear" w:color="auto" w:fill="auto"/>
            <w:vAlign w:val="center"/>
          </w:tcPr>
          <w:p w14:paraId="35597C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729" w:type="dxa"/>
            <w:tcBorders>
              <w:top w:val="single" w:color="000000" w:sz="4" w:space="0"/>
              <w:left w:val="single" w:color="000000" w:sz="4" w:space="0"/>
              <w:bottom w:val="nil"/>
              <w:right w:val="single" w:color="000000" w:sz="4" w:space="0"/>
            </w:tcBorders>
            <w:shd w:val="clear" w:color="auto" w:fill="auto"/>
            <w:vAlign w:val="center"/>
          </w:tcPr>
          <w:p w14:paraId="055F2E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806" w:type="dxa"/>
            <w:tcBorders>
              <w:top w:val="single" w:color="000000" w:sz="4" w:space="0"/>
              <w:left w:val="single" w:color="000000" w:sz="4" w:space="0"/>
              <w:bottom w:val="nil"/>
              <w:right w:val="single" w:color="000000" w:sz="4" w:space="0"/>
            </w:tcBorders>
            <w:shd w:val="clear" w:color="auto" w:fill="auto"/>
            <w:vAlign w:val="center"/>
          </w:tcPr>
          <w:p w14:paraId="0DFDAA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5300</w:t>
            </w:r>
          </w:p>
        </w:tc>
        <w:tc>
          <w:tcPr>
            <w:tcW w:w="846" w:type="dxa"/>
            <w:tcBorders>
              <w:top w:val="single" w:color="000000" w:sz="4" w:space="0"/>
              <w:left w:val="single" w:color="000000" w:sz="4" w:space="0"/>
              <w:bottom w:val="nil"/>
              <w:right w:val="single" w:color="000000" w:sz="4" w:space="0"/>
            </w:tcBorders>
            <w:shd w:val="clear" w:color="auto" w:fill="auto"/>
            <w:vAlign w:val="center"/>
          </w:tcPr>
          <w:p w14:paraId="196CE3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6118</w:t>
            </w:r>
          </w:p>
        </w:tc>
        <w:tc>
          <w:tcPr>
            <w:tcW w:w="792" w:type="dxa"/>
            <w:tcBorders>
              <w:top w:val="single" w:color="000000" w:sz="4" w:space="0"/>
              <w:left w:val="single" w:color="000000" w:sz="4" w:space="0"/>
              <w:bottom w:val="nil"/>
              <w:right w:val="single" w:color="000000" w:sz="4" w:space="0"/>
            </w:tcBorders>
            <w:shd w:val="clear" w:color="auto" w:fill="auto"/>
            <w:vAlign w:val="center"/>
          </w:tcPr>
          <w:p w14:paraId="671472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790" w:type="dxa"/>
            <w:tcBorders>
              <w:top w:val="single" w:color="000000" w:sz="4" w:space="0"/>
              <w:left w:val="single" w:color="000000" w:sz="4" w:space="0"/>
              <w:bottom w:val="nil"/>
              <w:right w:val="single" w:color="000000" w:sz="4" w:space="0"/>
            </w:tcBorders>
            <w:shd w:val="clear" w:color="auto" w:fill="auto"/>
            <w:vAlign w:val="center"/>
          </w:tcPr>
          <w:p w14:paraId="5A8453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763" w:type="dxa"/>
            <w:tcBorders>
              <w:top w:val="single" w:color="000000" w:sz="4" w:space="0"/>
              <w:left w:val="single" w:color="000000" w:sz="4" w:space="0"/>
              <w:bottom w:val="nil"/>
              <w:right w:val="single" w:color="000000" w:sz="4" w:space="0"/>
            </w:tcBorders>
            <w:shd w:val="clear" w:color="auto" w:fill="auto"/>
            <w:vAlign w:val="center"/>
          </w:tcPr>
          <w:p w14:paraId="684D9F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660" w:type="dxa"/>
            <w:tcBorders>
              <w:top w:val="single" w:color="000000" w:sz="4" w:space="0"/>
              <w:left w:val="single" w:color="000000" w:sz="4" w:space="0"/>
              <w:bottom w:val="nil"/>
              <w:right w:val="single" w:color="000000" w:sz="4" w:space="0"/>
            </w:tcBorders>
            <w:shd w:val="clear" w:color="auto" w:fill="auto"/>
            <w:vAlign w:val="center"/>
          </w:tcPr>
          <w:p w14:paraId="6D55EB35">
            <w:pPr>
              <w:jc w:val="center"/>
              <w:rPr>
                <w:rFonts w:hint="eastAsia" w:ascii="宋体" w:hAnsi="宋体" w:eastAsia="宋体" w:cs="宋体"/>
                <w:i w:val="0"/>
                <w:iCs w:val="0"/>
                <w:color w:val="000000"/>
                <w:sz w:val="18"/>
                <w:szCs w:val="18"/>
                <w:u w:val="none"/>
              </w:rPr>
            </w:pPr>
          </w:p>
        </w:tc>
      </w:tr>
      <w:tr w14:paraId="368689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877" w:type="dxa"/>
            <w:vMerge w:val="continue"/>
            <w:tcBorders>
              <w:top w:val="single" w:color="000000" w:sz="4" w:space="0"/>
              <w:left w:val="single" w:color="000000" w:sz="4" w:space="0"/>
              <w:bottom w:val="nil"/>
              <w:right w:val="single" w:color="000000" w:sz="4" w:space="0"/>
            </w:tcBorders>
            <w:shd w:val="clear" w:color="auto" w:fill="auto"/>
            <w:vAlign w:val="center"/>
          </w:tcPr>
          <w:p w14:paraId="4DF3F7F4">
            <w:pPr>
              <w:jc w:val="center"/>
              <w:rPr>
                <w:rFonts w:hint="eastAsia" w:ascii="宋体" w:hAnsi="宋体" w:eastAsia="宋体" w:cs="宋体"/>
                <w:i w:val="0"/>
                <w:iCs w:val="0"/>
                <w:color w:val="000000"/>
                <w:sz w:val="18"/>
                <w:szCs w:val="18"/>
                <w:u w:val="none"/>
              </w:rPr>
            </w:pPr>
          </w:p>
        </w:tc>
        <w:tc>
          <w:tcPr>
            <w:tcW w:w="345" w:type="dxa"/>
            <w:vMerge w:val="continue"/>
            <w:tcBorders>
              <w:top w:val="single" w:color="000000" w:sz="4" w:space="0"/>
              <w:left w:val="single" w:color="000000" w:sz="4" w:space="0"/>
              <w:bottom w:val="nil"/>
              <w:right w:val="single" w:color="000000" w:sz="4" w:space="0"/>
            </w:tcBorders>
            <w:shd w:val="clear" w:color="auto" w:fill="auto"/>
            <w:vAlign w:val="center"/>
          </w:tcPr>
          <w:p w14:paraId="00745BF2">
            <w:pPr>
              <w:jc w:val="center"/>
              <w:rPr>
                <w:rFonts w:hint="eastAsia" w:ascii="宋体" w:hAnsi="宋体" w:eastAsia="宋体" w:cs="宋体"/>
                <w:i w:val="0"/>
                <w:iCs w:val="0"/>
                <w:color w:val="000000"/>
                <w:sz w:val="18"/>
                <w:szCs w:val="18"/>
                <w:u w:val="none"/>
              </w:rPr>
            </w:pPr>
          </w:p>
        </w:tc>
        <w:tc>
          <w:tcPr>
            <w:tcW w:w="1338" w:type="dxa"/>
            <w:vMerge w:val="continue"/>
            <w:tcBorders>
              <w:top w:val="single" w:color="000000" w:sz="4" w:space="0"/>
              <w:left w:val="single" w:color="000000" w:sz="4" w:space="0"/>
              <w:bottom w:val="nil"/>
              <w:right w:val="single" w:color="000000" w:sz="4" w:space="0"/>
            </w:tcBorders>
            <w:shd w:val="clear" w:color="auto" w:fill="auto"/>
            <w:vAlign w:val="center"/>
          </w:tcPr>
          <w:p w14:paraId="11A64E95">
            <w:pPr>
              <w:jc w:val="center"/>
              <w:rPr>
                <w:rFonts w:hint="eastAsia" w:ascii="宋体" w:hAnsi="宋体" w:eastAsia="宋体" w:cs="宋体"/>
                <w:i w:val="0"/>
                <w:iCs w:val="0"/>
                <w:color w:val="000000"/>
                <w:sz w:val="18"/>
                <w:szCs w:val="18"/>
                <w:u w:val="none"/>
              </w:rPr>
            </w:pPr>
          </w:p>
        </w:tc>
        <w:tc>
          <w:tcPr>
            <w:tcW w:w="880" w:type="dxa"/>
            <w:tcBorders>
              <w:top w:val="single" w:color="000000" w:sz="4" w:space="0"/>
              <w:left w:val="single" w:color="000000" w:sz="4" w:space="0"/>
              <w:bottom w:val="nil"/>
              <w:right w:val="single" w:color="000000" w:sz="4" w:space="0"/>
            </w:tcBorders>
            <w:shd w:val="clear" w:color="auto" w:fill="auto"/>
            <w:vAlign w:val="center"/>
          </w:tcPr>
          <w:p w14:paraId="2D0ED7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开展专业人员技能培训数量</w:t>
            </w:r>
          </w:p>
        </w:tc>
        <w:tc>
          <w:tcPr>
            <w:tcW w:w="744" w:type="dxa"/>
            <w:tcBorders>
              <w:top w:val="single" w:color="000000" w:sz="4" w:space="0"/>
              <w:left w:val="single" w:color="000000" w:sz="4" w:space="0"/>
              <w:bottom w:val="nil"/>
              <w:right w:val="single" w:color="000000" w:sz="4" w:space="0"/>
            </w:tcBorders>
            <w:shd w:val="clear" w:color="auto" w:fill="auto"/>
            <w:vAlign w:val="center"/>
          </w:tcPr>
          <w:p w14:paraId="5CFFF0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729" w:type="dxa"/>
            <w:tcBorders>
              <w:top w:val="single" w:color="000000" w:sz="4" w:space="0"/>
              <w:left w:val="single" w:color="000000" w:sz="4" w:space="0"/>
              <w:bottom w:val="nil"/>
              <w:right w:val="single" w:color="000000" w:sz="4" w:space="0"/>
            </w:tcBorders>
            <w:shd w:val="clear" w:color="auto" w:fill="auto"/>
            <w:vAlign w:val="center"/>
          </w:tcPr>
          <w:p w14:paraId="293118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806" w:type="dxa"/>
            <w:tcBorders>
              <w:top w:val="single" w:color="000000" w:sz="4" w:space="0"/>
              <w:left w:val="single" w:color="000000" w:sz="4" w:space="0"/>
              <w:bottom w:val="nil"/>
              <w:right w:val="single" w:color="000000" w:sz="4" w:space="0"/>
            </w:tcBorders>
            <w:shd w:val="clear" w:color="auto" w:fill="auto"/>
            <w:vAlign w:val="center"/>
          </w:tcPr>
          <w:p w14:paraId="2FA5AE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846" w:type="dxa"/>
            <w:tcBorders>
              <w:top w:val="single" w:color="000000" w:sz="4" w:space="0"/>
              <w:left w:val="single" w:color="000000" w:sz="4" w:space="0"/>
              <w:bottom w:val="nil"/>
              <w:right w:val="single" w:color="000000" w:sz="4" w:space="0"/>
            </w:tcBorders>
            <w:shd w:val="clear" w:color="auto" w:fill="auto"/>
            <w:vAlign w:val="center"/>
          </w:tcPr>
          <w:p w14:paraId="1584BA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69</w:t>
            </w:r>
          </w:p>
        </w:tc>
        <w:tc>
          <w:tcPr>
            <w:tcW w:w="792" w:type="dxa"/>
            <w:tcBorders>
              <w:top w:val="single" w:color="000000" w:sz="4" w:space="0"/>
              <w:left w:val="single" w:color="000000" w:sz="4" w:space="0"/>
              <w:bottom w:val="nil"/>
              <w:right w:val="single" w:color="000000" w:sz="4" w:space="0"/>
            </w:tcBorders>
            <w:shd w:val="clear" w:color="auto" w:fill="auto"/>
            <w:vAlign w:val="center"/>
          </w:tcPr>
          <w:p w14:paraId="106DBC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人次</w:t>
            </w:r>
          </w:p>
        </w:tc>
        <w:tc>
          <w:tcPr>
            <w:tcW w:w="790" w:type="dxa"/>
            <w:tcBorders>
              <w:top w:val="single" w:color="000000" w:sz="4" w:space="0"/>
              <w:left w:val="single" w:color="000000" w:sz="4" w:space="0"/>
              <w:bottom w:val="nil"/>
              <w:right w:val="single" w:color="000000" w:sz="4" w:space="0"/>
            </w:tcBorders>
            <w:shd w:val="clear" w:color="auto" w:fill="auto"/>
            <w:vAlign w:val="center"/>
          </w:tcPr>
          <w:p w14:paraId="481E1D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763" w:type="dxa"/>
            <w:tcBorders>
              <w:top w:val="single" w:color="000000" w:sz="4" w:space="0"/>
              <w:left w:val="single" w:color="000000" w:sz="4" w:space="0"/>
              <w:bottom w:val="nil"/>
              <w:right w:val="single" w:color="000000" w:sz="4" w:space="0"/>
            </w:tcBorders>
            <w:shd w:val="clear" w:color="auto" w:fill="auto"/>
            <w:vAlign w:val="center"/>
          </w:tcPr>
          <w:p w14:paraId="292AD4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660" w:type="dxa"/>
            <w:tcBorders>
              <w:top w:val="single" w:color="000000" w:sz="4" w:space="0"/>
              <w:left w:val="single" w:color="000000" w:sz="4" w:space="0"/>
              <w:bottom w:val="nil"/>
              <w:right w:val="single" w:color="000000" w:sz="4" w:space="0"/>
            </w:tcBorders>
            <w:shd w:val="clear" w:color="auto" w:fill="auto"/>
            <w:vAlign w:val="center"/>
          </w:tcPr>
          <w:p w14:paraId="5DA1F1FA">
            <w:pPr>
              <w:jc w:val="center"/>
              <w:rPr>
                <w:rFonts w:hint="eastAsia" w:ascii="宋体" w:hAnsi="宋体" w:eastAsia="宋体" w:cs="宋体"/>
                <w:i w:val="0"/>
                <w:iCs w:val="0"/>
                <w:color w:val="000000"/>
                <w:sz w:val="18"/>
                <w:szCs w:val="18"/>
                <w:u w:val="none"/>
              </w:rPr>
            </w:pPr>
          </w:p>
        </w:tc>
      </w:tr>
      <w:tr w14:paraId="3491DA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877" w:type="dxa"/>
            <w:vMerge w:val="continue"/>
            <w:tcBorders>
              <w:top w:val="single" w:color="000000" w:sz="4" w:space="0"/>
              <w:left w:val="single" w:color="000000" w:sz="4" w:space="0"/>
              <w:bottom w:val="nil"/>
              <w:right w:val="single" w:color="000000" w:sz="4" w:space="0"/>
            </w:tcBorders>
            <w:shd w:val="clear" w:color="auto" w:fill="auto"/>
            <w:vAlign w:val="center"/>
          </w:tcPr>
          <w:p w14:paraId="5977DFC0">
            <w:pPr>
              <w:jc w:val="center"/>
              <w:rPr>
                <w:rFonts w:hint="eastAsia" w:ascii="宋体" w:hAnsi="宋体" w:eastAsia="宋体" w:cs="宋体"/>
                <w:i w:val="0"/>
                <w:iCs w:val="0"/>
                <w:color w:val="000000"/>
                <w:sz w:val="18"/>
                <w:szCs w:val="18"/>
                <w:u w:val="none"/>
              </w:rPr>
            </w:pPr>
          </w:p>
        </w:tc>
        <w:tc>
          <w:tcPr>
            <w:tcW w:w="345" w:type="dxa"/>
            <w:vMerge w:val="continue"/>
            <w:tcBorders>
              <w:top w:val="single" w:color="000000" w:sz="4" w:space="0"/>
              <w:left w:val="single" w:color="000000" w:sz="4" w:space="0"/>
              <w:bottom w:val="nil"/>
              <w:right w:val="single" w:color="000000" w:sz="4" w:space="0"/>
            </w:tcBorders>
            <w:shd w:val="clear" w:color="auto" w:fill="auto"/>
            <w:vAlign w:val="center"/>
          </w:tcPr>
          <w:p w14:paraId="5E1C9DD0">
            <w:pPr>
              <w:jc w:val="center"/>
              <w:rPr>
                <w:rFonts w:hint="eastAsia" w:ascii="宋体" w:hAnsi="宋体" w:eastAsia="宋体" w:cs="宋体"/>
                <w:i w:val="0"/>
                <w:iCs w:val="0"/>
                <w:color w:val="000000"/>
                <w:sz w:val="18"/>
                <w:szCs w:val="18"/>
                <w:u w:val="none"/>
              </w:rPr>
            </w:pPr>
          </w:p>
        </w:tc>
        <w:tc>
          <w:tcPr>
            <w:tcW w:w="1338" w:type="dxa"/>
            <w:vMerge w:val="continue"/>
            <w:tcBorders>
              <w:top w:val="single" w:color="000000" w:sz="4" w:space="0"/>
              <w:left w:val="single" w:color="000000" w:sz="4" w:space="0"/>
              <w:bottom w:val="nil"/>
              <w:right w:val="single" w:color="000000" w:sz="4" w:space="0"/>
            </w:tcBorders>
            <w:shd w:val="clear" w:color="auto" w:fill="auto"/>
            <w:vAlign w:val="center"/>
          </w:tcPr>
          <w:p w14:paraId="3761D053">
            <w:pPr>
              <w:jc w:val="center"/>
              <w:rPr>
                <w:rFonts w:hint="eastAsia" w:ascii="宋体" w:hAnsi="宋体" w:eastAsia="宋体" w:cs="宋体"/>
                <w:i w:val="0"/>
                <w:iCs w:val="0"/>
                <w:color w:val="000000"/>
                <w:sz w:val="18"/>
                <w:szCs w:val="18"/>
                <w:u w:val="none"/>
              </w:rPr>
            </w:pPr>
          </w:p>
        </w:tc>
        <w:tc>
          <w:tcPr>
            <w:tcW w:w="880" w:type="dxa"/>
            <w:tcBorders>
              <w:top w:val="single" w:color="000000" w:sz="4" w:space="0"/>
              <w:left w:val="single" w:color="000000" w:sz="4" w:space="0"/>
              <w:bottom w:val="nil"/>
              <w:right w:val="single" w:color="000000" w:sz="4" w:space="0"/>
            </w:tcBorders>
            <w:shd w:val="clear" w:color="auto" w:fill="auto"/>
            <w:vAlign w:val="center"/>
          </w:tcPr>
          <w:p w14:paraId="32B273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新增特种设备检验专用设备数量</w:t>
            </w:r>
          </w:p>
        </w:tc>
        <w:tc>
          <w:tcPr>
            <w:tcW w:w="744" w:type="dxa"/>
            <w:tcBorders>
              <w:top w:val="single" w:color="000000" w:sz="4" w:space="0"/>
              <w:left w:val="single" w:color="000000" w:sz="4" w:space="0"/>
              <w:bottom w:val="nil"/>
              <w:right w:val="single" w:color="000000" w:sz="4" w:space="0"/>
            </w:tcBorders>
            <w:shd w:val="clear" w:color="auto" w:fill="auto"/>
            <w:vAlign w:val="center"/>
          </w:tcPr>
          <w:p w14:paraId="5A4009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729" w:type="dxa"/>
            <w:tcBorders>
              <w:top w:val="single" w:color="000000" w:sz="4" w:space="0"/>
              <w:left w:val="single" w:color="000000" w:sz="4" w:space="0"/>
              <w:bottom w:val="nil"/>
              <w:right w:val="single" w:color="000000" w:sz="4" w:space="0"/>
            </w:tcBorders>
            <w:shd w:val="clear" w:color="auto" w:fill="auto"/>
            <w:vAlign w:val="center"/>
          </w:tcPr>
          <w:p w14:paraId="103065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806" w:type="dxa"/>
            <w:tcBorders>
              <w:top w:val="single" w:color="000000" w:sz="4" w:space="0"/>
              <w:left w:val="single" w:color="000000" w:sz="4" w:space="0"/>
              <w:bottom w:val="nil"/>
              <w:right w:val="single" w:color="000000" w:sz="4" w:space="0"/>
            </w:tcBorders>
            <w:shd w:val="clear" w:color="auto" w:fill="auto"/>
            <w:vAlign w:val="center"/>
          </w:tcPr>
          <w:p w14:paraId="7D45FE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846" w:type="dxa"/>
            <w:tcBorders>
              <w:top w:val="single" w:color="000000" w:sz="4" w:space="0"/>
              <w:left w:val="single" w:color="000000" w:sz="4" w:space="0"/>
              <w:bottom w:val="nil"/>
              <w:right w:val="single" w:color="000000" w:sz="4" w:space="0"/>
            </w:tcBorders>
            <w:shd w:val="clear" w:color="auto" w:fill="auto"/>
            <w:vAlign w:val="center"/>
          </w:tcPr>
          <w:p w14:paraId="3AB2DB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w:t>
            </w:r>
          </w:p>
        </w:tc>
        <w:tc>
          <w:tcPr>
            <w:tcW w:w="792" w:type="dxa"/>
            <w:tcBorders>
              <w:top w:val="single" w:color="000000" w:sz="4" w:space="0"/>
              <w:left w:val="single" w:color="000000" w:sz="4" w:space="0"/>
              <w:bottom w:val="nil"/>
              <w:right w:val="single" w:color="000000" w:sz="4" w:space="0"/>
            </w:tcBorders>
            <w:shd w:val="clear" w:color="auto" w:fill="auto"/>
            <w:vAlign w:val="center"/>
          </w:tcPr>
          <w:p w14:paraId="34D713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790" w:type="dxa"/>
            <w:tcBorders>
              <w:top w:val="single" w:color="000000" w:sz="4" w:space="0"/>
              <w:left w:val="single" w:color="000000" w:sz="4" w:space="0"/>
              <w:bottom w:val="nil"/>
              <w:right w:val="single" w:color="000000" w:sz="4" w:space="0"/>
            </w:tcBorders>
            <w:shd w:val="clear" w:color="auto" w:fill="auto"/>
            <w:vAlign w:val="center"/>
          </w:tcPr>
          <w:p w14:paraId="75BD26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763" w:type="dxa"/>
            <w:tcBorders>
              <w:top w:val="single" w:color="000000" w:sz="4" w:space="0"/>
              <w:left w:val="single" w:color="000000" w:sz="4" w:space="0"/>
              <w:bottom w:val="nil"/>
              <w:right w:val="single" w:color="000000" w:sz="4" w:space="0"/>
            </w:tcBorders>
            <w:shd w:val="clear" w:color="auto" w:fill="auto"/>
            <w:vAlign w:val="center"/>
          </w:tcPr>
          <w:p w14:paraId="4C3167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660" w:type="dxa"/>
            <w:tcBorders>
              <w:top w:val="single" w:color="000000" w:sz="4" w:space="0"/>
              <w:left w:val="single" w:color="000000" w:sz="4" w:space="0"/>
              <w:bottom w:val="nil"/>
              <w:right w:val="single" w:color="000000" w:sz="4" w:space="0"/>
            </w:tcBorders>
            <w:shd w:val="clear" w:color="auto" w:fill="auto"/>
            <w:vAlign w:val="center"/>
          </w:tcPr>
          <w:p w14:paraId="50A49372">
            <w:pPr>
              <w:jc w:val="center"/>
              <w:rPr>
                <w:rFonts w:hint="eastAsia" w:ascii="宋体" w:hAnsi="宋体" w:eastAsia="宋体" w:cs="宋体"/>
                <w:i w:val="0"/>
                <w:iCs w:val="0"/>
                <w:color w:val="000000"/>
                <w:sz w:val="18"/>
                <w:szCs w:val="18"/>
                <w:u w:val="none"/>
              </w:rPr>
            </w:pPr>
          </w:p>
        </w:tc>
      </w:tr>
      <w:tr w14:paraId="17C48D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877" w:type="dxa"/>
            <w:vMerge w:val="continue"/>
            <w:tcBorders>
              <w:top w:val="single" w:color="000000" w:sz="4" w:space="0"/>
              <w:left w:val="single" w:color="000000" w:sz="4" w:space="0"/>
              <w:bottom w:val="nil"/>
              <w:right w:val="single" w:color="000000" w:sz="4" w:space="0"/>
            </w:tcBorders>
            <w:shd w:val="clear" w:color="auto" w:fill="auto"/>
            <w:vAlign w:val="center"/>
          </w:tcPr>
          <w:p w14:paraId="03A0D8CA">
            <w:pPr>
              <w:jc w:val="center"/>
              <w:rPr>
                <w:rFonts w:hint="eastAsia" w:ascii="宋体" w:hAnsi="宋体" w:eastAsia="宋体" w:cs="宋体"/>
                <w:i w:val="0"/>
                <w:iCs w:val="0"/>
                <w:color w:val="000000"/>
                <w:sz w:val="18"/>
                <w:szCs w:val="18"/>
                <w:u w:val="none"/>
              </w:rPr>
            </w:pPr>
          </w:p>
        </w:tc>
        <w:tc>
          <w:tcPr>
            <w:tcW w:w="345" w:type="dxa"/>
            <w:vMerge w:val="continue"/>
            <w:tcBorders>
              <w:top w:val="single" w:color="000000" w:sz="4" w:space="0"/>
              <w:left w:val="single" w:color="000000" w:sz="4" w:space="0"/>
              <w:bottom w:val="nil"/>
              <w:right w:val="single" w:color="000000" w:sz="4" w:space="0"/>
            </w:tcBorders>
            <w:shd w:val="clear" w:color="auto" w:fill="auto"/>
            <w:vAlign w:val="center"/>
          </w:tcPr>
          <w:p w14:paraId="196CABDF">
            <w:pPr>
              <w:jc w:val="center"/>
              <w:rPr>
                <w:rFonts w:hint="eastAsia" w:ascii="宋体" w:hAnsi="宋体" w:eastAsia="宋体" w:cs="宋体"/>
                <w:i w:val="0"/>
                <w:iCs w:val="0"/>
                <w:color w:val="000000"/>
                <w:sz w:val="18"/>
                <w:szCs w:val="18"/>
                <w:u w:val="none"/>
              </w:rPr>
            </w:pPr>
          </w:p>
        </w:tc>
        <w:tc>
          <w:tcPr>
            <w:tcW w:w="1338" w:type="dxa"/>
            <w:vMerge w:val="continue"/>
            <w:tcBorders>
              <w:top w:val="single" w:color="000000" w:sz="4" w:space="0"/>
              <w:left w:val="single" w:color="000000" w:sz="4" w:space="0"/>
              <w:bottom w:val="nil"/>
              <w:right w:val="single" w:color="000000" w:sz="4" w:space="0"/>
            </w:tcBorders>
            <w:shd w:val="clear" w:color="auto" w:fill="auto"/>
            <w:vAlign w:val="center"/>
          </w:tcPr>
          <w:p w14:paraId="7EBEE25C">
            <w:pPr>
              <w:jc w:val="center"/>
              <w:rPr>
                <w:rFonts w:hint="eastAsia" w:ascii="宋体" w:hAnsi="宋体" w:eastAsia="宋体" w:cs="宋体"/>
                <w:i w:val="0"/>
                <w:iCs w:val="0"/>
                <w:color w:val="000000"/>
                <w:sz w:val="18"/>
                <w:szCs w:val="18"/>
                <w:u w:val="none"/>
              </w:rPr>
            </w:pPr>
          </w:p>
        </w:tc>
        <w:tc>
          <w:tcPr>
            <w:tcW w:w="880" w:type="dxa"/>
            <w:tcBorders>
              <w:top w:val="single" w:color="000000" w:sz="4" w:space="0"/>
              <w:left w:val="single" w:color="000000" w:sz="4" w:space="0"/>
              <w:bottom w:val="nil"/>
              <w:right w:val="single" w:color="000000" w:sz="4" w:space="0"/>
            </w:tcBorders>
            <w:shd w:val="clear" w:color="auto" w:fill="auto"/>
            <w:vAlign w:val="center"/>
          </w:tcPr>
          <w:p w14:paraId="75FEF7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完成管道检验数量</w:t>
            </w:r>
          </w:p>
        </w:tc>
        <w:tc>
          <w:tcPr>
            <w:tcW w:w="744" w:type="dxa"/>
            <w:tcBorders>
              <w:top w:val="single" w:color="000000" w:sz="4" w:space="0"/>
              <w:left w:val="single" w:color="000000" w:sz="4" w:space="0"/>
              <w:bottom w:val="nil"/>
              <w:right w:val="single" w:color="000000" w:sz="4" w:space="0"/>
            </w:tcBorders>
            <w:shd w:val="clear" w:color="auto" w:fill="auto"/>
            <w:vAlign w:val="center"/>
          </w:tcPr>
          <w:p w14:paraId="028757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729" w:type="dxa"/>
            <w:tcBorders>
              <w:top w:val="single" w:color="000000" w:sz="4" w:space="0"/>
              <w:left w:val="single" w:color="000000" w:sz="4" w:space="0"/>
              <w:bottom w:val="nil"/>
              <w:right w:val="single" w:color="000000" w:sz="4" w:space="0"/>
            </w:tcBorders>
            <w:shd w:val="clear" w:color="auto" w:fill="auto"/>
            <w:vAlign w:val="center"/>
          </w:tcPr>
          <w:p w14:paraId="135F7D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806" w:type="dxa"/>
            <w:tcBorders>
              <w:top w:val="single" w:color="000000" w:sz="4" w:space="0"/>
              <w:left w:val="single" w:color="000000" w:sz="4" w:space="0"/>
              <w:bottom w:val="nil"/>
              <w:right w:val="single" w:color="000000" w:sz="4" w:space="0"/>
            </w:tcBorders>
            <w:shd w:val="clear" w:color="auto" w:fill="auto"/>
            <w:vAlign w:val="center"/>
          </w:tcPr>
          <w:p w14:paraId="37F1AB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170</w:t>
            </w:r>
          </w:p>
        </w:tc>
        <w:tc>
          <w:tcPr>
            <w:tcW w:w="846" w:type="dxa"/>
            <w:tcBorders>
              <w:top w:val="single" w:color="000000" w:sz="4" w:space="0"/>
              <w:left w:val="single" w:color="000000" w:sz="4" w:space="0"/>
              <w:bottom w:val="nil"/>
              <w:right w:val="single" w:color="000000" w:sz="4" w:space="0"/>
            </w:tcBorders>
            <w:shd w:val="clear" w:color="auto" w:fill="auto"/>
            <w:vAlign w:val="center"/>
          </w:tcPr>
          <w:p w14:paraId="4BBA60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510</w:t>
            </w:r>
          </w:p>
        </w:tc>
        <w:tc>
          <w:tcPr>
            <w:tcW w:w="792" w:type="dxa"/>
            <w:tcBorders>
              <w:top w:val="single" w:color="000000" w:sz="4" w:space="0"/>
              <w:left w:val="single" w:color="000000" w:sz="4" w:space="0"/>
              <w:bottom w:val="nil"/>
              <w:right w:val="single" w:color="000000" w:sz="4" w:space="0"/>
            </w:tcBorders>
            <w:shd w:val="clear" w:color="auto" w:fill="auto"/>
            <w:vAlign w:val="center"/>
          </w:tcPr>
          <w:p w14:paraId="692AD6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米</w:t>
            </w:r>
          </w:p>
        </w:tc>
        <w:tc>
          <w:tcPr>
            <w:tcW w:w="790" w:type="dxa"/>
            <w:tcBorders>
              <w:top w:val="single" w:color="000000" w:sz="4" w:space="0"/>
              <w:left w:val="single" w:color="000000" w:sz="4" w:space="0"/>
              <w:bottom w:val="nil"/>
              <w:right w:val="single" w:color="000000" w:sz="4" w:space="0"/>
            </w:tcBorders>
            <w:shd w:val="clear" w:color="auto" w:fill="auto"/>
            <w:vAlign w:val="center"/>
          </w:tcPr>
          <w:p w14:paraId="6F1F62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763" w:type="dxa"/>
            <w:tcBorders>
              <w:top w:val="single" w:color="000000" w:sz="4" w:space="0"/>
              <w:left w:val="single" w:color="000000" w:sz="4" w:space="0"/>
              <w:bottom w:val="nil"/>
              <w:right w:val="single" w:color="000000" w:sz="4" w:space="0"/>
            </w:tcBorders>
            <w:shd w:val="clear" w:color="auto" w:fill="auto"/>
            <w:vAlign w:val="center"/>
          </w:tcPr>
          <w:p w14:paraId="362595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660" w:type="dxa"/>
            <w:tcBorders>
              <w:top w:val="single" w:color="000000" w:sz="4" w:space="0"/>
              <w:left w:val="single" w:color="000000" w:sz="4" w:space="0"/>
              <w:bottom w:val="nil"/>
              <w:right w:val="single" w:color="000000" w:sz="4" w:space="0"/>
            </w:tcBorders>
            <w:shd w:val="clear" w:color="auto" w:fill="auto"/>
            <w:vAlign w:val="center"/>
          </w:tcPr>
          <w:p w14:paraId="70AEFAA1">
            <w:pPr>
              <w:jc w:val="center"/>
              <w:rPr>
                <w:rFonts w:hint="eastAsia" w:ascii="宋体" w:hAnsi="宋体" w:eastAsia="宋体" w:cs="宋体"/>
                <w:i w:val="0"/>
                <w:iCs w:val="0"/>
                <w:color w:val="000000"/>
                <w:sz w:val="18"/>
                <w:szCs w:val="18"/>
                <w:u w:val="none"/>
              </w:rPr>
            </w:pPr>
          </w:p>
        </w:tc>
      </w:tr>
      <w:tr w14:paraId="05434A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877" w:type="dxa"/>
            <w:vMerge w:val="continue"/>
            <w:tcBorders>
              <w:top w:val="single" w:color="000000" w:sz="4" w:space="0"/>
              <w:left w:val="single" w:color="000000" w:sz="4" w:space="0"/>
              <w:bottom w:val="nil"/>
              <w:right w:val="single" w:color="000000" w:sz="4" w:space="0"/>
            </w:tcBorders>
            <w:shd w:val="clear" w:color="auto" w:fill="auto"/>
            <w:vAlign w:val="center"/>
          </w:tcPr>
          <w:p w14:paraId="7BCB8064">
            <w:pPr>
              <w:jc w:val="center"/>
              <w:rPr>
                <w:rFonts w:hint="eastAsia" w:ascii="宋体" w:hAnsi="宋体" w:eastAsia="宋体" w:cs="宋体"/>
                <w:i w:val="0"/>
                <w:iCs w:val="0"/>
                <w:color w:val="000000"/>
                <w:sz w:val="18"/>
                <w:szCs w:val="18"/>
                <w:u w:val="none"/>
              </w:rPr>
            </w:pPr>
          </w:p>
        </w:tc>
        <w:tc>
          <w:tcPr>
            <w:tcW w:w="345" w:type="dxa"/>
            <w:vMerge w:val="continue"/>
            <w:tcBorders>
              <w:top w:val="single" w:color="000000" w:sz="4" w:space="0"/>
              <w:left w:val="single" w:color="000000" w:sz="4" w:space="0"/>
              <w:bottom w:val="nil"/>
              <w:right w:val="single" w:color="000000" w:sz="4" w:space="0"/>
            </w:tcBorders>
            <w:shd w:val="clear" w:color="auto" w:fill="auto"/>
            <w:vAlign w:val="center"/>
          </w:tcPr>
          <w:p w14:paraId="736A6C10">
            <w:pPr>
              <w:jc w:val="center"/>
              <w:rPr>
                <w:rFonts w:hint="eastAsia" w:ascii="宋体" w:hAnsi="宋体" w:eastAsia="宋体" w:cs="宋体"/>
                <w:i w:val="0"/>
                <w:iCs w:val="0"/>
                <w:color w:val="000000"/>
                <w:sz w:val="18"/>
                <w:szCs w:val="18"/>
                <w:u w:val="none"/>
              </w:rPr>
            </w:pPr>
          </w:p>
        </w:tc>
        <w:tc>
          <w:tcPr>
            <w:tcW w:w="1338" w:type="dxa"/>
            <w:vMerge w:val="continue"/>
            <w:tcBorders>
              <w:top w:val="single" w:color="000000" w:sz="4" w:space="0"/>
              <w:left w:val="single" w:color="000000" w:sz="4" w:space="0"/>
              <w:bottom w:val="nil"/>
              <w:right w:val="single" w:color="000000" w:sz="4" w:space="0"/>
            </w:tcBorders>
            <w:shd w:val="clear" w:color="auto" w:fill="auto"/>
            <w:vAlign w:val="center"/>
          </w:tcPr>
          <w:p w14:paraId="1FB19EDA">
            <w:pPr>
              <w:jc w:val="center"/>
              <w:rPr>
                <w:rFonts w:hint="eastAsia" w:ascii="宋体" w:hAnsi="宋体" w:eastAsia="宋体" w:cs="宋体"/>
                <w:i w:val="0"/>
                <w:iCs w:val="0"/>
                <w:color w:val="000000"/>
                <w:sz w:val="18"/>
                <w:szCs w:val="18"/>
                <w:u w:val="none"/>
              </w:rPr>
            </w:pPr>
          </w:p>
        </w:tc>
        <w:tc>
          <w:tcPr>
            <w:tcW w:w="880" w:type="dxa"/>
            <w:tcBorders>
              <w:top w:val="single" w:color="000000" w:sz="4" w:space="0"/>
              <w:left w:val="single" w:color="000000" w:sz="4" w:space="0"/>
              <w:bottom w:val="nil"/>
              <w:right w:val="single" w:color="000000" w:sz="4" w:space="0"/>
            </w:tcBorders>
            <w:shd w:val="clear" w:color="auto" w:fill="auto"/>
            <w:vAlign w:val="center"/>
          </w:tcPr>
          <w:p w14:paraId="100DE6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完成锅炉及压力容器检验数量</w:t>
            </w:r>
          </w:p>
        </w:tc>
        <w:tc>
          <w:tcPr>
            <w:tcW w:w="744" w:type="dxa"/>
            <w:tcBorders>
              <w:top w:val="single" w:color="000000" w:sz="4" w:space="0"/>
              <w:left w:val="single" w:color="000000" w:sz="4" w:space="0"/>
              <w:bottom w:val="nil"/>
              <w:right w:val="single" w:color="000000" w:sz="4" w:space="0"/>
            </w:tcBorders>
            <w:shd w:val="clear" w:color="auto" w:fill="auto"/>
            <w:vAlign w:val="center"/>
          </w:tcPr>
          <w:p w14:paraId="6A3C62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729" w:type="dxa"/>
            <w:tcBorders>
              <w:top w:val="single" w:color="000000" w:sz="4" w:space="0"/>
              <w:left w:val="single" w:color="000000" w:sz="4" w:space="0"/>
              <w:bottom w:val="nil"/>
              <w:right w:val="single" w:color="000000" w:sz="4" w:space="0"/>
            </w:tcBorders>
            <w:shd w:val="clear" w:color="auto" w:fill="auto"/>
            <w:vAlign w:val="center"/>
          </w:tcPr>
          <w:p w14:paraId="5E4BC6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806" w:type="dxa"/>
            <w:tcBorders>
              <w:top w:val="single" w:color="000000" w:sz="4" w:space="0"/>
              <w:left w:val="single" w:color="000000" w:sz="4" w:space="0"/>
              <w:bottom w:val="nil"/>
              <w:right w:val="single" w:color="000000" w:sz="4" w:space="0"/>
            </w:tcBorders>
            <w:shd w:val="clear" w:color="auto" w:fill="auto"/>
            <w:vAlign w:val="center"/>
          </w:tcPr>
          <w:p w14:paraId="767904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6050</w:t>
            </w:r>
          </w:p>
        </w:tc>
        <w:tc>
          <w:tcPr>
            <w:tcW w:w="846" w:type="dxa"/>
            <w:tcBorders>
              <w:top w:val="single" w:color="000000" w:sz="4" w:space="0"/>
              <w:left w:val="single" w:color="000000" w:sz="4" w:space="0"/>
              <w:bottom w:val="nil"/>
              <w:right w:val="single" w:color="000000" w:sz="4" w:space="0"/>
            </w:tcBorders>
            <w:shd w:val="clear" w:color="auto" w:fill="auto"/>
            <w:vAlign w:val="center"/>
          </w:tcPr>
          <w:p w14:paraId="42408D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4455</w:t>
            </w:r>
          </w:p>
        </w:tc>
        <w:tc>
          <w:tcPr>
            <w:tcW w:w="792" w:type="dxa"/>
            <w:tcBorders>
              <w:top w:val="single" w:color="000000" w:sz="4" w:space="0"/>
              <w:left w:val="single" w:color="000000" w:sz="4" w:space="0"/>
              <w:bottom w:val="nil"/>
              <w:right w:val="single" w:color="000000" w:sz="4" w:space="0"/>
            </w:tcBorders>
            <w:shd w:val="clear" w:color="auto" w:fill="auto"/>
            <w:vAlign w:val="center"/>
          </w:tcPr>
          <w:p w14:paraId="489430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790" w:type="dxa"/>
            <w:tcBorders>
              <w:top w:val="single" w:color="000000" w:sz="4" w:space="0"/>
              <w:left w:val="single" w:color="000000" w:sz="4" w:space="0"/>
              <w:bottom w:val="nil"/>
              <w:right w:val="single" w:color="000000" w:sz="4" w:space="0"/>
            </w:tcBorders>
            <w:shd w:val="clear" w:color="auto" w:fill="auto"/>
            <w:vAlign w:val="center"/>
          </w:tcPr>
          <w:p w14:paraId="27C486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763" w:type="dxa"/>
            <w:tcBorders>
              <w:top w:val="single" w:color="000000" w:sz="4" w:space="0"/>
              <w:left w:val="single" w:color="000000" w:sz="4" w:space="0"/>
              <w:bottom w:val="nil"/>
              <w:right w:val="single" w:color="000000" w:sz="4" w:space="0"/>
            </w:tcBorders>
            <w:shd w:val="clear" w:color="auto" w:fill="auto"/>
            <w:vAlign w:val="center"/>
          </w:tcPr>
          <w:p w14:paraId="008212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1.47</w:t>
            </w:r>
          </w:p>
        </w:tc>
        <w:tc>
          <w:tcPr>
            <w:tcW w:w="660" w:type="dxa"/>
            <w:tcBorders>
              <w:top w:val="single" w:color="000000" w:sz="4" w:space="0"/>
              <w:left w:val="single" w:color="000000" w:sz="4" w:space="0"/>
              <w:bottom w:val="nil"/>
              <w:right w:val="single" w:color="000000" w:sz="4" w:space="0"/>
            </w:tcBorders>
            <w:shd w:val="clear" w:color="auto" w:fill="auto"/>
            <w:vAlign w:val="center"/>
          </w:tcPr>
          <w:p w14:paraId="6F95E66A">
            <w:pPr>
              <w:jc w:val="center"/>
              <w:rPr>
                <w:rFonts w:hint="eastAsia" w:ascii="宋体" w:hAnsi="宋体" w:eastAsia="宋体" w:cs="宋体"/>
                <w:i w:val="0"/>
                <w:iCs w:val="0"/>
                <w:color w:val="000000"/>
                <w:sz w:val="18"/>
                <w:szCs w:val="18"/>
                <w:u w:val="none"/>
              </w:rPr>
            </w:pPr>
          </w:p>
        </w:tc>
      </w:tr>
      <w:tr w14:paraId="0304BE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877" w:type="dxa"/>
            <w:vMerge w:val="continue"/>
            <w:tcBorders>
              <w:top w:val="single" w:color="000000" w:sz="4" w:space="0"/>
              <w:left w:val="single" w:color="000000" w:sz="4" w:space="0"/>
              <w:bottom w:val="nil"/>
              <w:right w:val="single" w:color="000000" w:sz="4" w:space="0"/>
            </w:tcBorders>
            <w:shd w:val="clear" w:color="auto" w:fill="auto"/>
            <w:vAlign w:val="center"/>
          </w:tcPr>
          <w:p w14:paraId="573C4DD9">
            <w:pPr>
              <w:jc w:val="center"/>
              <w:rPr>
                <w:rFonts w:hint="eastAsia" w:ascii="宋体" w:hAnsi="宋体" w:eastAsia="宋体" w:cs="宋体"/>
                <w:i w:val="0"/>
                <w:iCs w:val="0"/>
                <w:color w:val="000000"/>
                <w:sz w:val="18"/>
                <w:szCs w:val="18"/>
                <w:u w:val="none"/>
              </w:rPr>
            </w:pPr>
          </w:p>
        </w:tc>
        <w:tc>
          <w:tcPr>
            <w:tcW w:w="345" w:type="dxa"/>
            <w:vMerge w:val="continue"/>
            <w:tcBorders>
              <w:top w:val="single" w:color="000000" w:sz="4" w:space="0"/>
              <w:left w:val="single" w:color="000000" w:sz="4" w:space="0"/>
              <w:bottom w:val="nil"/>
              <w:right w:val="single" w:color="000000" w:sz="4" w:space="0"/>
            </w:tcBorders>
            <w:shd w:val="clear" w:color="auto" w:fill="auto"/>
            <w:vAlign w:val="center"/>
          </w:tcPr>
          <w:p w14:paraId="578692C7">
            <w:pPr>
              <w:jc w:val="center"/>
              <w:rPr>
                <w:rFonts w:hint="eastAsia" w:ascii="宋体" w:hAnsi="宋体" w:eastAsia="宋体" w:cs="宋体"/>
                <w:i w:val="0"/>
                <w:iCs w:val="0"/>
                <w:color w:val="000000"/>
                <w:sz w:val="18"/>
                <w:szCs w:val="18"/>
                <w:u w:val="none"/>
              </w:rPr>
            </w:pPr>
          </w:p>
        </w:tc>
        <w:tc>
          <w:tcPr>
            <w:tcW w:w="1338" w:type="dxa"/>
            <w:vMerge w:val="restart"/>
            <w:tcBorders>
              <w:top w:val="single" w:color="000000" w:sz="4" w:space="0"/>
              <w:left w:val="single" w:color="000000" w:sz="4" w:space="0"/>
              <w:bottom w:val="nil"/>
              <w:right w:val="single" w:color="000000" w:sz="4" w:space="0"/>
            </w:tcBorders>
            <w:shd w:val="clear" w:color="auto" w:fill="auto"/>
            <w:vAlign w:val="center"/>
          </w:tcPr>
          <w:p w14:paraId="07C391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880" w:type="dxa"/>
            <w:tcBorders>
              <w:top w:val="single" w:color="000000" w:sz="4" w:space="0"/>
              <w:left w:val="single" w:color="000000" w:sz="4" w:space="0"/>
              <w:bottom w:val="nil"/>
              <w:right w:val="single" w:color="000000" w:sz="4" w:space="0"/>
            </w:tcBorders>
            <w:shd w:val="clear" w:color="auto" w:fill="auto"/>
            <w:vAlign w:val="center"/>
          </w:tcPr>
          <w:p w14:paraId="3925AFB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检验报告签发率及合格率</w:t>
            </w:r>
          </w:p>
        </w:tc>
        <w:tc>
          <w:tcPr>
            <w:tcW w:w="744" w:type="dxa"/>
            <w:tcBorders>
              <w:top w:val="single" w:color="000000" w:sz="4" w:space="0"/>
              <w:left w:val="single" w:color="000000" w:sz="4" w:space="0"/>
              <w:bottom w:val="nil"/>
              <w:right w:val="single" w:color="000000" w:sz="4" w:space="0"/>
            </w:tcBorders>
            <w:shd w:val="clear" w:color="auto" w:fill="auto"/>
            <w:vAlign w:val="center"/>
          </w:tcPr>
          <w:p w14:paraId="1748A7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729" w:type="dxa"/>
            <w:tcBorders>
              <w:top w:val="single" w:color="000000" w:sz="4" w:space="0"/>
              <w:left w:val="single" w:color="000000" w:sz="4" w:space="0"/>
              <w:bottom w:val="nil"/>
              <w:right w:val="single" w:color="000000" w:sz="4" w:space="0"/>
            </w:tcBorders>
            <w:shd w:val="clear" w:color="auto" w:fill="auto"/>
            <w:vAlign w:val="center"/>
          </w:tcPr>
          <w:p w14:paraId="65CD53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806" w:type="dxa"/>
            <w:tcBorders>
              <w:top w:val="single" w:color="000000" w:sz="4" w:space="0"/>
              <w:left w:val="single" w:color="000000" w:sz="4" w:space="0"/>
              <w:bottom w:val="nil"/>
              <w:right w:val="single" w:color="000000" w:sz="4" w:space="0"/>
            </w:tcBorders>
            <w:shd w:val="clear" w:color="auto" w:fill="auto"/>
            <w:vAlign w:val="center"/>
          </w:tcPr>
          <w:p w14:paraId="695247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99</w:t>
            </w:r>
          </w:p>
        </w:tc>
        <w:tc>
          <w:tcPr>
            <w:tcW w:w="846" w:type="dxa"/>
            <w:tcBorders>
              <w:top w:val="single" w:color="000000" w:sz="4" w:space="0"/>
              <w:left w:val="single" w:color="000000" w:sz="4" w:space="0"/>
              <w:bottom w:val="nil"/>
              <w:right w:val="single" w:color="000000" w:sz="4" w:space="0"/>
            </w:tcBorders>
            <w:shd w:val="clear" w:color="auto" w:fill="auto"/>
            <w:vAlign w:val="center"/>
          </w:tcPr>
          <w:p w14:paraId="74FDE0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99</w:t>
            </w:r>
          </w:p>
        </w:tc>
        <w:tc>
          <w:tcPr>
            <w:tcW w:w="792" w:type="dxa"/>
            <w:tcBorders>
              <w:top w:val="single" w:color="000000" w:sz="4" w:space="0"/>
              <w:left w:val="single" w:color="000000" w:sz="4" w:space="0"/>
              <w:bottom w:val="nil"/>
              <w:right w:val="single" w:color="000000" w:sz="4" w:space="0"/>
            </w:tcBorders>
            <w:shd w:val="clear" w:color="auto" w:fill="auto"/>
            <w:vAlign w:val="center"/>
          </w:tcPr>
          <w:p w14:paraId="392728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90" w:type="dxa"/>
            <w:tcBorders>
              <w:top w:val="single" w:color="000000" w:sz="4" w:space="0"/>
              <w:left w:val="single" w:color="000000" w:sz="4" w:space="0"/>
              <w:bottom w:val="nil"/>
              <w:right w:val="single" w:color="000000" w:sz="4" w:space="0"/>
            </w:tcBorders>
            <w:shd w:val="clear" w:color="auto" w:fill="auto"/>
            <w:vAlign w:val="center"/>
          </w:tcPr>
          <w:p w14:paraId="0A8C28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763" w:type="dxa"/>
            <w:tcBorders>
              <w:top w:val="single" w:color="000000" w:sz="4" w:space="0"/>
              <w:left w:val="single" w:color="000000" w:sz="4" w:space="0"/>
              <w:bottom w:val="nil"/>
              <w:right w:val="single" w:color="000000" w:sz="4" w:space="0"/>
            </w:tcBorders>
            <w:shd w:val="clear" w:color="auto" w:fill="auto"/>
            <w:vAlign w:val="center"/>
          </w:tcPr>
          <w:p w14:paraId="33EA93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660" w:type="dxa"/>
            <w:tcBorders>
              <w:top w:val="single" w:color="000000" w:sz="4" w:space="0"/>
              <w:left w:val="single" w:color="000000" w:sz="4" w:space="0"/>
              <w:bottom w:val="nil"/>
              <w:right w:val="single" w:color="000000" w:sz="4" w:space="0"/>
            </w:tcBorders>
            <w:shd w:val="clear" w:color="auto" w:fill="auto"/>
            <w:vAlign w:val="center"/>
          </w:tcPr>
          <w:p w14:paraId="7228C971">
            <w:pPr>
              <w:jc w:val="center"/>
              <w:rPr>
                <w:rFonts w:hint="eastAsia" w:ascii="宋体" w:hAnsi="宋体" w:eastAsia="宋体" w:cs="宋体"/>
                <w:i w:val="0"/>
                <w:iCs w:val="0"/>
                <w:color w:val="000000"/>
                <w:sz w:val="18"/>
                <w:szCs w:val="18"/>
                <w:u w:val="none"/>
              </w:rPr>
            </w:pPr>
          </w:p>
        </w:tc>
      </w:tr>
      <w:tr w14:paraId="0E3936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877" w:type="dxa"/>
            <w:vMerge w:val="continue"/>
            <w:tcBorders>
              <w:top w:val="single" w:color="000000" w:sz="4" w:space="0"/>
              <w:left w:val="single" w:color="000000" w:sz="4" w:space="0"/>
              <w:bottom w:val="nil"/>
              <w:right w:val="single" w:color="000000" w:sz="4" w:space="0"/>
            </w:tcBorders>
            <w:shd w:val="clear" w:color="auto" w:fill="auto"/>
            <w:vAlign w:val="center"/>
          </w:tcPr>
          <w:p w14:paraId="6B7E008E">
            <w:pPr>
              <w:jc w:val="center"/>
              <w:rPr>
                <w:rFonts w:hint="eastAsia" w:ascii="宋体" w:hAnsi="宋体" w:eastAsia="宋体" w:cs="宋体"/>
                <w:i w:val="0"/>
                <w:iCs w:val="0"/>
                <w:color w:val="000000"/>
                <w:sz w:val="18"/>
                <w:szCs w:val="18"/>
                <w:u w:val="none"/>
              </w:rPr>
            </w:pPr>
          </w:p>
        </w:tc>
        <w:tc>
          <w:tcPr>
            <w:tcW w:w="345" w:type="dxa"/>
            <w:vMerge w:val="continue"/>
            <w:tcBorders>
              <w:top w:val="single" w:color="000000" w:sz="4" w:space="0"/>
              <w:left w:val="single" w:color="000000" w:sz="4" w:space="0"/>
              <w:bottom w:val="nil"/>
              <w:right w:val="single" w:color="000000" w:sz="4" w:space="0"/>
            </w:tcBorders>
            <w:shd w:val="clear" w:color="auto" w:fill="auto"/>
            <w:vAlign w:val="center"/>
          </w:tcPr>
          <w:p w14:paraId="1250BE7D">
            <w:pPr>
              <w:jc w:val="center"/>
              <w:rPr>
                <w:rFonts w:hint="eastAsia" w:ascii="宋体" w:hAnsi="宋体" w:eastAsia="宋体" w:cs="宋体"/>
                <w:i w:val="0"/>
                <w:iCs w:val="0"/>
                <w:color w:val="000000"/>
                <w:sz w:val="18"/>
                <w:szCs w:val="18"/>
                <w:u w:val="none"/>
              </w:rPr>
            </w:pPr>
          </w:p>
        </w:tc>
        <w:tc>
          <w:tcPr>
            <w:tcW w:w="1338" w:type="dxa"/>
            <w:vMerge w:val="continue"/>
            <w:tcBorders>
              <w:top w:val="single" w:color="000000" w:sz="4" w:space="0"/>
              <w:left w:val="single" w:color="000000" w:sz="4" w:space="0"/>
              <w:bottom w:val="nil"/>
              <w:right w:val="single" w:color="000000" w:sz="4" w:space="0"/>
            </w:tcBorders>
            <w:shd w:val="clear" w:color="auto" w:fill="auto"/>
            <w:vAlign w:val="center"/>
          </w:tcPr>
          <w:p w14:paraId="69ED575F">
            <w:pPr>
              <w:jc w:val="center"/>
              <w:rPr>
                <w:rFonts w:hint="eastAsia" w:ascii="宋体" w:hAnsi="宋体" w:eastAsia="宋体" w:cs="宋体"/>
                <w:i w:val="0"/>
                <w:iCs w:val="0"/>
                <w:color w:val="000000"/>
                <w:sz w:val="18"/>
                <w:szCs w:val="18"/>
                <w:u w:val="none"/>
              </w:rPr>
            </w:pPr>
          </w:p>
        </w:tc>
        <w:tc>
          <w:tcPr>
            <w:tcW w:w="880" w:type="dxa"/>
            <w:tcBorders>
              <w:top w:val="single" w:color="000000" w:sz="4" w:space="0"/>
              <w:left w:val="single" w:color="000000" w:sz="4" w:space="0"/>
              <w:bottom w:val="nil"/>
              <w:right w:val="single" w:color="000000" w:sz="4" w:space="0"/>
            </w:tcBorders>
            <w:shd w:val="clear" w:color="auto" w:fill="auto"/>
            <w:vAlign w:val="center"/>
          </w:tcPr>
          <w:p w14:paraId="47A719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设备采购验收合格率</w:t>
            </w:r>
          </w:p>
        </w:tc>
        <w:tc>
          <w:tcPr>
            <w:tcW w:w="744" w:type="dxa"/>
            <w:tcBorders>
              <w:top w:val="single" w:color="000000" w:sz="4" w:space="0"/>
              <w:left w:val="single" w:color="000000" w:sz="4" w:space="0"/>
              <w:bottom w:val="nil"/>
              <w:right w:val="single" w:color="000000" w:sz="4" w:space="0"/>
            </w:tcBorders>
            <w:shd w:val="clear" w:color="auto" w:fill="auto"/>
            <w:vAlign w:val="center"/>
          </w:tcPr>
          <w:p w14:paraId="232C02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729" w:type="dxa"/>
            <w:tcBorders>
              <w:top w:val="single" w:color="000000" w:sz="4" w:space="0"/>
              <w:left w:val="single" w:color="000000" w:sz="4" w:space="0"/>
              <w:bottom w:val="nil"/>
              <w:right w:val="single" w:color="000000" w:sz="4" w:space="0"/>
            </w:tcBorders>
            <w:shd w:val="clear" w:color="auto" w:fill="auto"/>
            <w:vAlign w:val="center"/>
          </w:tcPr>
          <w:p w14:paraId="6BFD1C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等于</w:t>
            </w:r>
          </w:p>
        </w:tc>
        <w:tc>
          <w:tcPr>
            <w:tcW w:w="806" w:type="dxa"/>
            <w:tcBorders>
              <w:top w:val="single" w:color="000000" w:sz="4" w:space="0"/>
              <w:left w:val="single" w:color="000000" w:sz="4" w:space="0"/>
              <w:bottom w:val="nil"/>
              <w:right w:val="single" w:color="000000" w:sz="4" w:space="0"/>
            </w:tcBorders>
            <w:shd w:val="clear" w:color="auto" w:fill="auto"/>
            <w:vAlign w:val="center"/>
          </w:tcPr>
          <w:p w14:paraId="4D995A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846" w:type="dxa"/>
            <w:tcBorders>
              <w:top w:val="single" w:color="000000" w:sz="4" w:space="0"/>
              <w:left w:val="single" w:color="000000" w:sz="4" w:space="0"/>
              <w:bottom w:val="nil"/>
              <w:right w:val="single" w:color="000000" w:sz="4" w:space="0"/>
            </w:tcBorders>
            <w:shd w:val="clear" w:color="auto" w:fill="auto"/>
            <w:vAlign w:val="center"/>
          </w:tcPr>
          <w:p w14:paraId="525805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792" w:type="dxa"/>
            <w:tcBorders>
              <w:top w:val="single" w:color="000000" w:sz="4" w:space="0"/>
              <w:left w:val="single" w:color="000000" w:sz="4" w:space="0"/>
              <w:bottom w:val="nil"/>
              <w:right w:val="single" w:color="000000" w:sz="4" w:space="0"/>
            </w:tcBorders>
            <w:shd w:val="clear" w:color="auto" w:fill="auto"/>
            <w:vAlign w:val="center"/>
          </w:tcPr>
          <w:p w14:paraId="2E5416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90" w:type="dxa"/>
            <w:tcBorders>
              <w:top w:val="single" w:color="000000" w:sz="4" w:space="0"/>
              <w:left w:val="single" w:color="000000" w:sz="4" w:space="0"/>
              <w:bottom w:val="nil"/>
              <w:right w:val="single" w:color="000000" w:sz="4" w:space="0"/>
            </w:tcBorders>
            <w:shd w:val="clear" w:color="auto" w:fill="auto"/>
            <w:vAlign w:val="center"/>
          </w:tcPr>
          <w:p w14:paraId="235354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763" w:type="dxa"/>
            <w:tcBorders>
              <w:top w:val="single" w:color="000000" w:sz="4" w:space="0"/>
              <w:left w:val="single" w:color="000000" w:sz="4" w:space="0"/>
              <w:bottom w:val="nil"/>
              <w:right w:val="single" w:color="000000" w:sz="4" w:space="0"/>
            </w:tcBorders>
            <w:shd w:val="clear" w:color="auto" w:fill="auto"/>
            <w:vAlign w:val="center"/>
          </w:tcPr>
          <w:p w14:paraId="214509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660" w:type="dxa"/>
            <w:tcBorders>
              <w:top w:val="single" w:color="000000" w:sz="4" w:space="0"/>
              <w:left w:val="single" w:color="000000" w:sz="4" w:space="0"/>
              <w:bottom w:val="nil"/>
              <w:right w:val="single" w:color="000000" w:sz="4" w:space="0"/>
            </w:tcBorders>
            <w:shd w:val="clear" w:color="auto" w:fill="auto"/>
            <w:vAlign w:val="center"/>
          </w:tcPr>
          <w:p w14:paraId="5C23FD52">
            <w:pPr>
              <w:jc w:val="center"/>
              <w:rPr>
                <w:rFonts w:hint="eastAsia" w:ascii="宋体" w:hAnsi="宋体" w:eastAsia="宋体" w:cs="宋体"/>
                <w:i w:val="0"/>
                <w:iCs w:val="0"/>
                <w:color w:val="000000"/>
                <w:sz w:val="18"/>
                <w:szCs w:val="18"/>
                <w:u w:val="none"/>
              </w:rPr>
            </w:pPr>
          </w:p>
        </w:tc>
      </w:tr>
      <w:tr w14:paraId="51F33A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877" w:type="dxa"/>
            <w:vMerge w:val="continue"/>
            <w:tcBorders>
              <w:top w:val="single" w:color="000000" w:sz="4" w:space="0"/>
              <w:left w:val="single" w:color="000000" w:sz="4" w:space="0"/>
              <w:bottom w:val="nil"/>
              <w:right w:val="single" w:color="000000" w:sz="4" w:space="0"/>
            </w:tcBorders>
            <w:shd w:val="clear" w:color="auto" w:fill="auto"/>
            <w:vAlign w:val="center"/>
          </w:tcPr>
          <w:p w14:paraId="0D4576B2">
            <w:pPr>
              <w:jc w:val="center"/>
              <w:rPr>
                <w:rFonts w:hint="eastAsia" w:ascii="宋体" w:hAnsi="宋体" w:eastAsia="宋体" w:cs="宋体"/>
                <w:i w:val="0"/>
                <w:iCs w:val="0"/>
                <w:color w:val="000000"/>
                <w:sz w:val="18"/>
                <w:szCs w:val="18"/>
                <w:u w:val="none"/>
              </w:rPr>
            </w:pPr>
          </w:p>
        </w:tc>
        <w:tc>
          <w:tcPr>
            <w:tcW w:w="345" w:type="dxa"/>
            <w:vMerge w:val="continue"/>
            <w:tcBorders>
              <w:top w:val="single" w:color="000000" w:sz="4" w:space="0"/>
              <w:left w:val="single" w:color="000000" w:sz="4" w:space="0"/>
              <w:bottom w:val="nil"/>
              <w:right w:val="single" w:color="000000" w:sz="4" w:space="0"/>
            </w:tcBorders>
            <w:shd w:val="clear" w:color="auto" w:fill="auto"/>
            <w:vAlign w:val="center"/>
          </w:tcPr>
          <w:p w14:paraId="5B8E7E72">
            <w:pPr>
              <w:jc w:val="center"/>
              <w:rPr>
                <w:rFonts w:hint="eastAsia" w:ascii="宋体" w:hAnsi="宋体" w:eastAsia="宋体" w:cs="宋体"/>
                <w:i w:val="0"/>
                <w:iCs w:val="0"/>
                <w:color w:val="000000"/>
                <w:sz w:val="18"/>
                <w:szCs w:val="18"/>
                <w:u w:val="none"/>
              </w:rPr>
            </w:pPr>
          </w:p>
        </w:tc>
        <w:tc>
          <w:tcPr>
            <w:tcW w:w="1338" w:type="dxa"/>
            <w:vMerge w:val="continue"/>
            <w:tcBorders>
              <w:top w:val="single" w:color="000000" w:sz="4" w:space="0"/>
              <w:left w:val="single" w:color="000000" w:sz="4" w:space="0"/>
              <w:bottom w:val="nil"/>
              <w:right w:val="single" w:color="000000" w:sz="4" w:space="0"/>
            </w:tcBorders>
            <w:shd w:val="clear" w:color="auto" w:fill="auto"/>
            <w:vAlign w:val="center"/>
          </w:tcPr>
          <w:p w14:paraId="126F0093">
            <w:pPr>
              <w:jc w:val="center"/>
              <w:rPr>
                <w:rFonts w:hint="eastAsia" w:ascii="宋体" w:hAnsi="宋体" w:eastAsia="宋体" w:cs="宋体"/>
                <w:i w:val="0"/>
                <w:iCs w:val="0"/>
                <w:color w:val="000000"/>
                <w:sz w:val="18"/>
                <w:szCs w:val="18"/>
                <w:u w:val="none"/>
              </w:rPr>
            </w:pPr>
          </w:p>
        </w:tc>
        <w:tc>
          <w:tcPr>
            <w:tcW w:w="880" w:type="dxa"/>
            <w:tcBorders>
              <w:top w:val="single" w:color="000000" w:sz="4" w:space="0"/>
              <w:left w:val="single" w:color="000000" w:sz="4" w:space="0"/>
              <w:bottom w:val="nil"/>
              <w:right w:val="single" w:color="000000" w:sz="4" w:space="0"/>
            </w:tcBorders>
            <w:shd w:val="clear" w:color="auto" w:fill="auto"/>
            <w:vAlign w:val="center"/>
          </w:tcPr>
          <w:p w14:paraId="5D7EC2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特种设备检验人员考试通过率</w:t>
            </w:r>
          </w:p>
        </w:tc>
        <w:tc>
          <w:tcPr>
            <w:tcW w:w="744" w:type="dxa"/>
            <w:tcBorders>
              <w:top w:val="single" w:color="000000" w:sz="4" w:space="0"/>
              <w:left w:val="single" w:color="000000" w:sz="4" w:space="0"/>
              <w:bottom w:val="nil"/>
              <w:right w:val="single" w:color="000000" w:sz="4" w:space="0"/>
            </w:tcBorders>
            <w:shd w:val="clear" w:color="auto" w:fill="auto"/>
            <w:vAlign w:val="center"/>
          </w:tcPr>
          <w:p w14:paraId="5C7B6E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729" w:type="dxa"/>
            <w:tcBorders>
              <w:top w:val="single" w:color="000000" w:sz="4" w:space="0"/>
              <w:left w:val="single" w:color="000000" w:sz="4" w:space="0"/>
              <w:bottom w:val="nil"/>
              <w:right w:val="single" w:color="000000" w:sz="4" w:space="0"/>
            </w:tcBorders>
            <w:shd w:val="clear" w:color="auto" w:fill="auto"/>
            <w:vAlign w:val="center"/>
          </w:tcPr>
          <w:p w14:paraId="0DF780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806" w:type="dxa"/>
            <w:tcBorders>
              <w:top w:val="single" w:color="000000" w:sz="4" w:space="0"/>
              <w:left w:val="single" w:color="000000" w:sz="4" w:space="0"/>
              <w:bottom w:val="nil"/>
              <w:right w:val="single" w:color="000000" w:sz="4" w:space="0"/>
            </w:tcBorders>
            <w:shd w:val="clear" w:color="auto" w:fill="auto"/>
            <w:vAlign w:val="center"/>
          </w:tcPr>
          <w:p w14:paraId="4229A6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w:t>
            </w:r>
          </w:p>
        </w:tc>
        <w:tc>
          <w:tcPr>
            <w:tcW w:w="846" w:type="dxa"/>
            <w:tcBorders>
              <w:top w:val="single" w:color="000000" w:sz="4" w:space="0"/>
              <w:left w:val="single" w:color="000000" w:sz="4" w:space="0"/>
              <w:bottom w:val="nil"/>
              <w:right w:val="single" w:color="000000" w:sz="4" w:space="0"/>
            </w:tcBorders>
            <w:shd w:val="clear" w:color="auto" w:fill="auto"/>
            <w:vAlign w:val="center"/>
          </w:tcPr>
          <w:p w14:paraId="2EA0D0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w:t>
            </w:r>
          </w:p>
        </w:tc>
        <w:tc>
          <w:tcPr>
            <w:tcW w:w="792" w:type="dxa"/>
            <w:tcBorders>
              <w:top w:val="single" w:color="000000" w:sz="4" w:space="0"/>
              <w:left w:val="single" w:color="000000" w:sz="4" w:space="0"/>
              <w:bottom w:val="nil"/>
              <w:right w:val="single" w:color="000000" w:sz="4" w:space="0"/>
            </w:tcBorders>
            <w:shd w:val="clear" w:color="auto" w:fill="auto"/>
            <w:vAlign w:val="center"/>
          </w:tcPr>
          <w:p w14:paraId="69B4C3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90" w:type="dxa"/>
            <w:tcBorders>
              <w:top w:val="single" w:color="000000" w:sz="4" w:space="0"/>
              <w:left w:val="single" w:color="000000" w:sz="4" w:space="0"/>
              <w:bottom w:val="nil"/>
              <w:right w:val="single" w:color="000000" w:sz="4" w:space="0"/>
            </w:tcBorders>
            <w:shd w:val="clear" w:color="auto" w:fill="auto"/>
            <w:vAlign w:val="center"/>
          </w:tcPr>
          <w:p w14:paraId="152E18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763" w:type="dxa"/>
            <w:tcBorders>
              <w:top w:val="single" w:color="000000" w:sz="4" w:space="0"/>
              <w:left w:val="single" w:color="000000" w:sz="4" w:space="0"/>
              <w:bottom w:val="nil"/>
              <w:right w:val="single" w:color="000000" w:sz="4" w:space="0"/>
            </w:tcBorders>
            <w:shd w:val="clear" w:color="auto" w:fill="auto"/>
            <w:vAlign w:val="center"/>
          </w:tcPr>
          <w:p w14:paraId="515518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660" w:type="dxa"/>
            <w:tcBorders>
              <w:top w:val="single" w:color="000000" w:sz="4" w:space="0"/>
              <w:left w:val="single" w:color="000000" w:sz="4" w:space="0"/>
              <w:bottom w:val="nil"/>
              <w:right w:val="single" w:color="000000" w:sz="4" w:space="0"/>
            </w:tcBorders>
            <w:shd w:val="clear" w:color="auto" w:fill="auto"/>
            <w:vAlign w:val="center"/>
          </w:tcPr>
          <w:p w14:paraId="49464955">
            <w:pPr>
              <w:jc w:val="center"/>
              <w:rPr>
                <w:rFonts w:hint="eastAsia" w:ascii="宋体" w:hAnsi="宋体" w:eastAsia="宋体" w:cs="宋体"/>
                <w:i w:val="0"/>
                <w:iCs w:val="0"/>
                <w:color w:val="000000"/>
                <w:sz w:val="18"/>
                <w:szCs w:val="18"/>
                <w:u w:val="none"/>
              </w:rPr>
            </w:pPr>
          </w:p>
        </w:tc>
      </w:tr>
      <w:tr w14:paraId="3ED8D8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877" w:type="dxa"/>
            <w:vMerge w:val="continue"/>
            <w:tcBorders>
              <w:top w:val="single" w:color="000000" w:sz="4" w:space="0"/>
              <w:left w:val="single" w:color="000000" w:sz="4" w:space="0"/>
              <w:bottom w:val="nil"/>
              <w:right w:val="single" w:color="000000" w:sz="4" w:space="0"/>
            </w:tcBorders>
            <w:shd w:val="clear" w:color="auto" w:fill="auto"/>
            <w:vAlign w:val="center"/>
          </w:tcPr>
          <w:p w14:paraId="783C786D">
            <w:pPr>
              <w:jc w:val="center"/>
              <w:rPr>
                <w:rFonts w:hint="eastAsia" w:ascii="宋体" w:hAnsi="宋体" w:eastAsia="宋体" w:cs="宋体"/>
                <w:i w:val="0"/>
                <w:iCs w:val="0"/>
                <w:color w:val="000000"/>
                <w:sz w:val="18"/>
                <w:szCs w:val="18"/>
                <w:u w:val="none"/>
              </w:rPr>
            </w:pPr>
          </w:p>
        </w:tc>
        <w:tc>
          <w:tcPr>
            <w:tcW w:w="345" w:type="dxa"/>
            <w:vMerge w:val="continue"/>
            <w:tcBorders>
              <w:top w:val="single" w:color="000000" w:sz="4" w:space="0"/>
              <w:left w:val="single" w:color="000000" w:sz="4" w:space="0"/>
              <w:bottom w:val="nil"/>
              <w:right w:val="single" w:color="000000" w:sz="4" w:space="0"/>
            </w:tcBorders>
            <w:shd w:val="clear" w:color="auto" w:fill="auto"/>
            <w:vAlign w:val="center"/>
          </w:tcPr>
          <w:p w14:paraId="05FB5C68">
            <w:pPr>
              <w:jc w:val="center"/>
              <w:rPr>
                <w:rFonts w:hint="eastAsia" w:ascii="宋体" w:hAnsi="宋体" w:eastAsia="宋体" w:cs="宋体"/>
                <w:i w:val="0"/>
                <w:iCs w:val="0"/>
                <w:color w:val="000000"/>
                <w:sz w:val="18"/>
                <w:szCs w:val="18"/>
                <w:u w:val="none"/>
              </w:rPr>
            </w:pPr>
          </w:p>
        </w:tc>
        <w:tc>
          <w:tcPr>
            <w:tcW w:w="1338" w:type="dxa"/>
            <w:vMerge w:val="restart"/>
            <w:tcBorders>
              <w:top w:val="single" w:color="000000" w:sz="4" w:space="0"/>
              <w:left w:val="single" w:color="000000" w:sz="4" w:space="0"/>
              <w:bottom w:val="nil"/>
              <w:right w:val="single" w:color="000000" w:sz="4" w:space="0"/>
            </w:tcBorders>
            <w:shd w:val="clear" w:color="auto" w:fill="auto"/>
            <w:vAlign w:val="center"/>
          </w:tcPr>
          <w:p w14:paraId="0B4E1E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880" w:type="dxa"/>
            <w:tcBorders>
              <w:top w:val="single" w:color="000000" w:sz="4" w:space="0"/>
              <w:left w:val="single" w:color="000000" w:sz="4" w:space="0"/>
              <w:bottom w:val="nil"/>
              <w:right w:val="single" w:color="000000" w:sz="4" w:space="0"/>
            </w:tcBorders>
            <w:shd w:val="clear" w:color="auto" w:fill="auto"/>
            <w:vAlign w:val="center"/>
          </w:tcPr>
          <w:p w14:paraId="2DE07D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检验报告签发周期</w:t>
            </w:r>
          </w:p>
        </w:tc>
        <w:tc>
          <w:tcPr>
            <w:tcW w:w="744" w:type="dxa"/>
            <w:tcBorders>
              <w:top w:val="single" w:color="000000" w:sz="4" w:space="0"/>
              <w:left w:val="single" w:color="000000" w:sz="4" w:space="0"/>
              <w:bottom w:val="nil"/>
              <w:right w:val="single" w:color="000000" w:sz="4" w:space="0"/>
            </w:tcBorders>
            <w:shd w:val="clear" w:color="auto" w:fill="auto"/>
            <w:vAlign w:val="center"/>
          </w:tcPr>
          <w:p w14:paraId="1F0654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w:t>
            </w:r>
          </w:p>
        </w:tc>
        <w:tc>
          <w:tcPr>
            <w:tcW w:w="729" w:type="dxa"/>
            <w:tcBorders>
              <w:top w:val="single" w:color="000000" w:sz="4" w:space="0"/>
              <w:left w:val="single" w:color="000000" w:sz="4" w:space="0"/>
              <w:bottom w:val="nil"/>
              <w:right w:val="single" w:color="000000" w:sz="4" w:space="0"/>
            </w:tcBorders>
            <w:shd w:val="clear" w:color="auto" w:fill="auto"/>
            <w:vAlign w:val="center"/>
          </w:tcPr>
          <w:p w14:paraId="623C93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小于等于</w:t>
            </w:r>
          </w:p>
        </w:tc>
        <w:tc>
          <w:tcPr>
            <w:tcW w:w="806" w:type="dxa"/>
            <w:tcBorders>
              <w:top w:val="single" w:color="000000" w:sz="4" w:space="0"/>
              <w:left w:val="single" w:color="000000" w:sz="4" w:space="0"/>
              <w:bottom w:val="nil"/>
              <w:right w:val="single" w:color="000000" w:sz="4" w:space="0"/>
            </w:tcBorders>
            <w:shd w:val="clear" w:color="auto" w:fill="auto"/>
            <w:vAlign w:val="center"/>
          </w:tcPr>
          <w:p w14:paraId="7BA395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846" w:type="dxa"/>
            <w:tcBorders>
              <w:top w:val="single" w:color="000000" w:sz="4" w:space="0"/>
              <w:left w:val="single" w:color="000000" w:sz="4" w:space="0"/>
              <w:bottom w:val="nil"/>
              <w:right w:val="single" w:color="000000" w:sz="4" w:space="0"/>
            </w:tcBorders>
            <w:shd w:val="clear" w:color="auto" w:fill="auto"/>
            <w:vAlign w:val="center"/>
          </w:tcPr>
          <w:p w14:paraId="0557AB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792" w:type="dxa"/>
            <w:tcBorders>
              <w:top w:val="single" w:color="000000" w:sz="4" w:space="0"/>
              <w:left w:val="single" w:color="000000" w:sz="4" w:space="0"/>
              <w:bottom w:val="nil"/>
              <w:right w:val="single" w:color="000000" w:sz="4" w:space="0"/>
            </w:tcBorders>
            <w:shd w:val="clear" w:color="auto" w:fill="auto"/>
            <w:vAlign w:val="center"/>
          </w:tcPr>
          <w:p w14:paraId="630071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w:t>
            </w:r>
          </w:p>
        </w:tc>
        <w:tc>
          <w:tcPr>
            <w:tcW w:w="790" w:type="dxa"/>
            <w:tcBorders>
              <w:top w:val="single" w:color="000000" w:sz="4" w:space="0"/>
              <w:left w:val="single" w:color="000000" w:sz="4" w:space="0"/>
              <w:bottom w:val="nil"/>
              <w:right w:val="single" w:color="000000" w:sz="4" w:space="0"/>
            </w:tcBorders>
            <w:shd w:val="clear" w:color="auto" w:fill="auto"/>
            <w:vAlign w:val="center"/>
          </w:tcPr>
          <w:p w14:paraId="43EE1E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763" w:type="dxa"/>
            <w:tcBorders>
              <w:top w:val="single" w:color="000000" w:sz="4" w:space="0"/>
              <w:left w:val="single" w:color="000000" w:sz="4" w:space="0"/>
              <w:bottom w:val="nil"/>
              <w:right w:val="single" w:color="000000" w:sz="4" w:space="0"/>
            </w:tcBorders>
            <w:shd w:val="clear" w:color="auto" w:fill="auto"/>
            <w:vAlign w:val="center"/>
          </w:tcPr>
          <w:p w14:paraId="1200B0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660" w:type="dxa"/>
            <w:tcBorders>
              <w:top w:val="single" w:color="000000" w:sz="4" w:space="0"/>
              <w:left w:val="single" w:color="000000" w:sz="4" w:space="0"/>
              <w:bottom w:val="nil"/>
              <w:right w:val="single" w:color="000000" w:sz="4" w:space="0"/>
            </w:tcBorders>
            <w:shd w:val="clear" w:color="auto" w:fill="auto"/>
            <w:vAlign w:val="center"/>
          </w:tcPr>
          <w:p w14:paraId="0DA6D43A">
            <w:pPr>
              <w:jc w:val="center"/>
              <w:rPr>
                <w:rFonts w:hint="eastAsia" w:ascii="宋体" w:hAnsi="宋体" w:eastAsia="宋体" w:cs="宋体"/>
                <w:i w:val="0"/>
                <w:iCs w:val="0"/>
                <w:color w:val="000000"/>
                <w:sz w:val="18"/>
                <w:szCs w:val="18"/>
                <w:u w:val="none"/>
              </w:rPr>
            </w:pPr>
          </w:p>
        </w:tc>
      </w:tr>
      <w:tr w14:paraId="0EA750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877" w:type="dxa"/>
            <w:vMerge w:val="continue"/>
            <w:tcBorders>
              <w:top w:val="single" w:color="000000" w:sz="4" w:space="0"/>
              <w:left w:val="single" w:color="000000" w:sz="4" w:space="0"/>
              <w:bottom w:val="nil"/>
              <w:right w:val="single" w:color="000000" w:sz="4" w:space="0"/>
            </w:tcBorders>
            <w:shd w:val="clear" w:color="auto" w:fill="auto"/>
            <w:vAlign w:val="center"/>
          </w:tcPr>
          <w:p w14:paraId="170D3075">
            <w:pPr>
              <w:jc w:val="center"/>
              <w:rPr>
                <w:rFonts w:hint="eastAsia" w:ascii="宋体" w:hAnsi="宋体" w:eastAsia="宋体" w:cs="宋体"/>
                <w:i w:val="0"/>
                <w:iCs w:val="0"/>
                <w:color w:val="000000"/>
                <w:sz w:val="18"/>
                <w:szCs w:val="18"/>
                <w:u w:val="none"/>
              </w:rPr>
            </w:pPr>
          </w:p>
        </w:tc>
        <w:tc>
          <w:tcPr>
            <w:tcW w:w="345" w:type="dxa"/>
            <w:vMerge w:val="continue"/>
            <w:tcBorders>
              <w:top w:val="single" w:color="000000" w:sz="4" w:space="0"/>
              <w:left w:val="single" w:color="000000" w:sz="4" w:space="0"/>
              <w:bottom w:val="nil"/>
              <w:right w:val="single" w:color="000000" w:sz="4" w:space="0"/>
            </w:tcBorders>
            <w:shd w:val="clear" w:color="auto" w:fill="auto"/>
            <w:vAlign w:val="center"/>
          </w:tcPr>
          <w:p w14:paraId="705C5531">
            <w:pPr>
              <w:jc w:val="center"/>
              <w:rPr>
                <w:rFonts w:hint="eastAsia" w:ascii="宋体" w:hAnsi="宋体" w:eastAsia="宋体" w:cs="宋体"/>
                <w:i w:val="0"/>
                <w:iCs w:val="0"/>
                <w:color w:val="000000"/>
                <w:sz w:val="18"/>
                <w:szCs w:val="18"/>
                <w:u w:val="none"/>
              </w:rPr>
            </w:pPr>
          </w:p>
        </w:tc>
        <w:tc>
          <w:tcPr>
            <w:tcW w:w="1338" w:type="dxa"/>
            <w:vMerge w:val="continue"/>
            <w:tcBorders>
              <w:top w:val="single" w:color="000000" w:sz="4" w:space="0"/>
              <w:left w:val="single" w:color="000000" w:sz="4" w:space="0"/>
              <w:bottom w:val="nil"/>
              <w:right w:val="single" w:color="000000" w:sz="4" w:space="0"/>
            </w:tcBorders>
            <w:shd w:val="clear" w:color="auto" w:fill="auto"/>
            <w:vAlign w:val="center"/>
          </w:tcPr>
          <w:p w14:paraId="60550D23">
            <w:pPr>
              <w:jc w:val="center"/>
              <w:rPr>
                <w:rFonts w:hint="eastAsia" w:ascii="宋体" w:hAnsi="宋体" w:eastAsia="宋体" w:cs="宋体"/>
                <w:i w:val="0"/>
                <w:iCs w:val="0"/>
                <w:color w:val="000000"/>
                <w:sz w:val="18"/>
                <w:szCs w:val="18"/>
                <w:u w:val="none"/>
              </w:rPr>
            </w:pPr>
          </w:p>
        </w:tc>
        <w:tc>
          <w:tcPr>
            <w:tcW w:w="880" w:type="dxa"/>
            <w:tcBorders>
              <w:top w:val="single" w:color="000000" w:sz="4" w:space="0"/>
              <w:left w:val="single" w:color="000000" w:sz="4" w:space="0"/>
              <w:bottom w:val="nil"/>
              <w:right w:val="single" w:color="000000" w:sz="4" w:space="0"/>
            </w:tcBorders>
            <w:shd w:val="clear" w:color="auto" w:fill="auto"/>
            <w:vAlign w:val="center"/>
          </w:tcPr>
          <w:p w14:paraId="49E366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检验受理时间</w:t>
            </w:r>
          </w:p>
        </w:tc>
        <w:tc>
          <w:tcPr>
            <w:tcW w:w="744" w:type="dxa"/>
            <w:tcBorders>
              <w:top w:val="single" w:color="000000" w:sz="4" w:space="0"/>
              <w:left w:val="single" w:color="000000" w:sz="4" w:space="0"/>
              <w:bottom w:val="nil"/>
              <w:right w:val="single" w:color="000000" w:sz="4" w:space="0"/>
            </w:tcBorders>
            <w:shd w:val="clear" w:color="auto" w:fill="auto"/>
            <w:vAlign w:val="center"/>
          </w:tcPr>
          <w:p w14:paraId="7AB3B7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w:t>
            </w:r>
          </w:p>
        </w:tc>
        <w:tc>
          <w:tcPr>
            <w:tcW w:w="729" w:type="dxa"/>
            <w:tcBorders>
              <w:top w:val="single" w:color="000000" w:sz="4" w:space="0"/>
              <w:left w:val="single" w:color="000000" w:sz="4" w:space="0"/>
              <w:bottom w:val="nil"/>
              <w:right w:val="single" w:color="000000" w:sz="4" w:space="0"/>
            </w:tcBorders>
            <w:shd w:val="clear" w:color="auto" w:fill="auto"/>
            <w:vAlign w:val="center"/>
          </w:tcPr>
          <w:p w14:paraId="529B83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小于等于</w:t>
            </w:r>
          </w:p>
        </w:tc>
        <w:tc>
          <w:tcPr>
            <w:tcW w:w="806" w:type="dxa"/>
            <w:tcBorders>
              <w:top w:val="single" w:color="000000" w:sz="4" w:space="0"/>
              <w:left w:val="single" w:color="000000" w:sz="4" w:space="0"/>
              <w:bottom w:val="nil"/>
              <w:right w:val="single" w:color="000000" w:sz="4" w:space="0"/>
            </w:tcBorders>
            <w:shd w:val="clear" w:color="auto" w:fill="auto"/>
            <w:vAlign w:val="center"/>
          </w:tcPr>
          <w:p w14:paraId="30866B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846" w:type="dxa"/>
            <w:tcBorders>
              <w:top w:val="single" w:color="000000" w:sz="4" w:space="0"/>
              <w:left w:val="single" w:color="000000" w:sz="4" w:space="0"/>
              <w:bottom w:val="nil"/>
              <w:right w:val="single" w:color="000000" w:sz="4" w:space="0"/>
            </w:tcBorders>
            <w:shd w:val="clear" w:color="auto" w:fill="auto"/>
            <w:vAlign w:val="center"/>
          </w:tcPr>
          <w:p w14:paraId="1F5F84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792" w:type="dxa"/>
            <w:tcBorders>
              <w:top w:val="single" w:color="000000" w:sz="4" w:space="0"/>
              <w:left w:val="single" w:color="000000" w:sz="4" w:space="0"/>
              <w:bottom w:val="nil"/>
              <w:right w:val="single" w:color="000000" w:sz="4" w:space="0"/>
            </w:tcBorders>
            <w:shd w:val="clear" w:color="auto" w:fill="auto"/>
            <w:vAlign w:val="center"/>
          </w:tcPr>
          <w:p w14:paraId="32D978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w:t>
            </w:r>
          </w:p>
        </w:tc>
        <w:tc>
          <w:tcPr>
            <w:tcW w:w="790" w:type="dxa"/>
            <w:tcBorders>
              <w:top w:val="single" w:color="000000" w:sz="4" w:space="0"/>
              <w:left w:val="single" w:color="000000" w:sz="4" w:space="0"/>
              <w:bottom w:val="nil"/>
              <w:right w:val="single" w:color="000000" w:sz="4" w:space="0"/>
            </w:tcBorders>
            <w:shd w:val="clear" w:color="auto" w:fill="auto"/>
            <w:vAlign w:val="center"/>
          </w:tcPr>
          <w:p w14:paraId="266071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763" w:type="dxa"/>
            <w:tcBorders>
              <w:top w:val="single" w:color="000000" w:sz="4" w:space="0"/>
              <w:left w:val="single" w:color="000000" w:sz="4" w:space="0"/>
              <w:bottom w:val="nil"/>
              <w:right w:val="single" w:color="000000" w:sz="4" w:space="0"/>
            </w:tcBorders>
            <w:shd w:val="clear" w:color="auto" w:fill="auto"/>
            <w:vAlign w:val="center"/>
          </w:tcPr>
          <w:p w14:paraId="55A114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660" w:type="dxa"/>
            <w:tcBorders>
              <w:top w:val="single" w:color="000000" w:sz="4" w:space="0"/>
              <w:left w:val="single" w:color="000000" w:sz="4" w:space="0"/>
              <w:bottom w:val="nil"/>
              <w:right w:val="single" w:color="000000" w:sz="4" w:space="0"/>
            </w:tcBorders>
            <w:shd w:val="clear" w:color="auto" w:fill="auto"/>
            <w:vAlign w:val="center"/>
          </w:tcPr>
          <w:p w14:paraId="475C5FCE">
            <w:pPr>
              <w:jc w:val="center"/>
              <w:rPr>
                <w:rFonts w:hint="eastAsia" w:ascii="宋体" w:hAnsi="宋体" w:eastAsia="宋体" w:cs="宋体"/>
                <w:i w:val="0"/>
                <w:iCs w:val="0"/>
                <w:color w:val="000000"/>
                <w:sz w:val="18"/>
                <w:szCs w:val="18"/>
                <w:u w:val="none"/>
              </w:rPr>
            </w:pPr>
          </w:p>
        </w:tc>
      </w:tr>
      <w:tr w14:paraId="37CCE2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877" w:type="dxa"/>
            <w:vMerge w:val="continue"/>
            <w:tcBorders>
              <w:top w:val="single" w:color="000000" w:sz="4" w:space="0"/>
              <w:left w:val="single" w:color="000000" w:sz="4" w:space="0"/>
              <w:bottom w:val="nil"/>
              <w:right w:val="single" w:color="000000" w:sz="4" w:space="0"/>
            </w:tcBorders>
            <w:shd w:val="clear" w:color="auto" w:fill="auto"/>
            <w:vAlign w:val="center"/>
          </w:tcPr>
          <w:p w14:paraId="1F2BBE92">
            <w:pPr>
              <w:jc w:val="center"/>
              <w:rPr>
                <w:rFonts w:hint="eastAsia" w:ascii="宋体" w:hAnsi="宋体" w:eastAsia="宋体" w:cs="宋体"/>
                <w:i w:val="0"/>
                <w:iCs w:val="0"/>
                <w:color w:val="000000"/>
                <w:sz w:val="18"/>
                <w:szCs w:val="18"/>
                <w:u w:val="none"/>
              </w:rPr>
            </w:pPr>
          </w:p>
        </w:tc>
        <w:tc>
          <w:tcPr>
            <w:tcW w:w="345" w:type="dxa"/>
            <w:vMerge w:val="continue"/>
            <w:tcBorders>
              <w:top w:val="single" w:color="000000" w:sz="4" w:space="0"/>
              <w:left w:val="single" w:color="000000" w:sz="4" w:space="0"/>
              <w:bottom w:val="nil"/>
              <w:right w:val="single" w:color="000000" w:sz="4" w:space="0"/>
            </w:tcBorders>
            <w:shd w:val="clear" w:color="auto" w:fill="auto"/>
            <w:vAlign w:val="center"/>
          </w:tcPr>
          <w:p w14:paraId="18CA6DC9">
            <w:pPr>
              <w:jc w:val="center"/>
              <w:rPr>
                <w:rFonts w:hint="eastAsia" w:ascii="宋体" w:hAnsi="宋体" w:eastAsia="宋体" w:cs="宋体"/>
                <w:i w:val="0"/>
                <w:iCs w:val="0"/>
                <w:color w:val="000000"/>
                <w:sz w:val="18"/>
                <w:szCs w:val="18"/>
                <w:u w:val="none"/>
              </w:rPr>
            </w:pPr>
          </w:p>
        </w:tc>
        <w:tc>
          <w:tcPr>
            <w:tcW w:w="1338" w:type="dxa"/>
            <w:vMerge w:val="restart"/>
            <w:tcBorders>
              <w:top w:val="single" w:color="000000" w:sz="4" w:space="0"/>
              <w:left w:val="single" w:color="000000" w:sz="4" w:space="0"/>
              <w:bottom w:val="nil"/>
              <w:right w:val="single" w:color="000000" w:sz="4" w:space="0"/>
            </w:tcBorders>
            <w:shd w:val="clear" w:color="auto" w:fill="auto"/>
            <w:vAlign w:val="center"/>
          </w:tcPr>
          <w:p w14:paraId="4B6389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880" w:type="dxa"/>
            <w:tcBorders>
              <w:top w:val="single" w:color="000000" w:sz="4" w:space="0"/>
              <w:left w:val="single" w:color="000000" w:sz="4" w:space="0"/>
              <w:bottom w:val="nil"/>
              <w:right w:val="single" w:color="000000" w:sz="4" w:space="0"/>
            </w:tcBorders>
            <w:shd w:val="clear" w:color="auto" w:fill="auto"/>
            <w:vAlign w:val="center"/>
          </w:tcPr>
          <w:p w14:paraId="0690C6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机电类特种设备检验成本</w:t>
            </w:r>
          </w:p>
        </w:tc>
        <w:tc>
          <w:tcPr>
            <w:tcW w:w="744" w:type="dxa"/>
            <w:tcBorders>
              <w:top w:val="single" w:color="000000" w:sz="4" w:space="0"/>
              <w:left w:val="single" w:color="000000" w:sz="4" w:space="0"/>
              <w:bottom w:val="nil"/>
              <w:right w:val="single" w:color="000000" w:sz="4" w:space="0"/>
            </w:tcBorders>
            <w:shd w:val="clear" w:color="auto" w:fill="auto"/>
            <w:vAlign w:val="center"/>
          </w:tcPr>
          <w:p w14:paraId="664201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w:t>
            </w:r>
          </w:p>
        </w:tc>
        <w:tc>
          <w:tcPr>
            <w:tcW w:w="729" w:type="dxa"/>
            <w:tcBorders>
              <w:top w:val="single" w:color="000000" w:sz="4" w:space="0"/>
              <w:left w:val="single" w:color="000000" w:sz="4" w:space="0"/>
              <w:bottom w:val="nil"/>
              <w:right w:val="single" w:color="000000" w:sz="4" w:space="0"/>
            </w:tcBorders>
            <w:shd w:val="clear" w:color="auto" w:fill="auto"/>
            <w:vAlign w:val="center"/>
          </w:tcPr>
          <w:p w14:paraId="5709D2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小于等于</w:t>
            </w:r>
          </w:p>
        </w:tc>
        <w:tc>
          <w:tcPr>
            <w:tcW w:w="806" w:type="dxa"/>
            <w:tcBorders>
              <w:top w:val="single" w:color="000000" w:sz="4" w:space="0"/>
              <w:left w:val="single" w:color="000000" w:sz="4" w:space="0"/>
              <w:bottom w:val="nil"/>
              <w:right w:val="single" w:color="000000" w:sz="4" w:space="0"/>
            </w:tcBorders>
            <w:shd w:val="clear" w:color="auto" w:fill="auto"/>
            <w:vAlign w:val="center"/>
          </w:tcPr>
          <w:p w14:paraId="716C99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900</w:t>
            </w:r>
          </w:p>
        </w:tc>
        <w:tc>
          <w:tcPr>
            <w:tcW w:w="846" w:type="dxa"/>
            <w:tcBorders>
              <w:top w:val="single" w:color="000000" w:sz="4" w:space="0"/>
              <w:left w:val="single" w:color="000000" w:sz="4" w:space="0"/>
              <w:bottom w:val="nil"/>
              <w:right w:val="single" w:color="000000" w:sz="4" w:space="0"/>
            </w:tcBorders>
            <w:shd w:val="clear" w:color="auto" w:fill="auto"/>
            <w:vAlign w:val="center"/>
          </w:tcPr>
          <w:p w14:paraId="108D8F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867.17</w:t>
            </w:r>
          </w:p>
        </w:tc>
        <w:tc>
          <w:tcPr>
            <w:tcW w:w="792" w:type="dxa"/>
            <w:tcBorders>
              <w:top w:val="single" w:color="000000" w:sz="4" w:space="0"/>
              <w:left w:val="single" w:color="000000" w:sz="4" w:space="0"/>
              <w:bottom w:val="nil"/>
              <w:right w:val="single" w:color="000000" w:sz="4" w:space="0"/>
            </w:tcBorders>
            <w:shd w:val="clear" w:color="auto" w:fill="auto"/>
            <w:vAlign w:val="center"/>
          </w:tcPr>
          <w:p w14:paraId="0F04C8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万元</w:t>
            </w:r>
          </w:p>
        </w:tc>
        <w:tc>
          <w:tcPr>
            <w:tcW w:w="790" w:type="dxa"/>
            <w:tcBorders>
              <w:top w:val="single" w:color="000000" w:sz="4" w:space="0"/>
              <w:left w:val="single" w:color="000000" w:sz="4" w:space="0"/>
              <w:bottom w:val="nil"/>
              <w:right w:val="single" w:color="000000" w:sz="4" w:space="0"/>
            </w:tcBorders>
            <w:shd w:val="clear" w:color="auto" w:fill="auto"/>
            <w:vAlign w:val="center"/>
          </w:tcPr>
          <w:p w14:paraId="7E554B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763" w:type="dxa"/>
            <w:tcBorders>
              <w:top w:val="single" w:color="000000" w:sz="4" w:space="0"/>
              <w:left w:val="single" w:color="000000" w:sz="4" w:space="0"/>
              <w:bottom w:val="nil"/>
              <w:right w:val="single" w:color="000000" w:sz="4" w:space="0"/>
            </w:tcBorders>
            <w:shd w:val="clear" w:color="auto" w:fill="auto"/>
            <w:vAlign w:val="center"/>
          </w:tcPr>
          <w:p w14:paraId="040819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660" w:type="dxa"/>
            <w:tcBorders>
              <w:top w:val="single" w:color="000000" w:sz="4" w:space="0"/>
              <w:left w:val="single" w:color="000000" w:sz="4" w:space="0"/>
              <w:bottom w:val="nil"/>
              <w:right w:val="single" w:color="000000" w:sz="4" w:space="0"/>
            </w:tcBorders>
            <w:shd w:val="clear" w:color="auto" w:fill="auto"/>
            <w:vAlign w:val="center"/>
          </w:tcPr>
          <w:p w14:paraId="641F8CF2">
            <w:pPr>
              <w:jc w:val="center"/>
              <w:rPr>
                <w:rFonts w:hint="eastAsia" w:ascii="宋体" w:hAnsi="宋体" w:eastAsia="宋体" w:cs="宋体"/>
                <w:i w:val="0"/>
                <w:iCs w:val="0"/>
                <w:color w:val="000000"/>
                <w:sz w:val="18"/>
                <w:szCs w:val="18"/>
                <w:u w:val="none"/>
              </w:rPr>
            </w:pPr>
          </w:p>
        </w:tc>
      </w:tr>
      <w:tr w14:paraId="138629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877" w:type="dxa"/>
            <w:vMerge w:val="continue"/>
            <w:tcBorders>
              <w:top w:val="single" w:color="000000" w:sz="4" w:space="0"/>
              <w:left w:val="single" w:color="000000" w:sz="4" w:space="0"/>
              <w:bottom w:val="nil"/>
              <w:right w:val="single" w:color="000000" w:sz="4" w:space="0"/>
            </w:tcBorders>
            <w:shd w:val="clear" w:color="auto" w:fill="auto"/>
            <w:vAlign w:val="center"/>
          </w:tcPr>
          <w:p w14:paraId="4FAF57F7">
            <w:pPr>
              <w:jc w:val="center"/>
              <w:rPr>
                <w:rFonts w:hint="eastAsia" w:ascii="宋体" w:hAnsi="宋体" w:eastAsia="宋体" w:cs="宋体"/>
                <w:i w:val="0"/>
                <w:iCs w:val="0"/>
                <w:color w:val="000000"/>
                <w:sz w:val="18"/>
                <w:szCs w:val="18"/>
                <w:u w:val="none"/>
              </w:rPr>
            </w:pPr>
          </w:p>
        </w:tc>
        <w:tc>
          <w:tcPr>
            <w:tcW w:w="345" w:type="dxa"/>
            <w:vMerge w:val="continue"/>
            <w:tcBorders>
              <w:top w:val="single" w:color="000000" w:sz="4" w:space="0"/>
              <w:left w:val="single" w:color="000000" w:sz="4" w:space="0"/>
              <w:bottom w:val="nil"/>
              <w:right w:val="single" w:color="000000" w:sz="4" w:space="0"/>
            </w:tcBorders>
            <w:shd w:val="clear" w:color="auto" w:fill="auto"/>
            <w:vAlign w:val="center"/>
          </w:tcPr>
          <w:p w14:paraId="3431B067">
            <w:pPr>
              <w:jc w:val="center"/>
              <w:rPr>
                <w:rFonts w:hint="eastAsia" w:ascii="宋体" w:hAnsi="宋体" w:eastAsia="宋体" w:cs="宋体"/>
                <w:i w:val="0"/>
                <w:iCs w:val="0"/>
                <w:color w:val="000000"/>
                <w:sz w:val="18"/>
                <w:szCs w:val="18"/>
                <w:u w:val="none"/>
              </w:rPr>
            </w:pPr>
          </w:p>
        </w:tc>
        <w:tc>
          <w:tcPr>
            <w:tcW w:w="1338" w:type="dxa"/>
            <w:vMerge w:val="continue"/>
            <w:tcBorders>
              <w:top w:val="single" w:color="000000" w:sz="4" w:space="0"/>
              <w:left w:val="single" w:color="000000" w:sz="4" w:space="0"/>
              <w:bottom w:val="nil"/>
              <w:right w:val="single" w:color="000000" w:sz="4" w:space="0"/>
            </w:tcBorders>
            <w:shd w:val="clear" w:color="auto" w:fill="auto"/>
            <w:vAlign w:val="center"/>
          </w:tcPr>
          <w:p w14:paraId="7C2EE948">
            <w:pPr>
              <w:jc w:val="center"/>
              <w:rPr>
                <w:rFonts w:hint="eastAsia" w:ascii="宋体" w:hAnsi="宋体" w:eastAsia="宋体" w:cs="宋体"/>
                <w:i w:val="0"/>
                <w:iCs w:val="0"/>
                <w:color w:val="000000"/>
                <w:sz w:val="18"/>
                <w:szCs w:val="18"/>
                <w:u w:val="none"/>
              </w:rPr>
            </w:pPr>
          </w:p>
        </w:tc>
        <w:tc>
          <w:tcPr>
            <w:tcW w:w="880" w:type="dxa"/>
            <w:tcBorders>
              <w:top w:val="single" w:color="000000" w:sz="4" w:space="0"/>
              <w:left w:val="single" w:color="000000" w:sz="4" w:space="0"/>
              <w:bottom w:val="nil"/>
              <w:right w:val="single" w:color="000000" w:sz="4" w:space="0"/>
            </w:tcBorders>
            <w:shd w:val="clear" w:color="auto" w:fill="auto"/>
            <w:vAlign w:val="center"/>
          </w:tcPr>
          <w:p w14:paraId="374058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承压类特种设备检验成本</w:t>
            </w:r>
          </w:p>
        </w:tc>
        <w:tc>
          <w:tcPr>
            <w:tcW w:w="744" w:type="dxa"/>
            <w:tcBorders>
              <w:top w:val="single" w:color="000000" w:sz="4" w:space="0"/>
              <w:left w:val="single" w:color="000000" w:sz="4" w:space="0"/>
              <w:bottom w:val="nil"/>
              <w:right w:val="single" w:color="000000" w:sz="4" w:space="0"/>
            </w:tcBorders>
            <w:shd w:val="clear" w:color="auto" w:fill="auto"/>
            <w:vAlign w:val="center"/>
          </w:tcPr>
          <w:p w14:paraId="013995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w:t>
            </w:r>
          </w:p>
        </w:tc>
        <w:tc>
          <w:tcPr>
            <w:tcW w:w="729" w:type="dxa"/>
            <w:tcBorders>
              <w:top w:val="single" w:color="000000" w:sz="4" w:space="0"/>
              <w:left w:val="single" w:color="000000" w:sz="4" w:space="0"/>
              <w:bottom w:val="nil"/>
              <w:right w:val="single" w:color="000000" w:sz="4" w:space="0"/>
            </w:tcBorders>
            <w:shd w:val="clear" w:color="auto" w:fill="auto"/>
            <w:vAlign w:val="center"/>
          </w:tcPr>
          <w:p w14:paraId="658E4C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小于等于</w:t>
            </w:r>
          </w:p>
        </w:tc>
        <w:tc>
          <w:tcPr>
            <w:tcW w:w="806" w:type="dxa"/>
            <w:tcBorders>
              <w:top w:val="single" w:color="000000" w:sz="4" w:space="0"/>
              <w:left w:val="single" w:color="000000" w:sz="4" w:space="0"/>
              <w:bottom w:val="nil"/>
              <w:right w:val="single" w:color="000000" w:sz="4" w:space="0"/>
            </w:tcBorders>
            <w:shd w:val="clear" w:color="auto" w:fill="auto"/>
            <w:vAlign w:val="center"/>
          </w:tcPr>
          <w:p w14:paraId="16D068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1260</w:t>
            </w:r>
          </w:p>
        </w:tc>
        <w:tc>
          <w:tcPr>
            <w:tcW w:w="846" w:type="dxa"/>
            <w:tcBorders>
              <w:top w:val="single" w:color="000000" w:sz="4" w:space="0"/>
              <w:left w:val="single" w:color="000000" w:sz="4" w:space="0"/>
              <w:bottom w:val="nil"/>
              <w:right w:val="single" w:color="000000" w:sz="4" w:space="0"/>
            </w:tcBorders>
            <w:shd w:val="clear" w:color="auto" w:fill="auto"/>
            <w:vAlign w:val="center"/>
          </w:tcPr>
          <w:p w14:paraId="7F7991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1218.24</w:t>
            </w:r>
          </w:p>
        </w:tc>
        <w:tc>
          <w:tcPr>
            <w:tcW w:w="792" w:type="dxa"/>
            <w:tcBorders>
              <w:top w:val="single" w:color="000000" w:sz="4" w:space="0"/>
              <w:left w:val="single" w:color="000000" w:sz="4" w:space="0"/>
              <w:bottom w:val="nil"/>
              <w:right w:val="single" w:color="000000" w:sz="4" w:space="0"/>
            </w:tcBorders>
            <w:shd w:val="clear" w:color="auto" w:fill="auto"/>
            <w:vAlign w:val="center"/>
          </w:tcPr>
          <w:p w14:paraId="16F899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万元</w:t>
            </w:r>
          </w:p>
        </w:tc>
        <w:tc>
          <w:tcPr>
            <w:tcW w:w="790" w:type="dxa"/>
            <w:tcBorders>
              <w:top w:val="single" w:color="000000" w:sz="4" w:space="0"/>
              <w:left w:val="single" w:color="000000" w:sz="4" w:space="0"/>
              <w:bottom w:val="nil"/>
              <w:right w:val="single" w:color="000000" w:sz="4" w:space="0"/>
            </w:tcBorders>
            <w:shd w:val="clear" w:color="auto" w:fill="auto"/>
            <w:vAlign w:val="center"/>
          </w:tcPr>
          <w:p w14:paraId="058D6E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763" w:type="dxa"/>
            <w:tcBorders>
              <w:top w:val="single" w:color="000000" w:sz="4" w:space="0"/>
              <w:left w:val="single" w:color="000000" w:sz="4" w:space="0"/>
              <w:bottom w:val="nil"/>
              <w:right w:val="single" w:color="000000" w:sz="4" w:space="0"/>
            </w:tcBorders>
            <w:shd w:val="clear" w:color="auto" w:fill="auto"/>
            <w:vAlign w:val="center"/>
          </w:tcPr>
          <w:p w14:paraId="144789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660" w:type="dxa"/>
            <w:tcBorders>
              <w:top w:val="single" w:color="000000" w:sz="4" w:space="0"/>
              <w:left w:val="single" w:color="000000" w:sz="4" w:space="0"/>
              <w:bottom w:val="nil"/>
              <w:right w:val="single" w:color="000000" w:sz="4" w:space="0"/>
            </w:tcBorders>
            <w:shd w:val="clear" w:color="auto" w:fill="auto"/>
            <w:vAlign w:val="center"/>
          </w:tcPr>
          <w:p w14:paraId="4180DFE6">
            <w:pPr>
              <w:jc w:val="center"/>
              <w:rPr>
                <w:rFonts w:hint="eastAsia" w:ascii="宋体" w:hAnsi="宋体" w:eastAsia="宋体" w:cs="宋体"/>
                <w:i w:val="0"/>
                <w:iCs w:val="0"/>
                <w:color w:val="000000"/>
                <w:sz w:val="18"/>
                <w:szCs w:val="18"/>
                <w:u w:val="none"/>
              </w:rPr>
            </w:pPr>
          </w:p>
        </w:tc>
      </w:tr>
      <w:tr w14:paraId="3E61B6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877" w:type="dxa"/>
            <w:vMerge w:val="continue"/>
            <w:tcBorders>
              <w:top w:val="single" w:color="000000" w:sz="4" w:space="0"/>
              <w:left w:val="single" w:color="000000" w:sz="4" w:space="0"/>
              <w:bottom w:val="nil"/>
              <w:right w:val="single" w:color="000000" w:sz="4" w:space="0"/>
            </w:tcBorders>
            <w:shd w:val="clear" w:color="auto" w:fill="auto"/>
            <w:vAlign w:val="center"/>
          </w:tcPr>
          <w:p w14:paraId="73390D52">
            <w:pPr>
              <w:jc w:val="center"/>
              <w:rPr>
                <w:rFonts w:hint="eastAsia" w:ascii="宋体" w:hAnsi="宋体" w:eastAsia="宋体" w:cs="宋体"/>
                <w:i w:val="0"/>
                <w:iCs w:val="0"/>
                <w:color w:val="000000"/>
                <w:sz w:val="18"/>
                <w:szCs w:val="18"/>
                <w:u w:val="none"/>
              </w:rPr>
            </w:pPr>
          </w:p>
        </w:tc>
        <w:tc>
          <w:tcPr>
            <w:tcW w:w="345" w:type="dxa"/>
            <w:vMerge w:val="continue"/>
            <w:tcBorders>
              <w:top w:val="single" w:color="000000" w:sz="4" w:space="0"/>
              <w:left w:val="single" w:color="000000" w:sz="4" w:space="0"/>
              <w:bottom w:val="nil"/>
              <w:right w:val="single" w:color="000000" w:sz="4" w:space="0"/>
            </w:tcBorders>
            <w:shd w:val="clear" w:color="auto" w:fill="auto"/>
            <w:vAlign w:val="center"/>
          </w:tcPr>
          <w:p w14:paraId="16A3A956">
            <w:pPr>
              <w:jc w:val="center"/>
              <w:rPr>
                <w:rFonts w:hint="eastAsia" w:ascii="宋体" w:hAnsi="宋体" w:eastAsia="宋体" w:cs="宋体"/>
                <w:i w:val="0"/>
                <w:iCs w:val="0"/>
                <w:color w:val="000000"/>
                <w:sz w:val="18"/>
                <w:szCs w:val="18"/>
                <w:u w:val="none"/>
              </w:rPr>
            </w:pPr>
          </w:p>
        </w:tc>
        <w:tc>
          <w:tcPr>
            <w:tcW w:w="1338" w:type="dxa"/>
            <w:vMerge w:val="continue"/>
            <w:tcBorders>
              <w:top w:val="single" w:color="000000" w:sz="4" w:space="0"/>
              <w:left w:val="single" w:color="000000" w:sz="4" w:space="0"/>
              <w:bottom w:val="nil"/>
              <w:right w:val="single" w:color="000000" w:sz="4" w:space="0"/>
            </w:tcBorders>
            <w:shd w:val="clear" w:color="auto" w:fill="auto"/>
            <w:vAlign w:val="center"/>
          </w:tcPr>
          <w:p w14:paraId="0883B4B1">
            <w:pPr>
              <w:jc w:val="center"/>
              <w:rPr>
                <w:rFonts w:hint="eastAsia" w:ascii="宋体" w:hAnsi="宋体" w:eastAsia="宋体" w:cs="宋体"/>
                <w:i w:val="0"/>
                <w:iCs w:val="0"/>
                <w:color w:val="000000"/>
                <w:sz w:val="18"/>
                <w:szCs w:val="18"/>
                <w:u w:val="none"/>
              </w:rPr>
            </w:pPr>
          </w:p>
        </w:tc>
        <w:tc>
          <w:tcPr>
            <w:tcW w:w="880" w:type="dxa"/>
            <w:tcBorders>
              <w:top w:val="single" w:color="000000" w:sz="4" w:space="0"/>
              <w:left w:val="single" w:color="000000" w:sz="4" w:space="0"/>
              <w:bottom w:val="nil"/>
              <w:right w:val="single" w:color="000000" w:sz="4" w:space="0"/>
            </w:tcBorders>
            <w:shd w:val="clear" w:color="auto" w:fill="auto"/>
            <w:vAlign w:val="center"/>
          </w:tcPr>
          <w:p w14:paraId="182C9C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特种设备检验人员培训成本</w:t>
            </w:r>
          </w:p>
        </w:tc>
        <w:tc>
          <w:tcPr>
            <w:tcW w:w="744" w:type="dxa"/>
            <w:tcBorders>
              <w:top w:val="single" w:color="000000" w:sz="4" w:space="0"/>
              <w:left w:val="single" w:color="000000" w:sz="4" w:space="0"/>
              <w:bottom w:val="nil"/>
              <w:right w:val="single" w:color="000000" w:sz="4" w:space="0"/>
            </w:tcBorders>
            <w:shd w:val="clear" w:color="auto" w:fill="auto"/>
            <w:vAlign w:val="center"/>
          </w:tcPr>
          <w:p w14:paraId="022144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w:t>
            </w:r>
          </w:p>
        </w:tc>
        <w:tc>
          <w:tcPr>
            <w:tcW w:w="729" w:type="dxa"/>
            <w:tcBorders>
              <w:top w:val="single" w:color="000000" w:sz="4" w:space="0"/>
              <w:left w:val="single" w:color="000000" w:sz="4" w:space="0"/>
              <w:bottom w:val="nil"/>
              <w:right w:val="single" w:color="000000" w:sz="4" w:space="0"/>
            </w:tcBorders>
            <w:shd w:val="clear" w:color="auto" w:fill="auto"/>
            <w:vAlign w:val="center"/>
          </w:tcPr>
          <w:p w14:paraId="2CB421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小于等于</w:t>
            </w:r>
          </w:p>
        </w:tc>
        <w:tc>
          <w:tcPr>
            <w:tcW w:w="806" w:type="dxa"/>
            <w:tcBorders>
              <w:top w:val="single" w:color="000000" w:sz="4" w:space="0"/>
              <w:left w:val="single" w:color="000000" w:sz="4" w:space="0"/>
              <w:bottom w:val="nil"/>
              <w:right w:val="single" w:color="000000" w:sz="4" w:space="0"/>
            </w:tcBorders>
            <w:shd w:val="clear" w:color="auto" w:fill="auto"/>
            <w:vAlign w:val="center"/>
          </w:tcPr>
          <w:p w14:paraId="7C9B28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3000</w:t>
            </w:r>
          </w:p>
        </w:tc>
        <w:tc>
          <w:tcPr>
            <w:tcW w:w="846" w:type="dxa"/>
            <w:tcBorders>
              <w:top w:val="single" w:color="000000" w:sz="4" w:space="0"/>
              <w:left w:val="single" w:color="000000" w:sz="4" w:space="0"/>
              <w:bottom w:val="nil"/>
              <w:right w:val="single" w:color="000000" w:sz="4" w:space="0"/>
            </w:tcBorders>
            <w:shd w:val="clear" w:color="auto" w:fill="auto"/>
            <w:vAlign w:val="center"/>
          </w:tcPr>
          <w:p w14:paraId="2A7A7C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2950</w:t>
            </w:r>
          </w:p>
        </w:tc>
        <w:tc>
          <w:tcPr>
            <w:tcW w:w="792" w:type="dxa"/>
            <w:tcBorders>
              <w:top w:val="single" w:color="000000" w:sz="4" w:space="0"/>
              <w:left w:val="single" w:color="000000" w:sz="4" w:space="0"/>
              <w:bottom w:val="nil"/>
              <w:right w:val="single" w:color="000000" w:sz="4" w:space="0"/>
            </w:tcBorders>
            <w:shd w:val="clear" w:color="auto" w:fill="auto"/>
            <w:vAlign w:val="center"/>
          </w:tcPr>
          <w:p w14:paraId="3C1751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元/人</w:t>
            </w:r>
          </w:p>
        </w:tc>
        <w:tc>
          <w:tcPr>
            <w:tcW w:w="790" w:type="dxa"/>
            <w:tcBorders>
              <w:top w:val="single" w:color="000000" w:sz="4" w:space="0"/>
              <w:left w:val="single" w:color="000000" w:sz="4" w:space="0"/>
              <w:bottom w:val="nil"/>
              <w:right w:val="single" w:color="000000" w:sz="4" w:space="0"/>
            </w:tcBorders>
            <w:shd w:val="clear" w:color="auto" w:fill="auto"/>
            <w:vAlign w:val="center"/>
          </w:tcPr>
          <w:p w14:paraId="7C91B8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763" w:type="dxa"/>
            <w:tcBorders>
              <w:top w:val="single" w:color="000000" w:sz="4" w:space="0"/>
              <w:left w:val="single" w:color="000000" w:sz="4" w:space="0"/>
              <w:bottom w:val="nil"/>
              <w:right w:val="single" w:color="000000" w:sz="4" w:space="0"/>
            </w:tcBorders>
            <w:shd w:val="clear" w:color="auto" w:fill="auto"/>
            <w:vAlign w:val="center"/>
          </w:tcPr>
          <w:p w14:paraId="6CD168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660" w:type="dxa"/>
            <w:tcBorders>
              <w:top w:val="single" w:color="000000" w:sz="4" w:space="0"/>
              <w:left w:val="single" w:color="000000" w:sz="4" w:space="0"/>
              <w:bottom w:val="nil"/>
              <w:right w:val="single" w:color="000000" w:sz="4" w:space="0"/>
            </w:tcBorders>
            <w:shd w:val="clear" w:color="auto" w:fill="auto"/>
            <w:vAlign w:val="center"/>
          </w:tcPr>
          <w:p w14:paraId="3E03C5FE">
            <w:pPr>
              <w:jc w:val="center"/>
              <w:rPr>
                <w:rFonts w:hint="eastAsia" w:ascii="宋体" w:hAnsi="宋体" w:eastAsia="宋体" w:cs="宋体"/>
                <w:i w:val="0"/>
                <w:iCs w:val="0"/>
                <w:color w:val="000000"/>
                <w:sz w:val="18"/>
                <w:szCs w:val="18"/>
                <w:u w:val="none"/>
              </w:rPr>
            </w:pPr>
          </w:p>
        </w:tc>
      </w:tr>
      <w:tr w14:paraId="17E638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877" w:type="dxa"/>
            <w:vMerge w:val="continue"/>
            <w:tcBorders>
              <w:top w:val="single" w:color="000000" w:sz="4" w:space="0"/>
              <w:left w:val="single" w:color="000000" w:sz="4" w:space="0"/>
              <w:bottom w:val="nil"/>
              <w:right w:val="single" w:color="000000" w:sz="4" w:space="0"/>
            </w:tcBorders>
            <w:shd w:val="clear" w:color="auto" w:fill="auto"/>
            <w:vAlign w:val="center"/>
          </w:tcPr>
          <w:p w14:paraId="333D1AC3">
            <w:pPr>
              <w:jc w:val="center"/>
              <w:rPr>
                <w:rFonts w:hint="eastAsia" w:ascii="宋体" w:hAnsi="宋体" w:eastAsia="宋体" w:cs="宋体"/>
                <w:i w:val="0"/>
                <w:iCs w:val="0"/>
                <w:color w:val="000000"/>
                <w:sz w:val="18"/>
                <w:szCs w:val="18"/>
                <w:u w:val="none"/>
              </w:rPr>
            </w:pPr>
          </w:p>
        </w:tc>
        <w:tc>
          <w:tcPr>
            <w:tcW w:w="345" w:type="dxa"/>
            <w:vMerge w:val="restart"/>
            <w:tcBorders>
              <w:top w:val="single" w:color="000000" w:sz="4" w:space="0"/>
              <w:left w:val="single" w:color="000000" w:sz="4" w:space="0"/>
              <w:bottom w:val="nil"/>
              <w:right w:val="single" w:color="000000" w:sz="4" w:space="0"/>
            </w:tcBorders>
            <w:shd w:val="clear" w:color="auto" w:fill="auto"/>
            <w:vAlign w:val="center"/>
          </w:tcPr>
          <w:p w14:paraId="6674D0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1338" w:type="dxa"/>
            <w:tcBorders>
              <w:top w:val="single" w:color="000000" w:sz="4" w:space="0"/>
              <w:left w:val="single" w:color="000000" w:sz="4" w:space="0"/>
              <w:bottom w:val="nil"/>
              <w:right w:val="single" w:color="000000" w:sz="4" w:space="0"/>
            </w:tcBorders>
            <w:shd w:val="clear" w:color="auto" w:fill="auto"/>
            <w:vAlign w:val="center"/>
          </w:tcPr>
          <w:p w14:paraId="12699E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w:t>
            </w:r>
          </w:p>
        </w:tc>
        <w:tc>
          <w:tcPr>
            <w:tcW w:w="880" w:type="dxa"/>
            <w:tcBorders>
              <w:top w:val="single" w:color="000000" w:sz="4" w:space="0"/>
              <w:left w:val="single" w:color="000000" w:sz="4" w:space="0"/>
              <w:bottom w:val="nil"/>
              <w:right w:val="single" w:color="000000" w:sz="4" w:space="0"/>
            </w:tcBorders>
            <w:shd w:val="clear" w:color="auto" w:fill="auto"/>
            <w:vAlign w:val="center"/>
          </w:tcPr>
          <w:p w14:paraId="150836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完成年非税收入金额</w:t>
            </w:r>
          </w:p>
        </w:tc>
        <w:tc>
          <w:tcPr>
            <w:tcW w:w="744" w:type="dxa"/>
            <w:tcBorders>
              <w:top w:val="single" w:color="000000" w:sz="4" w:space="0"/>
              <w:left w:val="single" w:color="000000" w:sz="4" w:space="0"/>
              <w:bottom w:val="nil"/>
              <w:right w:val="single" w:color="000000" w:sz="4" w:space="0"/>
            </w:tcBorders>
            <w:shd w:val="clear" w:color="auto" w:fill="auto"/>
            <w:vAlign w:val="center"/>
          </w:tcPr>
          <w:p w14:paraId="758357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729" w:type="dxa"/>
            <w:tcBorders>
              <w:top w:val="single" w:color="000000" w:sz="4" w:space="0"/>
              <w:left w:val="single" w:color="000000" w:sz="4" w:space="0"/>
              <w:bottom w:val="nil"/>
              <w:right w:val="single" w:color="000000" w:sz="4" w:space="0"/>
            </w:tcBorders>
            <w:shd w:val="clear" w:color="auto" w:fill="auto"/>
            <w:vAlign w:val="center"/>
          </w:tcPr>
          <w:p w14:paraId="4EA064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806" w:type="dxa"/>
            <w:tcBorders>
              <w:top w:val="single" w:color="000000" w:sz="4" w:space="0"/>
              <w:left w:val="single" w:color="000000" w:sz="4" w:space="0"/>
              <w:bottom w:val="nil"/>
              <w:right w:val="single" w:color="000000" w:sz="4" w:space="0"/>
            </w:tcBorders>
            <w:shd w:val="clear" w:color="auto" w:fill="auto"/>
            <w:vAlign w:val="center"/>
          </w:tcPr>
          <w:p w14:paraId="1DC147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5700</w:t>
            </w:r>
          </w:p>
        </w:tc>
        <w:tc>
          <w:tcPr>
            <w:tcW w:w="846" w:type="dxa"/>
            <w:tcBorders>
              <w:top w:val="single" w:color="000000" w:sz="4" w:space="0"/>
              <w:left w:val="single" w:color="000000" w:sz="4" w:space="0"/>
              <w:bottom w:val="nil"/>
              <w:right w:val="single" w:color="000000" w:sz="4" w:space="0"/>
            </w:tcBorders>
            <w:shd w:val="clear" w:color="auto" w:fill="auto"/>
            <w:vAlign w:val="center"/>
          </w:tcPr>
          <w:p w14:paraId="3BC678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6344.77</w:t>
            </w:r>
          </w:p>
        </w:tc>
        <w:tc>
          <w:tcPr>
            <w:tcW w:w="792" w:type="dxa"/>
            <w:tcBorders>
              <w:top w:val="single" w:color="000000" w:sz="4" w:space="0"/>
              <w:left w:val="single" w:color="000000" w:sz="4" w:space="0"/>
              <w:bottom w:val="nil"/>
              <w:right w:val="single" w:color="000000" w:sz="4" w:space="0"/>
            </w:tcBorders>
            <w:shd w:val="clear" w:color="auto" w:fill="auto"/>
            <w:vAlign w:val="center"/>
          </w:tcPr>
          <w:p w14:paraId="648E0C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万元</w:t>
            </w:r>
          </w:p>
        </w:tc>
        <w:tc>
          <w:tcPr>
            <w:tcW w:w="790" w:type="dxa"/>
            <w:tcBorders>
              <w:top w:val="single" w:color="000000" w:sz="4" w:space="0"/>
              <w:left w:val="single" w:color="000000" w:sz="4" w:space="0"/>
              <w:bottom w:val="nil"/>
              <w:right w:val="single" w:color="000000" w:sz="4" w:space="0"/>
            </w:tcBorders>
            <w:shd w:val="clear" w:color="auto" w:fill="auto"/>
            <w:vAlign w:val="center"/>
          </w:tcPr>
          <w:p w14:paraId="1C16C8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763" w:type="dxa"/>
            <w:tcBorders>
              <w:top w:val="single" w:color="000000" w:sz="4" w:space="0"/>
              <w:left w:val="single" w:color="000000" w:sz="4" w:space="0"/>
              <w:bottom w:val="nil"/>
              <w:right w:val="single" w:color="000000" w:sz="4" w:space="0"/>
            </w:tcBorders>
            <w:shd w:val="clear" w:color="auto" w:fill="auto"/>
            <w:vAlign w:val="center"/>
          </w:tcPr>
          <w:p w14:paraId="680C01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660" w:type="dxa"/>
            <w:tcBorders>
              <w:top w:val="single" w:color="000000" w:sz="4" w:space="0"/>
              <w:left w:val="single" w:color="000000" w:sz="4" w:space="0"/>
              <w:bottom w:val="nil"/>
              <w:right w:val="single" w:color="000000" w:sz="4" w:space="0"/>
            </w:tcBorders>
            <w:shd w:val="clear" w:color="auto" w:fill="auto"/>
            <w:vAlign w:val="center"/>
          </w:tcPr>
          <w:p w14:paraId="7B13196B">
            <w:pPr>
              <w:jc w:val="center"/>
              <w:rPr>
                <w:rFonts w:hint="eastAsia" w:ascii="宋体" w:hAnsi="宋体" w:eastAsia="宋体" w:cs="宋体"/>
                <w:i w:val="0"/>
                <w:iCs w:val="0"/>
                <w:color w:val="000000"/>
                <w:sz w:val="18"/>
                <w:szCs w:val="18"/>
                <w:u w:val="none"/>
              </w:rPr>
            </w:pPr>
          </w:p>
        </w:tc>
      </w:tr>
      <w:tr w14:paraId="639FA3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877" w:type="dxa"/>
            <w:vMerge w:val="continue"/>
            <w:tcBorders>
              <w:top w:val="single" w:color="000000" w:sz="4" w:space="0"/>
              <w:left w:val="single" w:color="000000" w:sz="4" w:space="0"/>
              <w:bottom w:val="nil"/>
              <w:right w:val="single" w:color="000000" w:sz="4" w:space="0"/>
            </w:tcBorders>
            <w:shd w:val="clear" w:color="auto" w:fill="auto"/>
            <w:vAlign w:val="center"/>
          </w:tcPr>
          <w:p w14:paraId="56BCD0AC">
            <w:pPr>
              <w:jc w:val="center"/>
              <w:rPr>
                <w:rFonts w:hint="eastAsia" w:ascii="宋体" w:hAnsi="宋体" w:eastAsia="宋体" w:cs="宋体"/>
                <w:i w:val="0"/>
                <w:iCs w:val="0"/>
                <w:color w:val="000000"/>
                <w:sz w:val="18"/>
                <w:szCs w:val="18"/>
                <w:u w:val="none"/>
              </w:rPr>
            </w:pPr>
          </w:p>
        </w:tc>
        <w:tc>
          <w:tcPr>
            <w:tcW w:w="345" w:type="dxa"/>
            <w:vMerge w:val="continue"/>
            <w:tcBorders>
              <w:top w:val="single" w:color="000000" w:sz="4" w:space="0"/>
              <w:left w:val="single" w:color="000000" w:sz="4" w:space="0"/>
              <w:bottom w:val="nil"/>
              <w:right w:val="single" w:color="000000" w:sz="4" w:space="0"/>
            </w:tcBorders>
            <w:shd w:val="clear" w:color="auto" w:fill="auto"/>
            <w:vAlign w:val="center"/>
          </w:tcPr>
          <w:p w14:paraId="67DDE606">
            <w:pPr>
              <w:jc w:val="center"/>
              <w:rPr>
                <w:rFonts w:hint="eastAsia" w:ascii="宋体" w:hAnsi="宋体" w:eastAsia="宋体" w:cs="宋体"/>
                <w:i w:val="0"/>
                <w:iCs w:val="0"/>
                <w:color w:val="000000"/>
                <w:sz w:val="18"/>
                <w:szCs w:val="18"/>
                <w:u w:val="none"/>
              </w:rPr>
            </w:pPr>
          </w:p>
        </w:tc>
        <w:tc>
          <w:tcPr>
            <w:tcW w:w="1338" w:type="dxa"/>
            <w:tcBorders>
              <w:top w:val="single" w:color="000000" w:sz="4" w:space="0"/>
              <w:left w:val="single" w:color="000000" w:sz="4" w:space="0"/>
              <w:bottom w:val="nil"/>
              <w:right w:val="single" w:color="000000" w:sz="4" w:space="0"/>
            </w:tcBorders>
            <w:shd w:val="clear" w:color="auto" w:fill="auto"/>
            <w:vAlign w:val="center"/>
          </w:tcPr>
          <w:p w14:paraId="145DD8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w:t>
            </w:r>
          </w:p>
        </w:tc>
        <w:tc>
          <w:tcPr>
            <w:tcW w:w="880" w:type="dxa"/>
            <w:tcBorders>
              <w:top w:val="single" w:color="000000" w:sz="4" w:space="0"/>
              <w:left w:val="single" w:color="000000" w:sz="4" w:space="0"/>
              <w:bottom w:val="nil"/>
              <w:right w:val="single" w:color="000000" w:sz="4" w:space="0"/>
            </w:tcBorders>
            <w:shd w:val="clear" w:color="auto" w:fill="auto"/>
            <w:vAlign w:val="center"/>
          </w:tcPr>
          <w:p w14:paraId="35F64B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检验合格特种设备重大安全事故发生数量</w:t>
            </w:r>
          </w:p>
        </w:tc>
        <w:tc>
          <w:tcPr>
            <w:tcW w:w="744" w:type="dxa"/>
            <w:tcBorders>
              <w:top w:val="single" w:color="000000" w:sz="4" w:space="0"/>
              <w:left w:val="single" w:color="000000" w:sz="4" w:space="0"/>
              <w:bottom w:val="nil"/>
              <w:right w:val="single" w:color="000000" w:sz="4" w:space="0"/>
            </w:tcBorders>
            <w:shd w:val="clear" w:color="auto" w:fill="auto"/>
            <w:vAlign w:val="center"/>
          </w:tcPr>
          <w:p w14:paraId="4549EF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w:t>
            </w:r>
          </w:p>
        </w:tc>
        <w:tc>
          <w:tcPr>
            <w:tcW w:w="729" w:type="dxa"/>
            <w:tcBorders>
              <w:top w:val="single" w:color="000000" w:sz="4" w:space="0"/>
              <w:left w:val="single" w:color="000000" w:sz="4" w:space="0"/>
              <w:bottom w:val="nil"/>
              <w:right w:val="single" w:color="000000" w:sz="4" w:space="0"/>
            </w:tcBorders>
            <w:shd w:val="clear" w:color="auto" w:fill="auto"/>
            <w:vAlign w:val="center"/>
          </w:tcPr>
          <w:p w14:paraId="7B93A6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小于等于</w:t>
            </w:r>
          </w:p>
        </w:tc>
        <w:tc>
          <w:tcPr>
            <w:tcW w:w="806" w:type="dxa"/>
            <w:tcBorders>
              <w:top w:val="single" w:color="000000" w:sz="4" w:space="0"/>
              <w:left w:val="single" w:color="000000" w:sz="4" w:space="0"/>
              <w:bottom w:val="nil"/>
              <w:right w:val="single" w:color="000000" w:sz="4" w:space="0"/>
            </w:tcBorders>
            <w:shd w:val="clear" w:color="auto" w:fill="auto"/>
            <w:vAlign w:val="center"/>
          </w:tcPr>
          <w:p w14:paraId="4D1A8C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846" w:type="dxa"/>
            <w:tcBorders>
              <w:top w:val="single" w:color="000000" w:sz="4" w:space="0"/>
              <w:left w:val="single" w:color="000000" w:sz="4" w:space="0"/>
              <w:bottom w:val="nil"/>
              <w:right w:val="single" w:color="000000" w:sz="4" w:space="0"/>
            </w:tcBorders>
            <w:shd w:val="clear" w:color="auto" w:fill="auto"/>
            <w:vAlign w:val="center"/>
          </w:tcPr>
          <w:p w14:paraId="6E21B8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792" w:type="dxa"/>
            <w:tcBorders>
              <w:top w:val="single" w:color="000000" w:sz="4" w:space="0"/>
              <w:left w:val="single" w:color="000000" w:sz="4" w:space="0"/>
              <w:bottom w:val="nil"/>
              <w:right w:val="single" w:color="000000" w:sz="4" w:space="0"/>
            </w:tcBorders>
            <w:shd w:val="clear" w:color="auto" w:fill="auto"/>
            <w:vAlign w:val="center"/>
          </w:tcPr>
          <w:p w14:paraId="7945D9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起</w:t>
            </w:r>
          </w:p>
        </w:tc>
        <w:tc>
          <w:tcPr>
            <w:tcW w:w="790" w:type="dxa"/>
            <w:tcBorders>
              <w:top w:val="single" w:color="000000" w:sz="4" w:space="0"/>
              <w:left w:val="single" w:color="000000" w:sz="4" w:space="0"/>
              <w:bottom w:val="nil"/>
              <w:right w:val="single" w:color="000000" w:sz="4" w:space="0"/>
            </w:tcBorders>
            <w:shd w:val="clear" w:color="auto" w:fill="auto"/>
            <w:vAlign w:val="center"/>
          </w:tcPr>
          <w:p w14:paraId="208BB3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763" w:type="dxa"/>
            <w:tcBorders>
              <w:top w:val="single" w:color="000000" w:sz="4" w:space="0"/>
              <w:left w:val="single" w:color="000000" w:sz="4" w:space="0"/>
              <w:bottom w:val="nil"/>
              <w:right w:val="single" w:color="000000" w:sz="4" w:space="0"/>
            </w:tcBorders>
            <w:shd w:val="clear" w:color="auto" w:fill="auto"/>
            <w:vAlign w:val="center"/>
          </w:tcPr>
          <w:p w14:paraId="4F0D10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660" w:type="dxa"/>
            <w:tcBorders>
              <w:top w:val="single" w:color="000000" w:sz="4" w:space="0"/>
              <w:left w:val="single" w:color="000000" w:sz="4" w:space="0"/>
              <w:bottom w:val="nil"/>
              <w:right w:val="single" w:color="000000" w:sz="4" w:space="0"/>
            </w:tcBorders>
            <w:shd w:val="clear" w:color="auto" w:fill="auto"/>
            <w:vAlign w:val="center"/>
          </w:tcPr>
          <w:p w14:paraId="2F0A6DB7">
            <w:pPr>
              <w:jc w:val="center"/>
              <w:rPr>
                <w:rFonts w:hint="eastAsia" w:ascii="宋体" w:hAnsi="宋体" w:eastAsia="宋体" w:cs="宋体"/>
                <w:i w:val="0"/>
                <w:iCs w:val="0"/>
                <w:color w:val="000000"/>
                <w:sz w:val="18"/>
                <w:szCs w:val="18"/>
                <w:u w:val="none"/>
              </w:rPr>
            </w:pPr>
          </w:p>
        </w:tc>
      </w:tr>
      <w:tr w14:paraId="7CDA16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877" w:type="dxa"/>
            <w:vMerge w:val="continue"/>
            <w:tcBorders>
              <w:top w:val="single" w:color="000000" w:sz="4" w:space="0"/>
              <w:left w:val="single" w:color="000000" w:sz="4" w:space="0"/>
              <w:bottom w:val="nil"/>
              <w:right w:val="single" w:color="000000" w:sz="4" w:space="0"/>
            </w:tcBorders>
            <w:shd w:val="clear" w:color="auto" w:fill="auto"/>
            <w:vAlign w:val="center"/>
          </w:tcPr>
          <w:p w14:paraId="7B7BB171">
            <w:pPr>
              <w:jc w:val="center"/>
              <w:rPr>
                <w:rFonts w:hint="eastAsia" w:ascii="宋体" w:hAnsi="宋体" w:eastAsia="宋体" w:cs="宋体"/>
                <w:i w:val="0"/>
                <w:iCs w:val="0"/>
                <w:color w:val="000000"/>
                <w:sz w:val="18"/>
                <w:szCs w:val="18"/>
                <w:u w:val="none"/>
              </w:rPr>
            </w:pPr>
          </w:p>
        </w:tc>
        <w:tc>
          <w:tcPr>
            <w:tcW w:w="345" w:type="dxa"/>
            <w:vMerge w:val="continue"/>
            <w:tcBorders>
              <w:top w:val="single" w:color="000000" w:sz="4" w:space="0"/>
              <w:left w:val="single" w:color="000000" w:sz="4" w:space="0"/>
              <w:bottom w:val="nil"/>
              <w:right w:val="single" w:color="000000" w:sz="4" w:space="0"/>
            </w:tcBorders>
            <w:shd w:val="clear" w:color="auto" w:fill="auto"/>
            <w:vAlign w:val="center"/>
          </w:tcPr>
          <w:p w14:paraId="2150E5DC">
            <w:pPr>
              <w:jc w:val="center"/>
              <w:rPr>
                <w:rFonts w:hint="eastAsia" w:ascii="宋体" w:hAnsi="宋体" w:eastAsia="宋体" w:cs="宋体"/>
                <w:i w:val="0"/>
                <w:iCs w:val="0"/>
                <w:color w:val="000000"/>
                <w:sz w:val="18"/>
                <w:szCs w:val="18"/>
                <w:u w:val="none"/>
              </w:rPr>
            </w:pPr>
          </w:p>
        </w:tc>
        <w:tc>
          <w:tcPr>
            <w:tcW w:w="1338" w:type="dxa"/>
            <w:tcBorders>
              <w:top w:val="single" w:color="000000" w:sz="4" w:space="0"/>
              <w:left w:val="single" w:color="000000" w:sz="4" w:space="0"/>
              <w:bottom w:val="nil"/>
              <w:right w:val="single" w:color="000000" w:sz="4" w:space="0"/>
            </w:tcBorders>
            <w:shd w:val="clear" w:color="auto" w:fill="auto"/>
            <w:vAlign w:val="center"/>
          </w:tcPr>
          <w:p w14:paraId="12003E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w:t>
            </w:r>
          </w:p>
        </w:tc>
        <w:tc>
          <w:tcPr>
            <w:tcW w:w="880" w:type="dxa"/>
            <w:tcBorders>
              <w:top w:val="single" w:color="000000" w:sz="4" w:space="0"/>
              <w:left w:val="single" w:color="000000" w:sz="4" w:space="0"/>
              <w:bottom w:val="nil"/>
              <w:right w:val="single" w:color="000000" w:sz="4" w:space="0"/>
            </w:tcBorders>
            <w:shd w:val="clear" w:color="auto" w:fill="auto"/>
            <w:vAlign w:val="center"/>
          </w:tcPr>
          <w:p w14:paraId="31FB23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提高特种设备安全监管能力</w:t>
            </w:r>
          </w:p>
        </w:tc>
        <w:tc>
          <w:tcPr>
            <w:tcW w:w="744" w:type="dxa"/>
            <w:tcBorders>
              <w:top w:val="single" w:color="000000" w:sz="4" w:space="0"/>
              <w:left w:val="single" w:color="000000" w:sz="4" w:space="0"/>
              <w:bottom w:val="nil"/>
              <w:right w:val="single" w:color="000000" w:sz="4" w:space="0"/>
            </w:tcBorders>
            <w:shd w:val="clear" w:color="auto" w:fill="auto"/>
            <w:vAlign w:val="center"/>
          </w:tcPr>
          <w:p w14:paraId="230ACB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w:t>
            </w:r>
          </w:p>
        </w:tc>
        <w:tc>
          <w:tcPr>
            <w:tcW w:w="729" w:type="dxa"/>
            <w:tcBorders>
              <w:top w:val="single" w:color="000000" w:sz="4" w:space="0"/>
              <w:left w:val="single" w:color="000000" w:sz="4" w:space="0"/>
              <w:bottom w:val="nil"/>
              <w:right w:val="single" w:color="000000" w:sz="4" w:space="0"/>
            </w:tcBorders>
            <w:shd w:val="clear" w:color="auto" w:fill="auto"/>
            <w:vAlign w:val="center"/>
          </w:tcPr>
          <w:p w14:paraId="1A5853F8">
            <w:pPr>
              <w:jc w:val="center"/>
              <w:rPr>
                <w:rFonts w:hint="eastAsia" w:ascii="宋体" w:hAnsi="宋体" w:eastAsia="宋体" w:cs="宋体"/>
                <w:i w:val="0"/>
                <w:iCs w:val="0"/>
                <w:color w:val="000000"/>
                <w:sz w:val="18"/>
                <w:szCs w:val="18"/>
                <w:u w:val="none"/>
              </w:rPr>
            </w:pPr>
          </w:p>
        </w:tc>
        <w:tc>
          <w:tcPr>
            <w:tcW w:w="806" w:type="dxa"/>
            <w:tcBorders>
              <w:top w:val="single" w:color="000000" w:sz="4" w:space="0"/>
              <w:left w:val="single" w:color="000000" w:sz="4" w:space="0"/>
              <w:bottom w:val="nil"/>
              <w:right w:val="single" w:color="000000" w:sz="4" w:space="0"/>
            </w:tcBorders>
            <w:shd w:val="clear" w:color="auto" w:fill="auto"/>
            <w:vAlign w:val="center"/>
          </w:tcPr>
          <w:p w14:paraId="4ECE8D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逐步提高</w:t>
            </w:r>
          </w:p>
        </w:tc>
        <w:tc>
          <w:tcPr>
            <w:tcW w:w="846" w:type="dxa"/>
            <w:tcBorders>
              <w:top w:val="single" w:color="000000" w:sz="4" w:space="0"/>
              <w:left w:val="single" w:color="000000" w:sz="4" w:space="0"/>
              <w:bottom w:val="nil"/>
              <w:right w:val="single" w:color="000000" w:sz="4" w:space="0"/>
            </w:tcBorders>
            <w:shd w:val="clear" w:color="auto" w:fill="auto"/>
            <w:vAlign w:val="center"/>
          </w:tcPr>
          <w:p w14:paraId="474B31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逐步提高</w:t>
            </w:r>
          </w:p>
        </w:tc>
        <w:tc>
          <w:tcPr>
            <w:tcW w:w="792" w:type="dxa"/>
            <w:tcBorders>
              <w:top w:val="single" w:color="000000" w:sz="4" w:space="0"/>
              <w:left w:val="single" w:color="000000" w:sz="4" w:space="0"/>
              <w:bottom w:val="nil"/>
              <w:right w:val="single" w:color="000000" w:sz="4" w:space="0"/>
            </w:tcBorders>
            <w:shd w:val="clear" w:color="auto" w:fill="auto"/>
            <w:vAlign w:val="center"/>
          </w:tcPr>
          <w:p w14:paraId="6B9C557C">
            <w:pPr>
              <w:jc w:val="center"/>
              <w:rPr>
                <w:rFonts w:hint="eastAsia" w:ascii="宋体" w:hAnsi="宋体" w:eastAsia="宋体" w:cs="宋体"/>
                <w:i w:val="0"/>
                <w:iCs w:val="0"/>
                <w:color w:val="000000"/>
                <w:sz w:val="18"/>
                <w:szCs w:val="18"/>
                <w:u w:val="none"/>
              </w:rPr>
            </w:pPr>
          </w:p>
        </w:tc>
        <w:tc>
          <w:tcPr>
            <w:tcW w:w="790" w:type="dxa"/>
            <w:tcBorders>
              <w:top w:val="single" w:color="000000" w:sz="4" w:space="0"/>
              <w:left w:val="single" w:color="000000" w:sz="4" w:space="0"/>
              <w:bottom w:val="nil"/>
              <w:right w:val="single" w:color="000000" w:sz="4" w:space="0"/>
            </w:tcBorders>
            <w:shd w:val="clear" w:color="auto" w:fill="auto"/>
            <w:vAlign w:val="center"/>
          </w:tcPr>
          <w:p w14:paraId="1DF5F8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763" w:type="dxa"/>
            <w:tcBorders>
              <w:top w:val="single" w:color="000000" w:sz="4" w:space="0"/>
              <w:left w:val="single" w:color="000000" w:sz="4" w:space="0"/>
              <w:bottom w:val="nil"/>
              <w:right w:val="single" w:color="000000" w:sz="4" w:space="0"/>
            </w:tcBorders>
            <w:shd w:val="clear" w:color="auto" w:fill="auto"/>
            <w:vAlign w:val="center"/>
          </w:tcPr>
          <w:p w14:paraId="18342D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660" w:type="dxa"/>
            <w:tcBorders>
              <w:top w:val="single" w:color="000000" w:sz="4" w:space="0"/>
              <w:left w:val="single" w:color="000000" w:sz="4" w:space="0"/>
              <w:bottom w:val="nil"/>
              <w:right w:val="single" w:color="000000" w:sz="4" w:space="0"/>
            </w:tcBorders>
            <w:shd w:val="clear" w:color="auto" w:fill="auto"/>
            <w:vAlign w:val="center"/>
          </w:tcPr>
          <w:p w14:paraId="2FAF6C91">
            <w:pPr>
              <w:jc w:val="center"/>
              <w:rPr>
                <w:rFonts w:hint="eastAsia" w:ascii="宋体" w:hAnsi="宋体" w:eastAsia="宋体" w:cs="宋体"/>
                <w:i w:val="0"/>
                <w:iCs w:val="0"/>
                <w:color w:val="000000"/>
                <w:sz w:val="18"/>
                <w:szCs w:val="18"/>
                <w:u w:val="none"/>
              </w:rPr>
            </w:pPr>
          </w:p>
        </w:tc>
      </w:tr>
      <w:tr w14:paraId="101AD7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877" w:type="dxa"/>
            <w:vMerge w:val="continue"/>
            <w:tcBorders>
              <w:top w:val="single" w:color="000000" w:sz="4" w:space="0"/>
              <w:left w:val="single" w:color="000000" w:sz="4" w:space="0"/>
              <w:bottom w:val="nil"/>
              <w:right w:val="single" w:color="000000" w:sz="4" w:space="0"/>
            </w:tcBorders>
            <w:shd w:val="clear" w:color="auto" w:fill="auto"/>
            <w:vAlign w:val="center"/>
          </w:tcPr>
          <w:p w14:paraId="1A9EDA9F">
            <w:pPr>
              <w:jc w:val="center"/>
              <w:rPr>
                <w:rFonts w:hint="eastAsia" w:ascii="宋体" w:hAnsi="宋体" w:eastAsia="宋体" w:cs="宋体"/>
                <w:i w:val="0"/>
                <w:iCs w:val="0"/>
                <w:color w:val="000000"/>
                <w:sz w:val="18"/>
                <w:szCs w:val="18"/>
                <w:u w:val="none"/>
              </w:rPr>
            </w:pPr>
          </w:p>
        </w:tc>
        <w:tc>
          <w:tcPr>
            <w:tcW w:w="345" w:type="dxa"/>
            <w:vMerge w:val="restart"/>
            <w:tcBorders>
              <w:top w:val="single" w:color="000000" w:sz="4" w:space="0"/>
              <w:left w:val="single" w:color="000000" w:sz="4" w:space="0"/>
              <w:bottom w:val="nil"/>
              <w:right w:val="single" w:color="000000" w:sz="4" w:space="0"/>
            </w:tcBorders>
            <w:shd w:val="clear" w:color="auto" w:fill="auto"/>
            <w:vAlign w:val="center"/>
          </w:tcPr>
          <w:p w14:paraId="2A482D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w:t>
            </w:r>
          </w:p>
        </w:tc>
        <w:tc>
          <w:tcPr>
            <w:tcW w:w="1338" w:type="dxa"/>
            <w:vMerge w:val="restart"/>
            <w:tcBorders>
              <w:top w:val="single" w:color="000000" w:sz="4" w:space="0"/>
              <w:left w:val="single" w:color="000000" w:sz="4" w:space="0"/>
              <w:bottom w:val="nil"/>
              <w:right w:val="single" w:color="000000" w:sz="4" w:space="0"/>
            </w:tcBorders>
            <w:shd w:val="clear" w:color="auto" w:fill="auto"/>
            <w:vAlign w:val="center"/>
          </w:tcPr>
          <w:p w14:paraId="4A38F0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w:t>
            </w:r>
          </w:p>
        </w:tc>
        <w:tc>
          <w:tcPr>
            <w:tcW w:w="880" w:type="dxa"/>
            <w:tcBorders>
              <w:top w:val="single" w:color="000000" w:sz="4" w:space="0"/>
              <w:left w:val="single" w:color="000000" w:sz="4" w:space="0"/>
              <w:bottom w:val="nil"/>
              <w:right w:val="single" w:color="000000" w:sz="4" w:space="0"/>
            </w:tcBorders>
            <w:shd w:val="clear" w:color="auto" w:fill="auto"/>
            <w:vAlign w:val="center"/>
          </w:tcPr>
          <w:p w14:paraId="279CEE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参加业务技能培训人员满意度</w:t>
            </w:r>
          </w:p>
        </w:tc>
        <w:tc>
          <w:tcPr>
            <w:tcW w:w="744" w:type="dxa"/>
            <w:tcBorders>
              <w:top w:val="single" w:color="000000" w:sz="4" w:space="0"/>
              <w:left w:val="single" w:color="000000" w:sz="4" w:space="0"/>
              <w:bottom w:val="nil"/>
              <w:right w:val="single" w:color="000000" w:sz="4" w:space="0"/>
            </w:tcBorders>
            <w:shd w:val="clear" w:color="auto" w:fill="auto"/>
            <w:vAlign w:val="center"/>
          </w:tcPr>
          <w:p w14:paraId="4FE2ED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729" w:type="dxa"/>
            <w:tcBorders>
              <w:top w:val="single" w:color="000000" w:sz="4" w:space="0"/>
              <w:left w:val="single" w:color="000000" w:sz="4" w:space="0"/>
              <w:bottom w:val="nil"/>
              <w:right w:val="single" w:color="000000" w:sz="4" w:space="0"/>
            </w:tcBorders>
            <w:shd w:val="clear" w:color="auto" w:fill="auto"/>
            <w:vAlign w:val="center"/>
          </w:tcPr>
          <w:p w14:paraId="24C6F1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806" w:type="dxa"/>
            <w:tcBorders>
              <w:top w:val="single" w:color="000000" w:sz="4" w:space="0"/>
              <w:left w:val="single" w:color="000000" w:sz="4" w:space="0"/>
              <w:bottom w:val="nil"/>
              <w:right w:val="single" w:color="000000" w:sz="4" w:space="0"/>
            </w:tcBorders>
            <w:shd w:val="clear" w:color="auto" w:fill="auto"/>
            <w:vAlign w:val="center"/>
          </w:tcPr>
          <w:p w14:paraId="5C3D51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w:t>
            </w:r>
          </w:p>
        </w:tc>
        <w:tc>
          <w:tcPr>
            <w:tcW w:w="846" w:type="dxa"/>
            <w:tcBorders>
              <w:top w:val="single" w:color="000000" w:sz="4" w:space="0"/>
              <w:left w:val="single" w:color="000000" w:sz="4" w:space="0"/>
              <w:bottom w:val="nil"/>
              <w:right w:val="single" w:color="000000" w:sz="4" w:space="0"/>
            </w:tcBorders>
            <w:shd w:val="clear" w:color="auto" w:fill="auto"/>
            <w:vAlign w:val="center"/>
          </w:tcPr>
          <w:p w14:paraId="15A766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w:t>
            </w:r>
          </w:p>
        </w:tc>
        <w:tc>
          <w:tcPr>
            <w:tcW w:w="792" w:type="dxa"/>
            <w:tcBorders>
              <w:top w:val="single" w:color="000000" w:sz="4" w:space="0"/>
              <w:left w:val="single" w:color="000000" w:sz="4" w:space="0"/>
              <w:bottom w:val="nil"/>
              <w:right w:val="single" w:color="000000" w:sz="4" w:space="0"/>
            </w:tcBorders>
            <w:shd w:val="clear" w:color="auto" w:fill="auto"/>
            <w:vAlign w:val="center"/>
          </w:tcPr>
          <w:p w14:paraId="061F76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90" w:type="dxa"/>
            <w:tcBorders>
              <w:top w:val="single" w:color="000000" w:sz="4" w:space="0"/>
              <w:left w:val="single" w:color="000000" w:sz="4" w:space="0"/>
              <w:bottom w:val="nil"/>
              <w:right w:val="single" w:color="000000" w:sz="4" w:space="0"/>
            </w:tcBorders>
            <w:shd w:val="clear" w:color="auto" w:fill="auto"/>
            <w:vAlign w:val="center"/>
          </w:tcPr>
          <w:p w14:paraId="6C92C9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763" w:type="dxa"/>
            <w:tcBorders>
              <w:top w:val="single" w:color="000000" w:sz="4" w:space="0"/>
              <w:left w:val="single" w:color="000000" w:sz="4" w:space="0"/>
              <w:bottom w:val="nil"/>
              <w:right w:val="single" w:color="000000" w:sz="4" w:space="0"/>
            </w:tcBorders>
            <w:shd w:val="clear" w:color="auto" w:fill="auto"/>
            <w:vAlign w:val="center"/>
          </w:tcPr>
          <w:p w14:paraId="6A198E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660" w:type="dxa"/>
            <w:tcBorders>
              <w:top w:val="single" w:color="000000" w:sz="4" w:space="0"/>
              <w:left w:val="single" w:color="000000" w:sz="4" w:space="0"/>
              <w:bottom w:val="nil"/>
              <w:right w:val="single" w:color="000000" w:sz="4" w:space="0"/>
            </w:tcBorders>
            <w:shd w:val="clear" w:color="auto" w:fill="auto"/>
            <w:vAlign w:val="center"/>
          </w:tcPr>
          <w:p w14:paraId="2B9DB1B6">
            <w:pPr>
              <w:jc w:val="center"/>
              <w:rPr>
                <w:rFonts w:hint="eastAsia" w:ascii="宋体" w:hAnsi="宋体" w:eastAsia="宋体" w:cs="宋体"/>
                <w:i w:val="0"/>
                <w:iCs w:val="0"/>
                <w:color w:val="000000"/>
                <w:sz w:val="18"/>
                <w:szCs w:val="18"/>
                <w:u w:val="none"/>
              </w:rPr>
            </w:pPr>
          </w:p>
        </w:tc>
      </w:tr>
      <w:tr w14:paraId="03A403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877" w:type="dxa"/>
            <w:vMerge w:val="continue"/>
            <w:tcBorders>
              <w:top w:val="single" w:color="000000" w:sz="4" w:space="0"/>
              <w:left w:val="single" w:color="000000" w:sz="4" w:space="0"/>
              <w:bottom w:val="nil"/>
              <w:right w:val="single" w:color="000000" w:sz="4" w:space="0"/>
            </w:tcBorders>
            <w:shd w:val="clear" w:color="auto" w:fill="auto"/>
            <w:vAlign w:val="center"/>
          </w:tcPr>
          <w:p w14:paraId="28BD7FD7">
            <w:pPr>
              <w:jc w:val="center"/>
              <w:rPr>
                <w:rFonts w:hint="eastAsia" w:ascii="宋体" w:hAnsi="宋体" w:eastAsia="宋体" w:cs="宋体"/>
                <w:i w:val="0"/>
                <w:iCs w:val="0"/>
                <w:color w:val="000000"/>
                <w:sz w:val="18"/>
                <w:szCs w:val="18"/>
                <w:u w:val="none"/>
              </w:rPr>
            </w:pPr>
          </w:p>
        </w:tc>
        <w:tc>
          <w:tcPr>
            <w:tcW w:w="345" w:type="dxa"/>
            <w:vMerge w:val="continue"/>
            <w:tcBorders>
              <w:top w:val="single" w:color="000000" w:sz="4" w:space="0"/>
              <w:left w:val="single" w:color="000000" w:sz="4" w:space="0"/>
              <w:bottom w:val="nil"/>
              <w:right w:val="single" w:color="000000" w:sz="4" w:space="0"/>
            </w:tcBorders>
            <w:shd w:val="clear" w:color="auto" w:fill="auto"/>
            <w:vAlign w:val="center"/>
          </w:tcPr>
          <w:p w14:paraId="372D8226">
            <w:pPr>
              <w:jc w:val="center"/>
              <w:rPr>
                <w:rFonts w:hint="eastAsia" w:ascii="宋体" w:hAnsi="宋体" w:eastAsia="宋体" w:cs="宋体"/>
                <w:i w:val="0"/>
                <w:iCs w:val="0"/>
                <w:color w:val="000000"/>
                <w:sz w:val="18"/>
                <w:szCs w:val="18"/>
                <w:u w:val="none"/>
              </w:rPr>
            </w:pPr>
          </w:p>
        </w:tc>
        <w:tc>
          <w:tcPr>
            <w:tcW w:w="1338" w:type="dxa"/>
            <w:vMerge w:val="continue"/>
            <w:tcBorders>
              <w:top w:val="single" w:color="000000" w:sz="4" w:space="0"/>
              <w:left w:val="single" w:color="000000" w:sz="4" w:space="0"/>
              <w:bottom w:val="nil"/>
              <w:right w:val="single" w:color="000000" w:sz="4" w:space="0"/>
            </w:tcBorders>
            <w:shd w:val="clear" w:color="auto" w:fill="auto"/>
            <w:vAlign w:val="center"/>
          </w:tcPr>
          <w:p w14:paraId="53A4EFF3">
            <w:pPr>
              <w:jc w:val="center"/>
              <w:rPr>
                <w:rFonts w:hint="eastAsia" w:ascii="宋体" w:hAnsi="宋体" w:eastAsia="宋体" w:cs="宋体"/>
                <w:i w:val="0"/>
                <w:iCs w:val="0"/>
                <w:color w:val="000000"/>
                <w:sz w:val="18"/>
                <w:szCs w:val="18"/>
                <w:u w:val="none"/>
              </w:rPr>
            </w:pPr>
          </w:p>
        </w:tc>
        <w:tc>
          <w:tcPr>
            <w:tcW w:w="880" w:type="dxa"/>
            <w:tcBorders>
              <w:top w:val="single" w:color="000000" w:sz="4" w:space="0"/>
              <w:left w:val="single" w:color="000000" w:sz="4" w:space="0"/>
              <w:bottom w:val="nil"/>
              <w:right w:val="single" w:color="000000" w:sz="4" w:space="0"/>
            </w:tcBorders>
            <w:shd w:val="clear" w:color="auto" w:fill="auto"/>
            <w:vAlign w:val="center"/>
          </w:tcPr>
          <w:p w14:paraId="395908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被检验特种设备单位满意度</w:t>
            </w:r>
          </w:p>
        </w:tc>
        <w:tc>
          <w:tcPr>
            <w:tcW w:w="744" w:type="dxa"/>
            <w:tcBorders>
              <w:top w:val="single" w:color="000000" w:sz="4" w:space="0"/>
              <w:left w:val="single" w:color="000000" w:sz="4" w:space="0"/>
              <w:bottom w:val="nil"/>
              <w:right w:val="single" w:color="000000" w:sz="4" w:space="0"/>
            </w:tcBorders>
            <w:shd w:val="clear" w:color="auto" w:fill="auto"/>
            <w:vAlign w:val="center"/>
          </w:tcPr>
          <w:p w14:paraId="3F1C15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729" w:type="dxa"/>
            <w:tcBorders>
              <w:top w:val="single" w:color="000000" w:sz="4" w:space="0"/>
              <w:left w:val="single" w:color="000000" w:sz="4" w:space="0"/>
              <w:bottom w:val="nil"/>
              <w:right w:val="single" w:color="000000" w:sz="4" w:space="0"/>
            </w:tcBorders>
            <w:shd w:val="clear" w:color="auto" w:fill="auto"/>
            <w:vAlign w:val="center"/>
          </w:tcPr>
          <w:p w14:paraId="1399BB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806" w:type="dxa"/>
            <w:tcBorders>
              <w:top w:val="single" w:color="000000" w:sz="4" w:space="0"/>
              <w:left w:val="single" w:color="000000" w:sz="4" w:space="0"/>
              <w:bottom w:val="nil"/>
              <w:right w:val="single" w:color="000000" w:sz="4" w:space="0"/>
            </w:tcBorders>
            <w:shd w:val="clear" w:color="auto" w:fill="auto"/>
            <w:vAlign w:val="center"/>
          </w:tcPr>
          <w:p w14:paraId="60AF3A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w:t>
            </w:r>
          </w:p>
        </w:tc>
        <w:tc>
          <w:tcPr>
            <w:tcW w:w="846" w:type="dxa"/>
            <w:tcBorders>
              <w:top w:val="single" w:color="000000" w:sz="4" w:space="0"/>
              <w:left w:val="single" w:color="000000" w:sz="4" w:space="0"/>
              <w:bottom w:val="nil"/>
              <w:right w:val="single" w:color="000000" w:sz="4" w:space="0"/>
            </w:tcBorders>
            <w:shd w:val="clear" w:color="auto" w:fill="auto"/>
            <w:vAlign w:val="center"/>
          </w:tcPr>
          <w:p w14:paraId="2BEB8E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w:t>
            </w:r>
          </w:p>
        </w:tc>
        <w:tc>
          <w:tcPr>
            <w:tcW w:w="792" w:type="dxa"/>
            <w:tcBorders>
              <w:top w:val="single" w:color="000000" w:sz="4" w:space="0"/>
              <w:left w:val="single" w:color="000000" w:sz="4" w:space="0"/>
              <w:bottom w:val="nil"/>
              <w:right w:val="single" w:color="000000" w:sz="4" w:space="0"/>
            </w:tcBorders>
            <w:shd w:val="clear" w:color="auto" w:fill="auto"/>
            <w:vAlign w:val="center"/>
          </w:tcPr>
          <w:p w14:paraId="593B06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90" w:type="dxa"/>
            <w:tcBorders>
              <w:top w:val="single" w:color="000000" w:sz="4" w:space="0"/>
              <w:left w:val="single" w:color="000000" w:sz="4" w:space="0"/>
              <w:bottom w:val="nil"/>
              <w:right w:val="single" w:color="000000" w:sz="4" w:space="0"/>
            </w:tcBorders>
            <w:shd w:val="clear" w:color="auto" w:fill="auto"/>
            <w:vAlign w:val="center"/>
          </w:tcPr>
          <w:p w14:paraId="0D3004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763" w:type="dxa"/>
            <w:tcBorders>
              <w:top w:val="single" w:color="000000" w:sz="4" w:space="0"/>
              <w:left w:val="single" w:color="000000" w:sz="4" w:space="0"/>
              <w:bottom w:val="nil"/>
              <w:right w:val="single" w:color="000000" w:sz="4" w:space="0"/>
            </w:tcBorders>
            <w:shd w:val="clear" w:color="auto" w:fill="auto"/>
            <w:vAlign w:val="center"/>
          </w:tcPr>
          <w:p w14:paraId="5F85A1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660" w:type="dxa"/>
            <w:tcBorders>
              <w:top w:val="single" w:color="000000" w:sz="4" w:space="0"/>
              <w:left w:val="single" w:color="000000" w:sz="4" w:space="0"/>
              <w:bottom w:val="nil"/>
              <w:right w:val="single" w:color="000000" w:sz="4" w:space="0"/>
            </w:tcBorders>
            <w:shd w:val="clear" w:color="auto" w:fill="auto"/>
            <w:vAlign w:val="center"/>
          </w:tcPr>
          <w:p w14:paraId="43D90071">
            <w:pPr>
              <w:jc w:val="center"/>
              <w:rPr>
                <w:rFonts w:hint="eastAsia" w:ascii="宋体" w:hAnsi="宋体" w:eastAsia="宋体" w:cs="宋体"/>
                <w:i w:val="0"/>
                <w:iCs w:val="0"/>
                <w:color w:val="000000"/>
                <w:sz w:val="18"/>
                <w:szCs w:val="18"/>
                <w:u w:val="none"/>
              </w:rPr>
            </w:pPr>
          </w:p>
        </w:tc>
      </w:tr>
      <w:tr w14:paraId="328CEE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35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FCA57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总分</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230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8CA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98.86</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77470">
            <w:pPr>
              <w:jc w:val="center"/>
              <w:rPr>
                <w:rFonts w:hint="eastAsia" w:ascii="宋体" w:hAnsi="宋体" w:eastAsia="宋体" w:cs="宋体"/>
                <w:i w:val="0"/>
                <w:iCs w:val="0"/>
                <w:color w:val="000000"/>
                <w:sz w:val="18"/>
                <w:szCs w:val="18"/>
                <w:u w:val="none"/>
              </w:rPr>
            </w:pPr>
          </w:p>
        </w:tc>
      </w:tr>
    </w:tbl>
    <w:p w14:paraId="21B2538A">
      <w:pPr>
        <w:keepNext w:val="0"/>
        <w:keepLines w:val="0"/>
        <w:pageBreakBefore w:val="0"/>
        <w:widowControl w:val="0"/>
        <w:numPr>
          <w:ilvl w:val="0"/>
          <w:numId w:val="1"/>
        </w:numPr>
        <w:kinsoku/>
        <w:wordWrap/>
        <w:overflowPunct/>
        <w:topLinePunct/>
        <w:autoSpaceDE/>
        <w:autoSpaceDN/>
        <w:bidi w:val="0"/>
        <w:adjustRightInd/>
        <w:snapToGrid/>
        <w:spacing w:line="520" w:lineRule="exact"/>
        <w:ind w:left="0" w:leftChars="0" w:right="0" w:rightChars="0" w:firstLine="640" w:firstLineChars="0"/>
        <w:jc w:val="both"/>
        <w:textAlignment w:val="auto"/>
        <w:outlineLvl w:val="9"/>
        <w:rPr>
          <w:rFonts w:hint="eastAsia" w:ascii="仿宋" w:hAnsi="仿宋" w:eastAsia="仿宋" w:cs="仿宋"/>
          <w:kern w:val="2"/>
          <w:sz w:val="32"/>
          <w:szCs w:val="32"/>
          <w:lang w:val="en-US" w:eastAsia="zh-CN"/>
        </w:rPr>
      </w:pPr>
      <w:r>
        <w:rPr>
          <w:rFonts w:hint="eastAsia" w:ascii="FangSong_GB2312" w:hAnsi="FangSong_GB2312" w:eastAsia="FangSong_GB2312" w:cs="FangSong_GB2312"/>
          <w:color w:val="auto"/>
          <w:kern w:val="0"/>
          <w:sz w:val="32"/>
          <w:szCs w:val="32"/>
          <w:lang w:val="en-US" w:eastAsia="zh-CN"/>
        </w:rPr>
        <w:t>物业费</w:t>
      </w:r>
      <w:r>
        <w:rPr>
          <w:rFonts w:ascii="FangSong_GB2312" w:hAnsi="FangSong_GB2312" w:eastAsia="FangSong_GB2312" w:cs="FangSong_GB2312"/>
          <w:kern w:val="0"/>
          <w:sz w:val="32"/>
          <w:szCs w:val="32"/>
        </w:rPr>
        <w:t>项目自评综述：根据年初设定的绩效目标，项目自评得分</w:t>
      </w:r>
      <w:r>
        <w:rPr>
          <w:rFonts w:hint="eastAsia"/>
          <w:kern w:val="0"/>
          <w:sz w:val="32"/>
          <w:szCs w:val="32"/>
          <w:u w:val="single"/>
          <w:lang w:val="en-US" w:eastAsia="zh-CN"/>
        </w:rPr>
        <w:t>99.94</w:t>
      </w:r>
      <w:r>
        <w:rPr>
          <w:rFonts w:ascii="FangSong_GB2312" w:hAnsi="FangSong_GB2312" w:eastAsia="FangSong_GB2312" w:cs="FangSong_GB2312"/>
          <w:kern w:val="0"/>
          <w:sz w:val="32"/>
          <w:szCs w:val="32"/>
        </w:rPr>
        <w:t>分。全年预算数为</w:t>
      </w:r>
      <w:r>
        <w:rPr>
          <w:rFonts w:hint="eastAsia"/>
          <w:kern w:val="0"/>
          <w:sz w:val="32"/>
          <w:szCs w:val="32"/>
          <w:u w:val="single"/>
          <w:lang w:val="en-US" w:eastAsia="zh-CN"/>
        </w:rPr>
        <w:t>25</w:t>
      </w:r>
      <w:r>
        <w:rPr>
          <w:rFonts w:ascii="FangSong_GB2312" w:hAnsi="FangSong_GB2312" w:eastAsia="FangSong_GB2312" w:cs="FangSong_GB2312"/>
          <w:kern w:val="0"/>
          <w:sz w:val="32"/>
          <w:szCs w:val="32"/>
        </w:rPr>
        <w:t>万元，执行数为</w:t>
      </w:r>
      <w:r>
        <w:rPr>
          <w:rFonts w:hint="eastAsia"/>
          <w:kern w:val="0"/>
          <w:sz w:val="32"/>
          <w:szCs w:val="32"/>
          <w:u w:val="single"/>
          <w:lang w:val="en-US" w:eastAsia="zh-CN"/>
        </w:rPr>
        <w:t>24.96</w:t>
      </w:r>
      <w:r>
        <w:rPr>
          <w:rFonts w:ascii="FangSong_GB2312" w:hAnsi="FangSong_GB2312" w:eastAsia="FangSong_GB2312" w:cs="FangSong_GB2312"/>
          <w:kern w:val="0"/>
          <w:sz w:val="32"/>
          <w:szCs w:val="32"/>
        </w:rPr>
        <w:t>万元，完成预算的</w:t>
      </w:r>
      <w:r>
        <w:rPr>
          <w:rFonts w:hint="eastAsia"/>
          <w:kern w:val="0"/>
          <w:sz w:val="32"/>
          <w:szCs w:val="32"/>
          <w:u w:val="single"/>
          <w:lang w:val="en-US" w:eastAsia="zh-CN"/>
        </w:rPr>
        <w:t>99.84</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。项目绩效目标完成情况：</w:t>
      </w:r>
      <w:r>
        <w:rPr>
          <w:rFonts w:hint="eastAsia" w:ascii="仿宋" w:hAnsi="仿宋" w:eastAsia="仿宋" w:cs="仿宋"/>
          <w:kern w:val="2"/>
          <w:sz w:val="32"/>
          <w:szCs w:val="32"/>
          <w:lang w:val="en-US" w:eastAsia="zh-CN"/>
        </w:rPr>
        <w:t>为全面推进预算执行与绩效运行“双监控”管理，根据自治区财政厅相关要求，开展2025年预算绩效监控工作。总院统一部署，组织业务管理部门结合工作实际填报相关指标完成情况，由业务管理部、财务核算中心结合相关部门报送的资料对目标完成、预算执行、组织实施、资金管理等情况进行分析评判，对绩效监控中发现的绩效目标执行偏差进行纠正，为后续绩效目标的有效实现提供了有力支撑和保障。</w:t>
      </w:r>
    </w:p>
    <w:tbl>
      <w:tblPr>
        <w:tblStyle w:val="19"/>
        <w:tblW w:w="825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42"/>
        <w:gridCol w:w="642"/>
        <w:gridCol w:w="689"/>
        <w:gridCol w:w="822"/>
        <w:gridCol w:w="687"/>
        <w:gridCol w:w="642"/>
        <w:gridCol w:w="704"/>
        <w:gridCol w:w="689"/>
        <w:gridCol w:w="734"/>
        <w:gridCol w:w="703"/>
        <w:gridCol w:w="666"/>
        <w:gridCol w:w="630"/>
      </w:tblGrid>
      <w:tr w14:paraId="4B1912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8250"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7356A07B">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项目支出绩效自评表</w:t>
            </w:r>
            <w:r>
              <w:rPr>
                <w:rFonts w:hint="eastAsia" w:ascii="宋体" w:hAnsi="宋体" w:eastAsia="宋体" w:cs="宋体"/>
                <w:b/>
                <w:bCs/>
                <w:i w:val="0"/>
                <w:iCs w:val="0"/>
                <w:color w:val="000000"/>
                <w:kern w:val="0"/>
                <w:sz w:val="40"/>
                <w:szCs w:val="40"/>
                <w:u w:val="none"/>
                <w:lang w:val="en-US" w:eastAsia="zh-CN" w:bidi="ar"/>
              </w:rPr>
              <w:br w:type="textWrapping"/>
            </w:r>
            <w:r>
              <w:rPr>
                <w:rFonts w:hint="eastAsia" w:ascii="宋体" w:hAnsi="宋体" w:eastAsia="宋体" w:cs="宋体"/>
                <w:b/>
                <w:bCs/>
                <w:i w:val="0"/>
                <w:iCs w:val="0"/>
                <w:color w:val="000000"/>
                <w:kern w:val="0"/>
                <w:sz w:val="40"/>
                <w:szCs w:val="40"/>
                <w:u w:val="none"/>
                <w:lang w:val="en-US" w:eastAsia="zh-CN" w:bidi="ar"/>
              </w:rPr>
              <w:t>(2025年度）</w:t>
            </w:r>
          </w:p>
        </w:tc>
      </w:tr>
      <w:tr w14:paraId="5A07BD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2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D90A9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696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1A4BD3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物业费</w:t>
            </w:r>
          </w:p>
        </w:tc>
      </w:tr>
      <w:tr w14:paraId="5F9BBC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2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96A22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主管部门</w:t>
            </w:r>
          </w:p>
        </w:tc>
        <w:tc>
          <w:tcPr>
            <w:tcW w:w="28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C92AE6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内蒙古自治区市场监督管理局部门</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12DA9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实施单位</w:t>
            </w:r>
          </w:p>
        </w:tc>
        <w:tc>
          <w:tcPr>
            <w:tcW w:w="271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F48370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内蒙古自治区特种设备检验研究院鄂尔多斯分院</w:t>
            </w:r>
          </w:p>
        </w:tc>
      </w:tr>
      <w:tr w14:paraId="4AB6D3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29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68E5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项目资金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（万元）</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F354F">
            <w:pPr>
              <w:rPr>
                <w:rFonts w:hint="eastAsia" w:ascii="宋体" w:hAnsi="宋体"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2F2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年初预算数</w:t>
            </w: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9754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全年预算数</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C070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全年执行数</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5E3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13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14B0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执行率（%）</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125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r>
      <w:tr w14:paraId="170672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2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9A792A">
            <w:pPr>
              <w:jc w:val="center"/>
              <w:rPr>
                <w:rFonts w:hint="eastAsia" w:ascii="宋体" w:hAnsi="宋体" w:eastAsia="宋体" w:cs="宋体"/>
                <w:i w:val="0"/>
                <w:iCs w:val="0"/>
                <w:color w:val="000000"/>
                <w:sz w:val="18"/>
                <w:szCs w:val="18"/>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9EE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年度资金总额</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F1C1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29.5</w:t>
            </w: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FEBE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29.5</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627C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29.32</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58B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3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73A3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99.39</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A3E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9.94</w:t>
            </w:r>
          </w:p>
        </w:tc>
      </w:tr>
      <w:tr w14:paraId="61F6F9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2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BA0E3F">
            <w:pPr>
              <w:jc w:val="center"/>
              <w:rPr>
                <w:rFonts w:hint="eastAsia" w:ascii="宋体" w:hAnsi="宋体" w:eastAsia="宋体" w:cs="宋体"/>
                <w:i w:val="0"/>
                <w:iCs w:val="0"/>
                <w:color w:val="000000"/>
                <w:sz w:val="18"/>
                <w:szCs w:val="18"/>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23D3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其中：财政拨款</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FD01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0E65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93F66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24.96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D1AD3">
            <w:pPr>
              <w:keepNext w:val="0"/>
              <w:keepLines w:val="0"/>
              <w:widowControl/>
              <w:suppressLineNumbers w:val="0"/>
              <w:jc w:val="center"/>
              <w:textAlignment w:val="center"/>
              <w:rPr>
                <w:rFonts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c>
          <w:tcPr>
            <w:tcW w:w="13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B16B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99.84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D19E7">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r>
      <w:tr w14:paraId="7B5FFD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2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4FBD5B">
            <w:pPr>
              <w:jc w:val="center"/>
              <w:rPr>
                <w:rFonts w:hint="eastAsia" w:ascii="宋体" w:hAnsi="宋体" w:eastAsia="宋体" w:cs="宋体"/>
                <w:i w:val="0"/>
                <w:iCs w:val="0"/>
                <w:color w:val="000000"/>
                <w:sz w:val="18"/>
                <w:szCs w:val="18"/>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69E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上年结转资金</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89947">
            <w:pPr>
              <w:rPr>
                <w:rFonts w:hint="eastAsia" w:ascii="宋体" w:hAnsi="宋体" w:eastAsia="宋体" w:cs="宋体"/>
                <w:i w:val="0"/>
                <w:iCs w:val="0"/>
                <w:color w:val="000000"/>
                <w:sz w:val="18"/>
                <w:szCs w:val="18"/>
                <w:u w:val="none"/>
              </w:rPr>
            </w:pP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2BF537">
            <w:pPr>
              <w:jc w:val="center"/>
              <w:rPr>
                <w:rFonts w:hint="eastAsia" w:ascii="宋体" w:hAnsi="宋体" w:eastAsia="宋体" w:cs="宋体"/>
                <w:i w:val="0"/>
                <w:iCs w:val="0"/>
                <w:color w:val="000000"/>
                <w:sz w:val="18"/>
                <w:szCs w:val="18"/>
                <w:u w:val="none"/>
              </w:rPr>
            </w:pP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FEDE19">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84608">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c>
          <w:tcPr>
            <w:tcW w:w="13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D90C54">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4BA5C">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r>
      <w:tr w14:paraId="5D8AD2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2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6BDFAA">
            <w:pPr>
              <w:jc w:val="center"/>
              <w:rPr>
                <w:rFonts w:hint="eastAsia" w:ascii="宋体" w:hAnsi="宋体" w:eastAsia="宋体" w:cs="宋体"/>
                <w:i w:val="0"/>
                <w:iCs w:val="0"/>
                <w:color w:val="000000"/>
                <w:sz w:val="18"/>
                <w:szCs w:val="18"/>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4DC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其他资金</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430E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w:t>
            </w: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D529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6EF6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1A055">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c>
          <w:tcPr>
            <w:tcW w:w="13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1807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96.89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2A022">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r>
      <w:tr w14:paraId="742498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29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FF9B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年度总体目标</w:t>
            </w:r>
          </w:p>
        </w:tc>
        <w:tc>
          <w:tcPr>
            <w:tcW w:w="355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9100C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预期目标</w:t>
            </w:r>
          </w:p>
        </w:tc>
        <w:tc>
          <w:tcPr>
            <w:tcW w:w="340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93F00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实际完成情况</w:t>
            </w:r>
          </w:p>
        </w:tc>
      </w:tr>
      <w:tr w14:paraId="63FF45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2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8696E9">
            <w:pPr>
              <w:jc w:val="center"/>
              <w:rPr>
                <w:rFonts w:hint="eastAsia" w:ascii="宋体" w:hAnsi="宋体" w:eastAsia="宋体" w:cs="宋体"/>
                <w:i w:val="0"/>
                <w:iCs w:val="0"/>
                <w:color w:val="000000"/>
                <w:sz w:val="18"/>
                <w:szCs w:val="18"/>
                <w:u w:val="none"/>
              </w:rPr>
            </w:pPr>
          </w:p>
        </w:tc>
        <w:tc>
          <w:tcPr>
            <w:tcW w:w="355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1A804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通过开展本单位物业保障工作，维护单位各个设备正常运转，保证工作环境优美整洁，为切实保障本单位各项工作开展打好基础，有效提高特种设备检验研究事业发展。</w:t>
            </w:r>
          </w:p>
        </w:tc>
        <w:tc>
          <w:tcPr>
            <w:tcW w:w="340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85765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为全面推进预算执行与绩效运行“双监控”管理，根据自治区财政厅相关要求，开展2025年预算绩效监控工作。总院统一部署，组织业务管理部门结合工作实际填报相关指标完成情况，由业务管理部、财务核算中心结合相关部门报送的资料对目标完成、预算执行、组织实施、资金管理等情况进行分析评判，对绩效监控中发现的绩效目标执行偏差进行纠正，为后续绩效目标的有效实现提供了有力支撑和保障</w:t>
            </w:r>
          </w:p>
        </w:tc>
      </w:tr>
      <w:tr w14:paraId="512302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0C5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绩效指标</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280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一级指标</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240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二级指标</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EA8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三级指标</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B45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指标性质</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894B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指标方向</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95D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年度指标值</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B62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实际完成值</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B3B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计量单位</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311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941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04FA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偏差原因分析及改进措施</w:t>
            </w:r>
          </w:p>
        </w:tc>
      </w:tr>
      <w:tr w14:paraId="55892F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45" w:type="dxa"/>
            <w:vMerge w:val="restart"/>
            <w:tcBorders>
              <w:top w:val="single" w:color="000000" w:sz="4" w:space="0"/>
              <w:left w:val="single" w:color="000000" w:sz="4" w:space="0"/>
              <w:bottom w:val="nil"/>
              <w:right w:val="single" w:color="000000" w:sz="4" w:space="0"/>
            </w:tcBorders>
            <w:shd w:val="clear" w:color="auto" w:fill="auto"/>
            <w:vAlign w:val="center"/>
          </w:tcPr>
          <w:p w14:paraId="4982C1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绩效指标</w:t>
            </w:r>
          </w:p>
        </w:tc>
        <w:tc>
          <w:tcPr>
            <w:tcW w:w="645" w:type="dxa"/>
            <w:vMerge w:val="restart"/>
            <w:tcBorders>
              <w:top w:val="single" w:color="000000" w:sz="4" w:space="0"/>
              <w:left w:val="single" w:color="000000" w:sz="4" w:space="0"/>
              <w:bottom w:val="nil"/>
              <w:right w:val="single" w:color="000000" w:sz="4" w:space="0"/>
            </w:tcBorders>
            <w:shd w:val="clear" w:color="auto" w:fill="auto"/>
            <w:vAlign w:val="center"/>
          </w:tcPr>
          <w:p w14:paraId="1E9788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690" w:type="dxa"/>
            <w:vMerge w:val="restart"/>
            <w:tcBorders>
              <w:top w:val="single" w:color="000000" w:sz="4" w:space="0"/>
              <w:left w:val="single" w:color="000000" w:sz="4" w:space="0"/>
              <w:bottom w:val="nil"/>
              <w:right w:val="single" w:color="000000" w:sz="4" w:space="0"/>
            </w:tcBorders>
            <w:shd w:val="clear" w:color="auto" w:fill="auto"/>
            <w:vAlign w:val="center"/>
          </w:tcPr>
          <w:p w14:paraId="65C519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1ED409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物业管理面积</w:t>
            </w:r>
          </w:p>
        </w:tc>
        <w:tc>
          <w:tcPr>
            <w:tcW w:w="690" w:type="dxa"/>
            <w:tcBorders>
              <w:top w:val="single" w:color="000000" w:sz="4" w:space="0"/>
              <w:left w:val="single" w:color="000000" w:sz="4" w:space="0"/>
              <w:bottom w:val="nil"/>
              <w:right w:val="single" w:color="000000" w:sz="4" w:space="0"/>
            </w:tcBorders>
            <w:shd w:val="clear" w:color="auto" w:fill="auto"/>
            <w:vAlign w:val="center"/>
          </w:tcPr>
          <w:p w14:paraId="105E2E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645" w:type="dxa"/>
            <w:tcBorders>
              <w:top w:val="single" w:color="000000" w:sz="4" w:space="0"/>
              <w:left w:val="single" w:color="000000" w:sz="4" w:space="0"/>
              <w:bottom w:val="nil"/>
              <w:right w:val="single" w:color="000000" w:sz="4" w:space="0"/>
            </w:tcBorders>
            <w:shd w:val="clear" w:color="auto" w:fill="auto"/>
            <w:vAlign w:val="center"/>
          </w:tcPr>
          <w:p w14:paraId="23E905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等于</w:t>
            </w:r>
          </w:p>
        </w:tc>
        <w:tc>
          <w:tcPr>
            <w:tcW w:w="705" w:type="dxa"/>
            <w:tcBorders>
              <w:top w:val="single" w:color="000000" w:sz="4" w:space="0"/>
              <w:left w:val="single" w:color="000000" w:sz="4" w:space="0"/>
              <w:bottom w:val="nil"/>
              <w:right w:val="single" w:color="000000" w:sz="4" w:space="0"/>
            </w:tcBorders>
            <w:shd w:val="clear" w:color="auto" w:fill="auto"/>
            <w:vAlign w:val="center"/>
          </w:tcPr>
          <w:p w14:paraId="003EAA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4200</w:t>
            </w:r>
          </w:p>
        </w:tc>
        <w:tc>
          <w:tcPr>
            <w:tcW w:w="690" w:type="dxa"/>
            <w:tcBorders>
              <w:top w:val="single" w:color="000000" w:sz="4" w:space="0"/>
              <w:left w:val="single" w:color="000000" w:sz="4" w:space="0"/>
              <w:bottom w:val="nil"/>
              <w:right w:val="single" w:color="000000" w:sz="4" w:space="0"/>
            </w:tcBorders>
            <w:shd w:val="clear" w:color="auto" w:fill="auto"/>
            <w:vAlign w:val="center"/>
          </w:tcPr>
          <w:p w14:paraId="3EC6F5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4200</w:t>
            </w:r>
          </w:p>
        </w:tc>
        <w:tc>
          <w:tcPr>
            <w:tcW w:w="735" w:type="dxa"/>
            <w:tcBorders>
              <w:top w:val="single" w:color="000000" w:sz="4" w:space="0"/>
              <w:left w:val="single" w:color="000000" w:sz="4" w:space="0"/>
              <w:bottom w:val="nil"/>
              <w:right w:val="single" w:color="000000" w:sz="4" w:space="0"/>
            </w:tcBorders>
            <w:shd w:val="clear" w:color="auto" w:fill="auto"/>
            <w:vAlign w:val="center"/>
          </w:tcPr>
          <w:p w14:paraId="57C470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平米</w:t>
            </w:r>
          </w:p>
        </w:tc>
        <w:tc>
          <w:tcPr>
            <w:tcW w:w="705" w:type="dxa"/>
            <w:tcBorders>
              <w:top w:val="single" w:color="000000" w:sz="4" w:space="0"/>
              <w:left w:val="single" w:color="000000" w:sz="4" w:space="0"/>
              <w:bottom w:val="nil"/>
              <w:right w:val="single" w:color="000000" w:sz="4" w:space="0"/>
            </w:tcBorders>
            <w:shd w:val="clear" w:color="auto" w:fill="auto"/>
            <w:vAlign w:val="center"/>
          </w:tcPr>
          <w:p w14:paraId="60AF45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645" w:type="dxa"/>
            <w:tcBorders>
              <w:top w:val="single" w:color="000000" w:sz="4" w:space="0"/>
              <w:left w:val="single" w:color="000000" w:sz="4" w:space="0"/>
              <w:bottom w:val="nil"/>
              <w:right w:val="single" w:color="000000" w:sz="4" w:space="0"/>
            </w:tcBorders>
            <w:shd w:val="clear" w:color="auto" w:fill="auto"/>
            <w:vAlign w:val="center"/>
          </w:tcPr>
          <w:p w14:paraId="0E922A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630" w:type="dxa"/>
            <w:tcBorders>
              <w:top w:val="single" w:color="000000" w:sz="4" w:space="0"/>
              <w:left w:val="single" w:color="000000" w:sz="4" w:space="0"/>
              <w:bottom w:val="nil"/>
              <w:right w:val="single" w:color="000000" w:sz="4" w:space="0"/>
            </w:tcBorders>
            <w:shd w:val="clear" w:color="auto" w:fill="auto"/>
            <w:vAlign w:val="center"/>
          </w:tcPr>
          <w:p w14:paraId="6427F0C2">
            <w:pPr>
              <w:jc w:val="center"/>
              <w:rPr>
                <w:rFonts w:hint="eastAsia" w:ascii="宋体" w:hAnsi="宋体" w:eastAsia="宋体" w:cs="宋体"/>
                <w:i w:val="0"/>
                <w:iCs w:val="0"/>
                <w:color w:val="000000"/>
                <w:sz w:val="18"/>
                <w:szCs w:val="18"/>
                <w:u w:val="none"/>
              </w:rPr>
            </w:pPr>
          </w:p>
        </w:tc>
      </w:tr>
      <w:tr w14:paraId="0EA306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45" w:type="dxa"/>
            <w:vMerge w:val="continue"/>
            <w:tcBorders>
              <w:top w:val="single" w:color="000000" w:sz="4" w:space="0"/>
              <w:left w:val="single" w:color="000000" w:sz="4" w:space="0"/>
              <w:bottom w:val="nil"/>
              <w:right w:val="single" w:color="000000" w:sz="4" w:space="0"/>
            </w:tcBorders>
            <w:shd w:val="clear" w:color="auto" w:fill="auto"/>
            <w:vAlign w:val="center"/>
          </w:tcPr>
          <w:p w14:paraId="63CD41EF">
            <w:pPr>
              <w:jc w:val="center"/>
              <w:rPr>
                <w:rFonts w:hint="eastAsia" w:ascii="宋体" w:hAnsi="宋体" w:eastAsia="宋体" w:cs="宋体"/>
                <w:i w:val="0"/>
                <w:iCs w:val="0"/>
                <w:color w:val="000000"/>
                <w:sz w:val="18"/>
                <w:szCs w:val="18"/>
                <w:u w:val="none"/>
              </w:rPr>
            </w:pPr>
          </w:p>
        </w:tc>
        <w:tc>
          <w:tcPr>
            <w:tcW w:w="645" w:type="dxa"/>
            <w:vMerge w:val="continue"/>
            <w:tcBorders>
              <w:top w:val="single" w:color="000000" w:sz="4" w:space="0"/>
              <w:left w:val="single" w:color="000000" w:sz="4" w:space="0"/>
              <w:bottom w:val="nil"/>
              <w:right w:val="single" w:color="000000" w:sz="4" w:space="0"/>
            </w:tcBorders>
            <w:shd w:val="clear" w:color="auto" w:fill="auto"/>
            <w:vAlign w:val="center"/>
          </w:tcPr>
          <w:p w14:paraId="03216644">
            <w:pPr>
              <w:jc w:val="center"/>
              <w:rPr>
                <w:rFonts w:hint="eastAsia" w:ascii="宋体" w:hAnsi="宋体" w:eastAsia="宋体" w:cs="宋体"/>
                <w:i w:val="0"/>
                <w:iCs w:val="0"/>
                <w:color w:val="000000"/>
                <w:sz w:val="18"/>
                <w:szCs w:val="18"/>
                <w:u w:val="none"/>
              </w:rPr>
            </w:pPr>
          </w:p>
        </w:tc>
        <w:tc>
          <w:tcPr>
            <w:tcW w:w="690" w:type="dxa"/>
            <w:vMerge w:val="continue"/>
            <w:tcBorders>
              <w:top w:val="single" w:color="000000" w:sz="4" w:space="0"/>
              <w:left w:val="single" w:color="000000" w:sz="4" w:space="0"/>
              <w:bottom w:val="nil"/>
              <w:right w:val="single" w:color="000000" w:sz="4" w:space="0"/>
            </w:tcBorders>
            <w:shd w:val="clear" w:color="auto" w:fill="auto"/>
            <w:vAlign w:val="center"/>
          </w:tcPr>
          <w:p w14:paraId="79D4AB22">
            <w:pPr>
              <w:jc w:val="center"/>
              <w:rPr>
                <w:rFonts w:hint="eastAsia" w:ascii="宋体" w:hAnsi="宋体" w:eastAsia="宋体" w:cs="宋体"/>
                <w:i w:val="0"/>
                <w:iCs w:val="0"/>
                <w:color w:val="000000"/>
                <w:sz w:val="18"/>
                <w:szCs w:val="18"/>
                <w:u w:val="none"/>
              </w:rPr>
            </w:pPr>
          </w:p>
        </w:tc>
        <w:tc>
          <w:tcPr>
            <w:tcW w:w="825" w:type="dxa"/>
            <w:tcBorders>
              <w:top w:val="single" w:color="000000" w:sz="4" w:space="0"/>
              <w:left w:val="single" w:color="000000" w:sz="4" w:space="0"/>
              <w:bottom w:val="nil"/>
              <w:right w:val="single" w:color="000000" w:sz="4" w:space="0"/>
            </w:tcBorders>
            <w:shd w:val="clear" w:color="auto" w:fill="auto"/>
            <w:vAlign w:val="center"/>
          </w:tcPr>
          <w:p w14:paraId="5A624E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物业服务人员数量</w:t>
            </w:r>
          </w:p>
        </w:tc>
        <w:tc>
          <w:tcPr>
            <w:tcW w:w="690" w:type="dxa"/>
            <w:tcBorders>
              <w:top w:val="single" w:color="000000" w:sz="4" w:space="0"/>
              <w:left w:val="single" w:color="000000" w:sz="4" w:space="0"/>
              <w:bottom w:val="nil"/>
              <w:right w:val="single" w:color="000000" w:sz="4" w:space="0"/>
            </w:tcBorders>
            <w:shd w:val="clear" w:color="auto" w:fill="auto"/>
            <w:vAlign w:val="center"/>
          </w:tcPr>
          <w:p w14:paraId="7C6659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645" w:type="dxa"/>
            <w:tcBorders>
              <w:top w:val="single" w:color="000000" w:sz="4" w:space="0"/>
              <w:left w:val="single" w:color="000000" w:sz="4" w:space="0"/>
              <w:bottom w:val="nil"/>
              <w:right w:val="single" w:color="000000" w:sz="4" w:space="0"/>
            </w:tcBorders>
            <w:shd w:val="clear" w:color="auto" w:fill="auto"/>
            <w:vAlign w:val="center"/>
          </w:tcPr>
          <w:p w14:paraId="2251DE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705" w:type="dxa"/>
            <w:tcBorders>
              <w:top w:val="single" w:color="000000" w:sz="4" w:space="0"/>
              <w:left w:val="single" w:color="000000" w:sz="4" w:space="0"/>
              <w:bottom w:val="nil"/>
              <w:right w:val="single" w:color="000000" w:sz="4" w:space="0"/>
            </w:tcBorders>
            <w:shd w:val="clear" w:color="auto" w:fill="auto"/>
            <w:vAlign w:val="center"/>
          </w:tcPr>
          <w:p w14:paraId="40BA0E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690" w:type="dxa"/>
            <w:tcBorders>
              <w:top w:val="single" w:color="000000" w:sz="4" w:space="0"/>
              <w:left w:val="single" w:color="000000" w:sz="4" w:space="0"/>
              <w:bottom w:val="nil"/>
              <w:right w:val="single" w:color="000000" w:sz="4" w:space="0"/>
            </w:tcBorders>
            <w:shd w:val="clear" w:color="auto" w:fill="auto"/>
            <w:vAlign w:val="center"/>
          </w:tcPr>
          <w:p w14:paraId="48891B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735" w:type="dxa"/>
            <w:tcBorders>
              <w:top w:val="single" w:color="000000" w:sz="4" w:space="0"/>
              <w:left w:val="single" w:color="000000" w:sz="4" w:space="0"/>
              <w:bottom w:val="nil"/>
              <w:right w:val="single" w:color="000000" w:sz="4" w:space="0"/>
            </w:tcBorders>
            <w:shd w:val="clear" w:color="auto" w:fill="auto"/>
            <w:vAlign w:val="center"/>
          </w:tcPr>
          <w:p w14:paraId="3BC5D7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w:t>
            </w:r>
          </w:p>
        </w:tc>
        <w:tc>
          <w:tcPr>
            <w:tcW w:w="705" w:type="dxa"/>
            <w:tcBorders>
              <w:top w:val="single" w:color="000000" w:sz="4" w:space="0"/>
              <w:left w:val="single" w:color="000000" w:sz="4" w:space="0"/>
              <w:bottom w:val="nil"/>
              <w:right w:val="single" w:color="000000" w:sz="4" w:space="0"/>
            </w:tcBorders>
            <w:shd w:val="clear" w:color="auto" w:fill="auto"/>
            <w:vAlign w:val="center"/>
          </w:tcPr>
          <w:p w14:paraId="34C7A6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645" w:type="dxa"/>
            <w:tcBorders>
              <w:top w:val="single" w:color="000000" w:sz="4" w:space="0"/>
              <w:left w:val="single" w:color="000000" w:sz="4" w:space="0"/>
              <w:bottom w:val="nil"/>
              <w:right w:val="single" w:color="000000" w:sz="4" w:space="0"/>
            </w:tcBorders>
            <w:shd w:val="clear" w:color="auto" w:fill="auto"/>
            <w:vAlign w:val="center"/>
          </w:tcPr>
          <w:p w14:paraId="6794E1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630" w:type="dxa"/>
            <w:tcBorders>
              <w:top w:val="single" w:color="000000" w:sz="4" w:space="0"/>
              <w:left w:val="single" w:color="000000" w:sz="4" w:space="0"/>
              <w:bottom w:val="nil"/>
              <w:right w:val="single" w:color="000000" w:sz="4" w:space="0"/>
            </w:tcBorders>
            <w:shd w:val="clear" w:color="auto" w:fill="auto"/>
            <w:vAlign w:val="center"/>
          </w:tcPr>
          <w:p w14:paraId="26CF8DAC">
            <w:pPr>
              <w:jc w:val="center"/>
              <w:rPr>
                <w:rFonts w:hint="eastAsia" w:ascii="宋体" w:hAnsi="宋体" w:eastAsia="宋体" w:cs="宋体"/>
                <w:i w:val="0"/>
                <w:iCs w:val="0"/>
                <w:color w:val="000000"/>
                <w:sz w:val="18"/>
                <w:szCs w:val="18"/>
                <w:u w:val="none"/>
              </w:rPr>
            </w:pPr>
          </w:p>
        </w:tc>
      </w:tr>
      <w:tr w14:paraId="2D69C1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45" w:type="dxa"/>
            <w:vMerge w:val="continue"/>
            <w:tcBorders>
              <w:top w:val="single" w:color="000000" w:sz="4" w:space="0"/>
              <w:left w:val="single" w:color="000000" w:sz="4" w:space="0"/>
              <w:bottom w:val="nil"/>
              <w:right w:val="single" w:color="000000" w:sz="4" w:space="0"/>
            </w:tcBorders>
            <w:shd w:val="clear" w:color="auto" w:fill="auto"/>
            <w:vAlign w:val="center"/>
          </w:tcPr>
          <w:p w14:paraId="632A32ED">
            <w:pPr>
              <w:jc w:val="center"/>
              <w:rPr>
                <w:rFonts w:hint="eastAsia" w:ascii="宋体" w:hAnsi="宋体" w:eastAsia="宋体" w:cs="宋体"/>
                <w:i w:val="0"/>
                <w:iCs w:val="0"/>
                <w:color w:val="000000"/>
                <w:sz w:val="18"/>
                <w:szCs w:val="18"/>
                <w:u w:val="none"/>
              </w:rPr>
            </w:pPr>
          </w:p>
        </w:tc>
        <w:tc>
          <w:tcPr>
            <w:tcW w:w="645" w:type="dxa"/>
            <w:vMerge w:val="continue"/>
            <w:tcBorders>
              <w:top w:val="single" w:color="000000" w:sz="4" w:space="0"/>
              <w:left w:val="single" w:color="000000" w:sz="4" w:space="0"/>
              <w:bottom w:val="nil"/>
              <w:right w:val="single" w:color="000000" w:sz="4" w:space="0"/>
            </w:tcBorders>
            <w:shd w:val="clear" w:color="auto" w:fill="auto"/>
            <w:vAlign w:val="center"/>
          </w:tcPr>
          <w:p w14:paraId="11E4A2F9">
            <w:pPr>
              <w:jc w:val="center"/>
              <w:rPr>
                <w:rFonts w:hint="eastAsia" w:ascii="宋体" w:hAnsi="宋体" w:eastAsia="宋体" w:cs="宋体"/>
                <w:i w:val="0"/>
                <w:iCs w:val="0"/>
                <w:color w:val="000000"/>
                <w:sz w:val="18"/>
                <w:szCs w:val="18"/>
                <w:u w:val="none"/>
              </w:rPr>
            </w:pPr>
          </w:p>
        </w:tc>
        <w:tc>
          <w:tcPr>
            <w:tcW w:w="690" w:type="dxa"/>
            <w:vMerge w:val="continue"/>
            <w:tcBorders>
              <w:top w:val="single" w:color="000000" w:sz="4" w:space="0"/>
              <w:left w:val="single" w:color="000000" w:sz="4" w:space="0"/>
              <w:bottom w:val="nil"/>
              <w:right w:val="single" w:color="000000" w:sz="4" w:space="0"/>
            </w:tcBorders>
            <w:shd w:val="clear" w:color="auto" w:fill="auto"/>
            <w:vAlign w:val="center"/>
          </w:tcPr>
          <w:p w14:paraId="4F344AFE">
            <w:pPr>
              <w:jc w:val="center"/>
              <w:rPr>
                <w:rFonts w:hint="eastAsia" w:ascii="宋体" w:hAnsi="宋体" w:eastAsia="宋体" w:cs="宋体"/>
                <w:i w:val="0"/>
                <w:iCs w:val="0"/>
                <w:color w:val="000000"/>
                <w:sz w:val="18"/>
                <w:szCs w:val="18"/>
                <w:u w:val="none"/>
              </w:rPr>
            </w:pPr>
          </w:p>
        </w:tc>
        <w:tc>
          <w:tcPr>
            <w:tcW w:w="825" w:type="dxa"/>
            <w:tcBorders>
              <w:top w:val="single" w:color="000000" w:sz="4" w:space="0"/>
              <w:left w:val="single" w:color="000000" w:sz="4" w:space="0"/>
              <w:bottom w:val="nil"/>
              <w:right w:val="single" w:color="000000" w:sz="4" w:space="0"/>
            </w:tcBorders>
            <w:shd w:val="clear" w:color="auto" w:fill="auto"/>
            <w:vAlign w:val="center"/>
          </w:tcPr>
          <w:p w14:paraId="26CE3A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公共区域保洁次数</w:t>
            </w:r>
          </w:p>
        </w:tc>
        <w:tc>
          <w:tcPr>
            <w:tcW w:w="690" w:type="dxa"/>
            <w:tcBorders>
              <w:top w:val="single" w:color="000000" w:sz="4" w:space="0"/>
              <w:left w:val="single" w:color="000000" w:sz="4" w:space="0"/>
              <w:bottom w:val="nil"/>
              <w:right w:val="single" w:color="000000" w:sz="4" w:space="0"/>
            </w:tcBorders>
            <w:shd w:val="clear" w:color="auto" w:fill="auto"/>
            <w:vAlign w:val="center"/>
          </w:tcPr>
          <w:p w14:paraId="4AA75C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645" w:type="dxa"/>
            <w:tcBorders>
              <w:top w:val="single" w:color="000000" w:sz="4" w:space="0"/>
              <w:left w:val="single" w:color="000000" w:sz="4" w:space="0"/>
              <w:bottom w:val="nil"/>
              <w:right w:val="single" w:color="000000" w:sz="4" w:space="0"/>
            </w:tcBorders>
            <w:shd w:val="clear" w:color="auto" w:fill="auto"/>
            <w:vAlign w:val="center"/>
          </w:tcPr>
          <w:p w14:paraId="433B4D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705" w:type="dxa"/>
            <w:tcBorders>
              <w:top w:val="single" w:color="000000" w:sz="4" w:space="0"/>
              <w:left w:val="single" w:color="000000" w:sz="4" w:space="0"/>
              <w:bottom w:val="nil"/>
              <w:right w:val="single" w:color="000000" w:sz="4" w:space="0"/>
            </w:tcBorders>
            <w:shd w:val="clear" w:color="auto" w:fill="auto"/>
            <w:vAlign w:val="center"/>
          </w:tcPr>
          <w:p w14:paraId="3053F2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690" w:type="dxa"/>
            <w:tcBorders>
              <w:top w:val="single" w:color="000000" w:sz="4" w:space="0"/>
              <w:left w:val="single" w:color="000000" w:sz="4" w:space="0"/>
              <w:bottom w:val="nil"/>
              <w:right w:val="single" w:color="000000" w:sz="4" w:space="0"/>
            </w:tcBorders>
            <w:shd w:val="clear" w:color="auto" w:fill="auto"/>
            <w:vAlign w:val="center"/>
          </w:tcPr>
          <w:p w14:paraId="166023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735" w:type="dxa"/>
            <w:tcBorders>
              <w:top w:val="single" w:color="000000" w:sz="4" w:space="0"/>
              <w:left w:val="single" w:color="000000" w:sz="4" w:space="0"/>
              <w:bottom w:val="nil"/>
              <w:right w:val="single" w:color="000000" w:sz="4" w:space="0"/>
            </w:tcBorders>
            <w:shd w:val="clear" w:color="auto" w:fill="auto"/>
            <w:vAlign w:val="center"/>
          </w:tcPr>
          <w:p w14:paraId="36A010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次/天</w:t>
            </w:r>
          </w:p>
        </w:tc>
        <w:tc>
          <w:tcPr>
            <w:tcW w:w="705" w:type="dxa"/>
            <w:tcBorders>
              <w:top w:val="single" w:color="000000" w:sz="4" w:space="0"/>
              <w:left w:val="single" w:color="000000" w:sz="4" w:space="0"/>
              <w:bottom w:val="nil"/>
              <w:right w:val="single" w:color="000000" w:sz="4" w:space="0"/>
            </w:tcBorders>
            <w:shd w:val="clear" w:color="auto" w:fill="auto"/>
            <w:vAlign w:val="center"/>
          </w:tcPr>
          <w:p w14:paraId="1D4C24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645" w:type="dxa"/>
            <w:tcBorders>
              <w:top w:val="single" w:color="000000" w:sz="4" w:space="0"/>
              <w:left w:val="single" w:color="000000" w:sz="4" w:space="0"/>
              <w:bottom w:val="nil"/>
              <w:right w:val="single" w:color="000000" w:sz="4" w:space="0"/>
            </w:tcBorders>
            <w:shd w:val="clear" w:color="auto" w:fill="auto"/>
            <w:vAlign w:val="center"/>
          </w:tcPr>
          <w:p w14:paraId="51B2CE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630" w:type="dxa"/>
            <w:tcBorders>
              <w:top w:val="single" w:color="000000" w:sz="4" w:space="0"/>
              <w:left w:val="single" w:color="000000" w:sz="4" w:space="0"/>
              <w:bottom w:val="nil"/>
              <w:right w:val="single" w:color="000000" w:sz="4" w:space="0"/>
            </w:tcBorders>
            <w:shd w:val="clear" w:color="auto" w:fill="auto"/>
            <w:vAlign w:val="center"/>
          </w:tcPr>
          <w:p w14:paraId="04D5705A">
            <w:pPr>
              <w:jc w:val="center"/>
              <w:rPr>
                <w:rFonts w:hint="eastAsia" w:ascii="宋体" w:hAnsi="宋体" w:eastAsia="宋体" w:cs="宋体"/>
                <w:i w:val="0"/>
                <w:iCs w:val="0"/>
                <w:color w:val="000000"/>
                <w:sz w:val="18"/>
                <w:szCs w:val="18"/>
                <w:u w:val="none"/>
              </w:rPr>
            </w:pPr>
          </w:p>
        </w:tc>
      </w:tr>
      <w:tr w14:paraId="51637E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45" w:type="dxa"/>
            <w:vMerge w:val="continue"/>
            <w:tcBorders>
              <w:top w:val="single" w:color="000000" w:sz="4" w:space="0"/>
              <w:left w:val="single" w:color="000000" w:sz="4" w:space="0"/>
              <w:bottom w:val="nil"/>
              <w:right w:val="single" w:color="000000" w:sz="4" w:space="0"/>
            </w:tcBorders>
            <w:shd w:val="clear" w:color="auto" w:fill="auto"/>
            <w:vAlign w:val="center"/>
          </w:tcPr>
          <w:p w14:paraId="54F5BDF2">
            <w:pPr>
              <w:jc w:val="center"/>
              <w:rPr>
                <w:rFonts w:hint="eastAsia" w:ascii="宋体" w:hAnsi="宋体" w:eastAsia="宋体" w:cs="宋体"/>
                <w:i w:val="0"/>
                <w:iCs w:val="0"/>
                <w:color w:val="000000"/>
                <w:sz w:val="18"/>
                <w:szCs w:val="18"/>
                <w:u w:val="none"/>
              </w:rPr>
            </w:pPr>
          </w:p>
        </w:tc>
        <w:tc>
          <w:tcPr>
            <w:tcW w:w="645" w:type="dxa"/>
            <w:vMerge w:val="continue"/>
            <w:tcBorders>
              <w:top w:val="single" w:color="000000" w:sz="4" w:space="0"/>
              <w:left w:val="single" w:color="000000" w:sz="4" w:space="0"/>
              <w:bottom w:val="nil"/>
              <w:right w:val="single" w:color="000000" w:sz="4" w:space="0"/>
            </w:tcBorders>
            <w:shd w:val="clear" w:color="auto" w:fill="auto"/>
            <w:vAlign w:val="center"/>
          </w:tcPr>
          <w:p w14:paraId="69EB30C2">
            <w:pPr>
              <w:jc w:val="center"/>
              <w:rPr>
                <w:rFonts w:hint="eastAsia" w:ascii="宋体" w:hAnsi="宋体" w:eastAsia="宋体" w:cs="宋体"/>
                <w:i w:val="0"/>
                <w:iCs w:val="0"/>
                <w:color w:val="000000"/>
                <w:sz w:val="18"/>
                <w:szCs w:val="18"/>
                <w:u w:val="none"/>
              </w:rPr>
            </w:pPr>
          </w:p>
        </w:tc>
        <w:tc>
          <w:tcPr>
            <w:tcW w:w="690" w:type="dxa"/>
            <w:vMerge w:val="restart"/>
            <w:tcBorders>
              <w:top w:val="single" w:color="000000" w:sz="4" w:space="0"/>
              <w:left w:val="single" w:color="000000" w:sz="4" w:space="0"/>
              <w:bottom w:val="nil"/>
              <w:right w:val="single" w:color="000000" w:sz="4" w:space="0"/>
            </w:tcBorders>
            <w:shd w:val="clear" w:color="auto" w:fill="auto"/>
            <w:vAlign w:val="center"/>
          </w:tcPr>
          <w:p w14:paraId="520779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43E43D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公共区域保洁率</w:t>
            </w:r>
          </w:p>
        </w:tc>
        <w:tc>
          <w:tcPr>
            <w:tcW w:w="690" w:type="dxa"/>
            <w:tcBorders>
              <w:top w:val="single" w:color="000000" w:sz="4" w:space="0"/>
              <w:left w:val="single" w:color="000000" w:sz="4" w:space="0"/>
              <w:bottom w:val="nil"/>
              <w:right w:val="single" w:color="000000" w:sz="4" w:space="0"/>
            </w:tcBorders>
            <w:shd w:val="clear" w:color="auto" w:fill="auto"/>
            <w:vAlign w:val="center"/>
          </w:tcPr>
          <w:p w14:paraId="7D273F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645" w:type="dxa"/>
            <w:tcBorders>
              <w:top w:val="single" w:color="000000" w:sz="4" w:space="0"/>
              <w:left w:val="single" w:color="000000" w:sz="4" w:space="0"/>
              <w:bottom w:val="nil"/>
              <w:right w:val="single" w:color="000000" w:sz="4" w:space="0"/>
            </w:tcBorders>
            <w:shd w:val="clear" w:color="auto" w:fill="auto"/>
            <w:vAlign w:val="center"/>
          </w:tcPr>
          <w:p w14:paraId="1939AA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等于</w:t>
            </w:r>
          </w:p>
        </w:tc>
        <w:tc>
          <w:tcPr>
            <w:tcW w:w="705" w:type="dxa"/>
            <w:tcBorders>
              <w:top w:val="single" w:color="000000" w:sz="4" w:space="0"/>
              <w:left w:val="single" w:color="000000" w:sz="4" w:space="0"/>
              <w:bottom w:val="nil"/>
              <w:right w:val="single" w:color="000000" w:sz="4" w:space="0"/>
            </w:tcBorders>
            <w:shd w:val="clear" w:color="auto" w:fill="auto"/>
            <w:vAlign w:val="center"/>
          </w:tcPr>
          <w:p w14:paraId="263652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690" w:type="dxa"/>
            <w:tcBorders>
              <w:top w:val="single" w:color="000000" w:sz="4" w:space="0"/>
              <w:left w:val="single" w:color="000000" w:sz="4" w:space="0"/>
              <w:bottom w:val="nil"/>
              <w:right w:val="single" w:color="000000" w:sz="4" w:space="0"/>
            </w:tcBorders>
            <w:shd w:val="clear" w:color="auto" w:fill="auto"/>
            <w:vAlign w:val="center"/>
          </w:tcPr>
          <w:p w14:paraId="7EF013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735" w:type="dxa"/>
            <w:tcBorders>
              <w:top w:val="single" w:color="000000" w:sz="4" w:space="0"/>
              <w:left w:val="single" w:color="000000" w:sz="4" w:space="0"/>
              <w:bottom w:val="nil"/>
              <w:right w:val="single" w:color="000000" w:sz="4" w:space="0"/>
            </w:tcBorders>
            <w:shd w:val="clear" w:color="auto" w:fill="auto"/>
            <w:vAlign w:val="center"/>
          </w:tcPr>
          <w:p w14:paraId="49B072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05" w:type="dxa"/>
            <w:tcBorders>
              <w:top w:val="single" w:color="000000" w:sz="4" w:space="0"/>
              <w:left w:val="single" w:color="000000" w:sz="4" w:space="0"/>
              <w:bottom w:val="nil"/>
              <w:right w:val="single" w:color="000000" w:sz="4" w:space="0"/>
            </w:tcBorders>
            <w:shd w:val="clear" w:color="auto" w:fill="auto"/>
            <w:vAlign w:val="center"/>
          </w:tcPr>
          <w:p w14:paraId="7EE3BA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645" w:type="dxa"/>
            <w:tcBorders>
              <w:top w:val="single" w:color="000000" w:sz="4" w:space="0"/>
              <w:left w:val="single" w:color="000000" w:sz="4" w:space="0"/>
              <w:bottom w:val="nil"/>
              <w:right w:val="single" w:color="000000" w:sz="4" w:space="0"/>
            </w:tcBorders>
            <w:shd w:val="clear" w:color="auto" w:fill="auto"/>
            <w:vAlign w:val="center"/>
          </w:tcPr>
          <w:p w14:paraId="19F9A5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630" w:type="dxa"/>
            <w:tcBorders>
              <w:top w:val="single" w:color="000000" w:sz="4" w:space="0"/>
              <w:left w:val="single" w:color="000000" w:sz="4" w:space="0"/>
              <w:bottom w:val="nil"/>
              <w:right w:val="single" w:color="000000" w:sz="4" w:space="0"/>
            </w:tcBorders>
            <w:shd w:val="clear" w:color="auto" w:fill="auto"/>
            <w:vAlign w:val="center"/>
          </w:tcPr>
          <w:p w14:paraId="360263C4">
            <w:pPr>
              <w:jc w:val="center"/>
              <w:rPr>
                <w:rFonts w:hint="eastAsia" w:ascii="宋体" w:hAnsi="宋体" w:eastAsia="宋体" w:cs="宋体"/>
                <w:i w:val="0"/>
                <w:iCs w:val="0"/>
                <w:color w:val="000000"/>
                <w:sz w:val="18"/>
                <w:szCs w:val="18"/>
                <w:u w:val="none"/>
              </w:rPr>
            </w:pPr>
          </w:p>
        </w:tc>
      </w:tr>
      <w:tr w14:paraId="203AD9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645" w:type="dxa"/>
            <w:vMerge w:val="continue"/>
            <w:tcBorders>
              <w:top w:val="single" w:color="000000" w:sz="4" w:space="0"/>
              <w:left w:val="single" w:color="000000" w:sz="4" w:space="0"/>
              <w:bottom w:val="nil"/>
              <w:right w:val="single" w:color="000000" w:sz="4" w:space="0"/>
            </w:tcBorders>
            <w:shd w:val="clear" w:color="auto" w:fill="auto"/>
            <w:vAlign w:val="center"/>
          </w:tcPr>
          <w:p w14:paraId="10D46DF2">
            <w:pPr>
              <w:jc w:val="center"/>
              <w:rPr>
                <w:rFonts w:hint="eastAsia" w:ascii="宋体" w:hAnsi="宋体" w:eastAsia="宋体" w:cs="宋体"/>
                <w:i w:val="0"/>
                <w:iCs w:val="0"/>
                <w:color w:val="000000"/>
                <w:sz w:val="18"/>
                <w:szCs w:val="18"/>
                <w:u w:val="none"/>
              </w:rPr>
            </w:pPr>
          </w:p>
        </w:tc>
        <w:tc>
          <w:tcPr>
            <w:tcW w:w="645" w:type="dxa"/>
            <w:vMerge w:val="continue"/>
            <w:tcBorders>
              <w:top w:val="single" w:color="000000" w:sz="4" w:space="0"/>
              <w:left w:val="single" w:color="000000" w:sz="4" w:space="0"/>
              <w:bottom w:val="nil"/>
              <w:right w:val="single" w:color="000000" w:sz="4" w:space="0"/>
            </w:tcBorders>
            <w:shd w:val="clear" w:color="auto" w:fill="auto"/>
            <w:vAlign w:val="center"/>
          </w:tcPr>
          <w:p w14:paraId="0DA4616A">
            <w:pPr>
              <w:jc w:val="center"/>
              <w:rPr>
                <w:rFonts w:hint="eastAsia" w:ascii="宋体" w:hAnsi="宋体" w:eastAsia="宋体" w:cs="宋体"/>
                <w:i w:val="0"/>
                <w:iCs w:val="0"/>
                <w:color w:val="000000"/>
                <w:sz w:val="18"/>
                <w:szCs w:val="18"/>
                <w:u w:val="none"/>
              </w:rPr>
            </w:pPr>
          </w:p>
        </w:tc>
        <w:tc>
          <w:tcPr>
            <w:tcW w:w="690" w:type="dxa"/>
            <w:vMerge w:val="continue"/>
            <w:tcBorders>
              <w:top w:val="single" w:color="000000" w:sz="4" w:space="0"/>
              <w:left w:val="single" w:color="000000" w:sz="4" w:space="0"/>
              <w:bottom w:val="nil"/>
              <w:right w:val="single" w:color="000000" w:sz="4" w:space="0"/>
            </w:tcBorders>
            <w:shd w:val="clear" w:color="auto" w:fill="auto"/>
            <w:vAlign w:val="center"/>
          </w:tcPr>
          <w:p w14:paraId="597FF34C">
            <w:pPr>
              <w:jc w:val="center"/>
              <w:rPr>
                <w:rFonts w:hint="eastAsia" w:ascii="宋体" w:hAnsi="宋体" w:eastAsia="宋体" w:cs="宋体"/>
                <w:i w:val="0"/>
                <w:iCs w:val="0"/>
                <w:color w:val="000000"/>
                <w:sz w:val="18"/>
                <w:szCs w:val="18"/>
                <w:u w:val="none"/>
              </w:rPr>
            </w:pPr>
          </w:p>
        </w:tc>
        <w:tc>
          <w:tcPr>
            <w:tcW w:w="825" w:type="dxa"/>
            <w:tcBorders>
              <w:top w:val="single" w:color="000000" w:sz="4" w:space="0"/>
              <w:left w:val="single" w:color="000000" w:sz="4" w:space="0"/>
              <w:bottom w:val="nil"/>
              <w:right w:val="single" w:color="000000" w:sz="4" w:space="0"/>
            </w:tcBorders>
            <w:shd w:val="clear" w:color="auto" w:fill="auto"/>
            <w:vAlign w:val="center"/>
          </w:tcPr>
          <w:p w14:paraId="7BB454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物业管理辖区内无重大安全事故发生率</w:t>
            </w:r>
          </w:p>
        </w:tc>
        <w:tc>
          <w:tcPr>
            <w:tcW w:w="690" w:type="dxa"/>
            <w:tcBorders>
              <w:top w:val="single" w:color="000000" w:sz="4" w:space="0"/>
              <w:left w:val="single" w:color="000000" w:sz="4" w:space="0"/>
              <w:bottom w:val="nil"/>
              <w:right w:val="single" w:color="000000" w:sz="4" w:space="0"/>
            </w:tcBorders>
            <w:shd w:val="clear" w:color="auto" w:fill="auto"/>
            <w:vAlign w:val="center"/>
          </w:tcPr>
          <w:p w14:paraId="51D4D8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645" w:type="dxa"/>
            <w:tcBorders>
              <w:top w:val="single" w:color="000000" w:sz="4" w:space="0"/>
              <w:left w:val="single" w:color="000000" w:sz="4" w:space="0"/>
              <w:bottom w:val="nil"/>
              <w:right w:val="single" w:color="000000" w:sz="4" w:space="0"/>
            </w:tcBorders>
            <w:shd w:val="clear" w:color="auto" w:fill="auto"/>
            <w:vAlign w:val="center"/>
          </w:tcPr>
          <w:p w14:paraId="127609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等于</w:t>
            </w:r>
          </w:p>
        </w:tc>
        <w:tc>
          <w:tcPr>
            <w:tcW w:w="705" w:type="dxa"/>
            <w:tcBorders>
              <w:top w:val="single" w:color="000000" w:sz="4" w:space="0"/>
              <w:left w:val="single" w:color="000000" w:sz="4" w:space="0"/>
              <w:bottom w:val="nil"/>
              <w:right w:val="single" w:color="000000" w:sz="4" w:space="0"/>
            </w:tcBorders>
            <w:shd w:val="clear" w:color="auto" w:fill="auto"/>
            <w:vAlign w:val="center"/>
          </w:tcPr>
          <w:p w14:paraId="26F3FF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690" w:type="dxa"/>
            <w:tcBorders>
              <w:top w:val="single" w:color="000000" w:sz="4" w:space="0"/>
              <w:left w:val="single" w:color="000000" w:sz="4" w:space="0"/>
              <w:bottom w:val="nil"/>
              <w:right w:val="single" w:color="000000" w:sz="4" w:space="0"/>
            </w:tcBorders>
            <w:shd w:val="clear" w:color="auto" w:fill="auto"/>
            <w:vAlign w:val="center"/>
          </w:tcPr>
          <w:p w14:paraId="5F6EE9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735" w:type="dxa"/>
            <w:tcBorders>
              <w:top w:val="single" w:color="000000" w:sz="4" w:space="0"/>
              <w:left w:val="single" w:color="000000" w:sz="4" w:space="0"/>
              <w:bottom w:val="nil"/>
              <w:right w:val="single" w:color="000000" w:sz="4" w:space="0"/>
            </w:tcBorders>
            <w:shd w:val="clear" w:color="auto" w:fill="auto"/>
            <w:vAlign w:val="center"/>
          </w:tcPr>
          <w:p w14:paraId="4D8038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05" w:type="dxa"/>
            <w:tcBorders>
              <w:top w:val="single" w:color="000000" w:sz="4" w:space="0"/>
              <w:left w:val="single" w:color="000000" w:sz="4" w:space="0"/>
              <w:bottom w:val="nil"/>
              <w:right w:val="single" w:color="000000" w:sz="4" w:space="0"/>
            </w:tcBorders>
            <w:shd w:val="clear" w:color="auto" w:fill="auto"/>
            <w:vAlign w:val="center"/>
          </w:tcPr>
          <w:p w14:paraId="21D954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645" w:type="dxa"/>
            <w:tcBorders>
              <w:top w:val="single" w:color="000000" w:sz="4" w:space="0"/>
              <w:left w:val="single" w:color="000000" w:sz="4" w:space="0"/>
              <w:bottom w:val="nil"/>
              <w:right w:val="single" w:color="000000" w:sz="4" w:space="0"/>
            </w:tcBorders>
            <w:shd w:val="clear" w:color="auto" w:fill="auto"/>
            <w:vAlign w:val="center"/>
          </w:tcPr>
          <w:p w14:paraId="66131D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630" w:type="dxa"/>
            <w:tcBorders>
              <w:top w:val="single" w:color="000000" w:sz="4" w:space="0"/>
              <w:left w:val="single" w:color="000000" w:sz="4" w:space="0"/>
              <w:bottom w:val="nil"/>
              <w:right w:val="single" w:color="000000" w:sz="4" w:space="0"/>
            </w:tcBorders>
            <w:shd w:val="clear" w:color="auto" w:fill="auto"/>
            <w:vAlign w:val="center"/>
          </w:tcPr>
          <w:p w14:paraId="7A818785">
            <w:pPr>
              <w:jc w:val="center"/>
              <w:rPr>
                <w:rFonts w:hint="eastAsia" w:ascii="宋体" w:hAnsi="宋体" w:eastAsia="宋体" w:cs="宋体"/>
                <w:i w:val="0"/>
                <w:iCs w:val="0"/>
                <w:color w:val="000000"/>
                <w:sz w:val="18"/>
                <w:szCs w:val="18"/>
                <w:u w:val="none"/>
              </w:rPr>
            </w:pPr>
          </w:p>
        </w:tc>
      </w:tr>
      <w:tr w14:paraId="37E9AE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45" w:type="dxa"/>
            <w:vMerge w:val="continue"/>
            <w:tcBorders>
              <w:top w:val="single" w:color="000000" w:sz="4" w:space="0"/>
              <w:left w:val="single" w:color="000000" w:sz="4" w:space="0"/>
              <w:bottom w:val="nil"/>
              <w:right w:val="single" w:color="000000" w:sz="4" w:space="0"/>
            </w:tcBorders>
            <w:shd w:val="clear" w:color="auto" w:fill="auto"/>
            <w:vAlign w:val="center"/>
          </w:tcPr>
          <w:p w14:paraId="530ADD42">
            <w:pPr>
              <w:jc w:val="center"/>
              <w:rPr>
                <w:rFonts w:hint="eastAsia" w:ascii="宋体" w:hAnsi="宋体" w:eastAsia="宋体" w:cs="宋体"/>
                <w:i w:val="0"/>
                <w:iCs w:val="0"/>
                <w:color w:val="000000"/>
                <w:sz w:val="18"/>
                <w:szCs w:val="18"/>
                <w:u w:val="none"/>
              </w:rPr>
            </w:pPr>
          </w:p>
        </w:tc>
        <w:tc>
          <w:tcPr>
            <w:tcW w:w="645" w:type="dxa"/>
            <w:vMerge w:val="continue"/>
            <w:tcBorders>
              <w:top w:val="single" w:color="000000" w:sz="4" w:space="0"/>
              <w:left w:val="single" w:color="000000" w:sz="4" w:space="0"/>
              <w:bottom w:val="nil"/>
              <w:right w:val="single" w:color="000000" w:sz="4" w:space="0"/>
            </w:tcBorders>
            <w:shd w:val="clear" w:color="auto" w:fill="auto"/>
            <w:vAlign w:val="center"/>
          </w:tcPr>
          <w:p w14:paraId="516FE1EF">
            <w:pPr>
              <w:jc w:val="center"/>
              <w:rPr>
                <w:rFonts w:hint="eastAsia" w:ascii="宋体" w:hAnsi="宋体" w:eastAsia="宋体" w:cs="宋体"/>
                <w:i w:val="0"/>
                <w:iCs w:val="0"/>
                <w:color w:val="000000"/>
                <w:sz w:val="18"/>
                <w:szCs w:val="18"/>
                <w:u w:val="none"/>
              </w:rPr>
            </w:pPr>
          </w:p>
        </w:tc>
        <w:tc>
          <w:tcPr>
            <w:tcW w:w="690" w:type="dxa"/>
            <w:vMerge w:val="continue"/>
            <w:tcBorders>
              <w:top w:val="single" w:color="000000" w:sz="4" w:space="0"/>
              <w:left w:val="single" w:color="000000" w:sz="4" w:space="0"/>
              <w:bottom w:val="nil"/>
              <w:right w:val="single" w:color="000000" w:sz="4" w:space="0"/>
            </w:tcBorders>
            <w:shd w:val="clear" w:color="auto" w:fill="auto"/>
            <w:vAlign w:val="center"/>
          </w:tcPr>
          <w:p w14:paraId="7369AB80">
            <w:pPr>
              <w:jc w:val="center"/>
              <w:rPr>
                <w:rFonts w:hint="eastAsia" w:ascii="宋体" w:hAnsi="宋体" w:eastAsia="宋体" w:cs="宋体"/>
                <w:i w:val="0"/>
                <w:iCs w:val="0"/>
                <w:color w:val="000000"/>
                <w:sz w:val="18"/>
                <w:szCs w:val="18"/>
                <w:u w:val="none"/>
              </w:rPr>
            </w:pPr>
          </w:p>
        </w:tc>
        <w:tc>
          <w:tcPr>
            <w:tcW w:w="825" w:type="dxa"/>
            <w:tcBorders>
              <w:top w:val="single" w:color="000000" w:sz="4" w:space="0"/>
              <w:left w:val="single" w:color="000000" w:sz="4" w:space="0"/>
              <w:bottom w:val="nil"/>
              <w:right w:val="single" w:color="000000" w:sz="4" w:space="0"/>
            </w:tcBorders>
            <w:shd w:val="clear" w:color="auto" w:fill="auto"/>
            <w:vAlign w:val="center"/>
          </w:tcPr>
          <w:p w14:paraId="27B355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绿化面积维护率</w:t>
            </w:r>
          </w:p>
        </w:tc>
        <w:tc>
          <w:tcPr>
            <w:tcW w:w="690" w:type="dxa"/>
            <w:tcBorders>
              <w:top w:val="single" w:color="000000" w:sz="4" w:space="0"/>
              <w:left w:val="single" w:color="000000" w:sz="4" w:space="0"/>
              <w:bottom w:val="nil"/>
              <w:right w:val="single" w:color="000000" w:sz="4" w:space="0"/>
            </w:tcBorders>
            <w:shd w:val="clear" w:color="auto" w:fill="auto"/>
            <w:vAlign w:val="center"/>
          </w:tcPr>
          <w:p w14:paraId="3728F2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645" w:type="dxa"/>
            <w:tcBorders>
              <w:top w:val="single" w:color="000000" w:sz="4" w:space="0"/>
              <w:left w:val="single" w:color="000000" w:sz="4" w:space="0"/>
              <w:bottom w:val="nil"/>
              <w:right w:val="single" w:color="000000" w:sz="4" w:space="0"/>
            </w:tcBorders>
            <w:shd w:val="clear" w:color="auto" w:fill="auto"/>
            <w:vAlign w:val="center"/>
          </w:tcPr>
          <w:p w14:paraId="44A355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等于</w:t>
            </w:r>
          </w:p>
        </w:tc>
        <w:tc>
          <w:tcPr>
            <w:tcW w:w="705" w:type="dxa"/>
            <w:tcBorders>
              <w:top w:val="single" w:color="000000" w:sz="4" w:space="0"/>
              <w:left w:val="single" w:color="000000" w:sz="4" w:space="0"/>
              <w:bottom w:val="nil"/>
              <w:right w:val="single" w:color="000000" w:sz="4" w:space="0"/>
            </w:tcBorders>
            <w:shd w:val="clear" w:color="auto" w:fill="auto"/>
            <w:vAlign w:val="center"/>
          </w:tcPr>
          <w:p w14:paraId="52C875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690" w:type="dxa"/>
            <w:tcBorders>
              <w:top w:val="single" w:color="000000" w:sz="4" w:space="0"/>
              <w:left w:val="single" w:color="000000" w:sz="4" w:space="0"/>
              <w:bottom w:val="nil"/>
              <w:right w:val="single" w:color="000000" w:sz="4" w:space="0"/>
            </w:tcBorders>
            <w:shd w:val="clear" w:color="auto" w:fill="auto"/>
            <w:vAlign w:val="center"/>
          </w:tcPr>
          <w:p w14:paraId="58421A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735" w:type="dxa"/>
            <w:tcBorders>
              <w:top w:val="single" w:color="000000" w:sz="4" w:space="0"/>
              <w:left w:val="single" w:color="000000" w:sz="4" w:space="0"/>
              <w:bottom w:val="nil"/>
              <w:right w:val="single" w:color="000000" w:sz="4" w:space="0"/>
            </w:tcBorders>
            <w:shd w:val="clear" w:color="auto" w:fill="auto"/>
            <w:vAlign w:val="center"/>
          </w:tcPr>
          <w:p w14:paraId="2108D6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05" w:type="dxa"/>
            <w:tcBorders>
              <w:top w:val="single" w:color="000000" w:sz="4" w:space="0"/>
              <w:left w:val="single" w:color="000000" w:sz="4" w:space="0"/>
              <w:bottom w:val="nil"/>
              <w:right w:val="single" w:color="000000" w:sz="4" w:space="0"/>
            </w:tcBorders>
            <w:shd w:val="clear" w:color="auto" w:fill="auto"/>
            <w:vAlign w:val="center"/>
          </w:tcPr>
          <w:p w14:paraId="4777F6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645" w:type="dxa"/>
            <w:tcBorders>
              <w:top w:val="single" w:color="000000" w:sz="4" w:space="0"/>
              <w:left w:val="single" w:color="000000" w:sz="4" w:space="0"/>
              <w:bottom w:val="nil"/>
              <w:right w:val="single" w:color="000000" w:sz="4" w:space="0"/>
            </w:tcBorders>
            <w:shd w:val="clear" w:color="auto" w:fill="auto"/>
            <w:vAlign w:val="center"/>
          </w:tcPr>
          <w:p w14:paraId="65A588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630" w:type="dxa"/>
            <w:tcBorders>
              <w:top w:val="single" w:color="000000" w:sz="4" w:space="0"/>
              <w:left w:val="single" w:color="000000" w:sz="4" w:space="0"/>
              <w:bottom w:val="nil"/>
              <w:right w:val="single" w:color="000000" w:sz="4" w:space="0"/>
            </w:tcBorders>
            <w:shd w:val="clear" w:color="auto" w:fill="auto"/>
            <w:vAlign w:val="center"/>
          </w:tcPr>
          <w:p w14:paraId="38D52F79">
            <w:pPr>
              <w:jc w:val="center"/>
              <w:rPr>
                <w:rFonts w:hint="eastAsia" w:ascii="宋体" w:hAnsi="宋体" w:eastAsia="宋体" w:cs="宋体"/>
                <w:i w:val="0"/>
                <w:iCs w:val="0"/>
                <w:color w:val="000000"/>
                <w:sz w:val="18"/>
                <w:szCs w:val="18"/>
                <w:u w:val="none"/>
              </w:rPr>
            </w:pPr>
          </w:p>
        </w:tc>
      </w:tr>
      <w:tr w14:paraId="50D016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45" w:type="dxa"/>
            <w:vMerge w:val="continue"/>
            <w:tcBorders>
              <w:top w:val="single" w:color="000000" w:sz="4" w:space="0"/>
              <w:left w:val="single" w:color="000000" w:sz="4" w:space="0"/>
              <w:bottom w:val="nil"/>
              <w:right w:val="single" w:color="000000" w:sz="4" w:space="0"/>
            </w:tcBorders>
            <w:shd w:val="clear" w:color="auto" w:fill="auto"/>
            <w:vAlign w:val="center"/>
          </w:tcPr>
          <w:p w14:paraId="1AD069DA">
            <w:pPr>
              <w:jc w:val="center"/>
              <w:rPr>
                <w:rFonts w:hint="eastAsia" w:ascii="宋体" w:hAnsi="宋体" w:eastAsia="宋体" w:cs="宋体"/>
                <w:i w:val="0"/>
                <w:iCs w:val="0"/>
                <w:color w:val="000000"/>
                <w:sz w:val="18"/>
                <w:szCs w:val="18"/>
                <w:u w:val="none"/>
              </w:rPr>
            </w:pPr>
          </w:p>
        </w:tc>
        <w:tc>
          <w:tcPr>
            <w:tcW w:w="645" w:type="dxa"/>
            <w:vMerge w:val="continue"/>
            <w:tcBorders>
              <w:top w:val="single" w:color="000000" w:sz="4" w:space="0"/>
              <w:left w:val="single" w:color="000000" w:sz="4" w:space="0"/>
              <w:bottom w:val="nil"/>
              <w:right w:val="single" w:color="000000" w:sz="4" w:space="0"/>
            </w:tcBorders>
            <w:shd w:val="clear" w:color="auto" w:fill="auto"/>
            <w:vAlign w:val="center"/>
          </w:tcPr>
          <w:p w14:paraId="01FF272B">
            <w:pPr>
              <w:jc w:val="center"/>
              <w:rPr>
                <w:rFonts w:hint="eastAsia" w:ascii="宋体" w:hAnsi="宋体" w:eastAsia="宋体" w:cs="宋体"/>
                <w:i w:val="0"/>
                <w:iCs w:val="0"/>
                <w:color w:val="000000"/>
                <w:sz w:val="18"/>
                <w:szCs w:val="18"/>
                <w:u w:val="none"/>
              </w:rPr>
            </w:pPr>
          </w:p>
        </w:tc>
        <w:tc>
          <w:tcPr>
            <w:tcW w:w="690" w:type="dxa"/>
            <w:vMerge w:val="restart"/>
            <w:tcBorders>
              <w:top w:val="single" w:color="000000" w:sz="4" w:space="0"/>
              <w:left w:val="single" w:color="000000" w:sz="4" w:space="0"/>
              <w:bottom w:val="nil"/>
              <w:right w:val="single" w:color="000000" w:sz="4" w:space="0"/>
            </w:tcBorders>
            <w:shd w:val="clear" w:color="auto" w:fill="auto"/>
            <w:vAlign w:val="center"/>
          </w:tcPr>
          <w:p w14:paraId="02902D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3FC55B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公共区域清扫及时率</w:t>
            </w:r>
          </w:p>
        </w:tc>
        <w:tc>
          <w:tcPr>
            <w:tcW w:w="690" w:type="dxa"/>
            <w:tcBorders>
              <w:top w:val="single" w:color="000000" w:sz="4" w:space="0"/>
              <w:left w:val="single" w:color="000000" w:sz="4" w:space="0"/>
              <w:bottom w:val="nil"/>
              <w:right w:val="single" w:color="000000" w:sz="4" w:space="0"/>
            </w:tcBorders>
            <w:shd w:val="clear" w:color="auto" w:fill="auto"/>
            <w:vAlign w:val="center"/>
          </w:tcPr>
          <w:p w14:paraId="15DE81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645" w:type="dxa"/>
            <w:tcBorders>
              <w:top w:val="single" w:color="000000" w:sz="4" w:space="0"/>
              <w:left w:val="single" w:color="000000" w:sz="4" w:space="0"/>
              <w:bottom w:val="nil"/>
              <w:right w:val="single" w:color="000000" w:sz="4" w:space="0"/>
            </w:tcBorders>
            <w:shd w:val="clear" w:color="auto" w:fill="auto"/>
            <w:vAlign w:val="center"/>
          </w:tcPr>
          <w:p w14:paraId="1DBE3F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等于</w:t>
            </w:r>
          </w:p>
        </w:tc>
        <w:tc>
          <w:tcPr>
            <w:tcW w:w="705" w:type="dxa"/>
            <w:tcBorders>
              <w:top w:val="single" w:color="000000" w:sz="4" w:space="0"/>
              <w:left w:val="single" w:color="000000" w:sz="4" w:space="0"/>
              <w:bottom w:val="nil"/>
              <w:right w:val="single" w:color="000000" w:sz="4" w:space="0"/>
            </w:tcBorders>
            <w:shd w:val="clear" w:color="auto" w:fill="auto"/>
            <w:vAlign w:val="center"/>
          </w:tcPr>
          <w:p w14:paraId="386D8F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690" w:type="dxa"/>
            <w:tcBorders>
              <w:top w:val="single" w:color="000000" w:sz="4" w:space="0"/>
              <w:left w:val="single" w:color="000000" w:sz="4" w:space="0"/>
              <w:bottom w:val="nil"/>
              <w:right w:val="single" w:color="000000" w:sz="4" w:space="0"/>
            </w:tcBorders>
            <w:shd w:val="clear" w:color="auto" w:fill="auto"/>
            <w:vAlign w:val="center"/>
          </w:tcPr>
          <w:p w14:paraId="2F4234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735" w:type="dxa"/>
            <w:tcBorders>
              <w:top w:val="single" w:color="000000" w:sz="4" w:space="0"/>
              <w:left w:val="single" w:color="000000" w:sz="4" w:space="0"/>
              <w:bottom w:val="nil"/>
              <w:right w:val="single" w:color="000000" w:sz="4" w:space="0"/>
            </w:tcBorders>
            <w:shd w:val="clear" w:color="auto" w:fill="auto"/>
            <w:vAlign w:val="center"/>
          </w:tcPr>
          <w:p w14:paraId="1AF8B1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05" w:type="dxa"/>
            <w:tcBorders>
              <w:top w:val="single" w:color="000000" w:sz="4" w:space="0"/>
              <w:left w:val="single" w:color="000000" w:sz="4" w:space="0"/>
              <w:bottom w:val="nil"/>
              <w:right w:val="single" w:color="000000" w:sz="4" w:space="0"/>
            </w:tcBorders>
            <w:shd w:val="clear" w:color="auto" w:fill="auto"/>
            <w:vAlign w:val="center"/>
          </w:tcPr>
          <w:p w14:paraId="62C495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645" w:type="dxa"/>
            <w:tcBorders>
              <w:top w:val="single" w:color="000000" w:sz="4" w:space="0"/>
              <w:left w:val="single" w:color="000000" w:sz="4" w:space="0"/>
              <w:bottom w:val="nil"/>
              <w:right w:val="single" w:color="000000" w:sz="4" w:space="0"/>
            </w:tcBorders>
            <w:shd w:val="clear" w:color="auto" w:fill="auto"/>
            <w:vAlign w:val="center"/>
          </w:tcPr>
          <w:p w14:paraId="506FC5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630" w:type="dxa"/>
            <w:tcBorders>
              <w:top w:val="single" w:color="000000" w:sz="4" w:space="0"/>
              <w:left w:val="single" w:color="000000" w:sz="4" w:space="0"/>
              <w:bottom w:val="nil"/>
              <w:right w:val="single" w:color="000000" w:sz="4" w:space="0"/>
            </w:tcBorders>
            <w:shd w:val="clear" w:color="auto" w:fill="auto"/>
            <w:vAlign w:val="center"/>
          </w:tcPr>
          <w:p w14:paraId="0FE77141">
            <w:pPr>
              <w:jc w:val="center"/>
              <w:rPr>
                <w:rFonts w:hint="eastAsia" w:ascii="宋体" w:hAnsi="宋体" w:eastAsia="宋体" w:cs="宋体"/>
                <w:i w:val="0"/>
                <w:iCs w:val="0"/>
                <w:color w:val="000000"/>
                <w:sz w:val="18"/>
                <w:szCs w:val="18"/>
                <w:u w:val="none"/>
              </w:rPr>
            </w:pPr>
          </w:p>
        </w:tc>
      </w:tr>
      <w:tr w14:paraId="210DF0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45" w:type="dxa"/>
            <w:vMerge w:val="continue"/>
            <w:tcBorders>
              <w:top w:val="single" w:color="000000" w:sz="4" w:space="0"/>
              <w:left w:val="single" w:color="000000" w:sz="4" w:space="0"/>
              <w:bottom w:val="nil"/>
              <w:right w:val="single" w:color="000000" w:sz="4" w:space="0"/>
            </w:tcBorders>
            <w:shd w:val="clear" w:color="auto" w:fill="auto"/>
            <w:vAlign w:val="center"/>
          </w:tcPr>
          <w:p w14:paraId="14CA0B5C">
            <w:pPr>
              <w:jc w:val="center"/>
              <w:rPr>
                <w:rFonts w:hint="eastAsia" w:ascii="宋体" w:hAnsi="宋体" w:eastAsia="宋体" w:cs="宋体"/>
                <w:i w:val="0"/>
                <w:iCs w:val="0"/>
                <w:color w:val="000000"/>
                <w:sz w:val="18"/>
                <w:szCs w:val="18"/>
                <w:u w:val="none"/>
              </w:rPr>
            </w:pPr>
          </w:p>
        </w:tc>
        <w:tc>
          <w:tcPr>
            <w:tcW w:w="645" w:type="dxa"/>
            <w:vMerge w:val="continue"/>
            <w:tcBorders>
              <w:top w:val="single" w:color="000000" w:sz="4" w:space="0"/>
              <w:left w:val="single" w:color="000000" w:sz="4" w:space="0"/>
              <w:bottom w:val="nil"/>
              <w:right w:val="single" w:color="000000" w:sz="4" w:space="0"/>
            </w:tcBorders>
            <w:shd w:val="clear" w:color="auto" w:fill="auto"/>
            <w:vAlign w:val="center"/>
          </w:tcPr>
          <w:p w14:paraId="0F9BAC05">
            <w:pPr>
              <w:jc w:val="center"/>
              <w:rPr>
                <w:rFonts w:hint="eastAsia" w:ascii="宋体" w:hAnsi="宋体" w:eastAsia="宋体" w:cs="宋体"/>
                <w:i w:val="0"/>
                <w:iCs w:val="0"/>
                <w:color w:val="000000"/>
                <w:sz w:val="18"/>
                <w:szCs w:val="18"/>
                <w:u w:val="none"/>
              </w:rPr>
            </w:pPr>
          </w:p>
        </w:tc>
        <w:tc>
          <w:tcPr>
            <w:tcW w:w="690" w:type="dxa"/>
            <w:vMerge w:val="continue"/>
            <w:tcBorders>
              <w:top w:val="single" w:color="000000" w:sz="4" w:space="0"/>
              <w:left w:val="single" w:color="000000" w:sz="4" w:space="0"/>
              <w:bottom w:val="nil"/>
              <w:right w:val="single" w:color="000000" w:sz="4" w:space="0"/>
            </w:tcBorders>
            <w:shd w:val="clear" w:color="auto" w:fill="auto"/>
            <w:vAlign w:val="center"/>
          </w:tcPr>
          <w:p w14:paraId="3EA1526D">
            <w:pPr>
              <w:jc w:val="center"/>
              <w:rPr>
                <w:rFonts w:hint="eastAsia" w:ascii="宋体" w:hAnsi="宋体" w:eastAsia="宋体" w:cs="宋体"/>
                <w:i w:val="0"/>
                <w:iCs w:val="0"/>
                <w:color w:val="000000"/>
                <w:sz w:val="18"/>
                <w:szCs w:val="18"/>
                <w:u w:val="none"/>
              </w:rPr>
            </w:pPr>
          </w:p>
        </w:tc>
        <w:tc>
          <w:tcPr>
            <w:tcW w:w="825" w:type="dxa"/>
            <w:tcBorders>
              <w:top w:val="single" w:color="000000" w:sz="4" w:space="0"/>
              <w:left w:val="single" w:color="000000" w:sz="4" w:space="0"/>
              <w:bottom w:val="nil"/>
              <w:right w:val="single" w:color="000000" w:sz="4" w:space="0"/>
            </w:tcBorders>
            <w:shd w:val="clear" w:color="auto" w:fill="auto"/>
            <w:vAlign w:val="center"/>
          </w:tcPr>
          <w:p w14:paraId="6F5139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每日安保时长</w:t>
            </w:r>
          </w:p>
        </w:tc>
        <w:tc>
          <w:tcPr>
            <w:tcW w:w="690" w:type="dxa"/>
            <w:tcBorders>
              <w:top w:val="single" w:color="000000" w:sz="4" w:space="0"/>
              <w:left w:val="single" w:color="000000" w:sz="4" w:space="0"/>
              <w:bottom w:val="nil"/>
              <w:right w:val="single" w:color="000000" w:sz="4" w:space="0"/>
            </w:tcBorders>
            <w:shd w:val="clear" w:color="auto" w:fill="auto"/>
            <w:vAlign w:val="center"/>
          </w:tcPr>
          <w:p w14:paraId="6BD10C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645" w:type="dxa"/>
            <w:tcBorders>
              <w:top w:val="single" w:color="000000" w:sz="4" w:space="0"/>
              <w:left w:val="single" w:color="000000" w:sz="4" w:space="0"/>
              <w:bottom w:val="nil"/>
              <w:right w:val="single" w:color="000000" w:sz="4" w:space="0"/>
            </w:tcBorders>
            <w:shd w:val="clear" w:color="auto" w:fill="auto"/>
            <w:vAlign w:val="center"/>
          </w:tcPr>
          <w:p w14:paraId="1FF87C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等于</w:t>
            </w:r>
          </w:p>
        </w:tc>
        <w:tc>
          <w:tcPr>
            <w:tcW w:w="705" w:type="dxa"/>
            <w:tcBorders>
              <w:top w:val="single" w:color="000000" w:sz="4" w:space="0"/>
              <w:left w:val="single" w:color="000000" w:sz="4" w:space="0"/>
              <w:bottom w:val="nil"/>
              <w:right w:val="single" w:color="000000" w:sz="4" w:space="0"/>
            </w:tcBorders>
            <w:shd w:val="clear" w:color="auto" w:fill="auto"/>
            <w:vAlign w:val="center"/>
          </w:tcPr>
          <w:p w14:paraId="1E27FE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690" w:type="dxa"/>
            <w:tcBorders>
              <w:top w:val="single" w:color="000000" w:sz="4" w:space="0"/>
              <w:left w:val="single" w:color="000000" w:sz="4" w:space="0"/>
              <w:bottom w:val="nil"/>
              <w:right w:val="single" w:color="000000" w:sz="4" w:space="0"/>
            </w:tcBorders>
            <w:shd w:val="clear" w:color="auto" w:fill="auto"/>
            <w:vAlign w:val="center"/>
          </w:tcPr>
          <w:p w14:paraId="2FB737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735" w:type="dxa"/>
            <w:tcBorders>
              <w:top w:val="single" w:color="000000" w:sz="4" w:space="0"/>
              <w:left w:val="single" w:color="000000" w:sz="4" w:space="0"/>
              <w:bottom w:val="nil"/>
              <w:right w:val="single" w:color="000000" w:sz="4" w:space="0"/>
            </w:tcBorders>
            <w:shd w:val="clear" w:color="auto" w:fill="auto"/>
            <w:vAlign w:val="center"/>
          </w:tcPr>
          <w:p w14:paraId="32DA96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小时</w:t>
            </w:r>
          </w:p>
        </w:tc>
        <w:tc>
          <w:tcPr>
            <w:tcW w:w="705" w:type="dxa"/>
            <w:tcBorders>
              <w:top w:val="single" w:color="000000" w:sz="4" w:space="0"/>
              <w:left w:val="single" w:color="000000" w:sz="4" w:space="0"/>
              <w:bottom w:val="nil"/>
              <w:right w:val="single" w:color="000000" w:sz="4" w:space="0"/>
            </w:tcBorders>
            <w:shd w:val="clear" w:color="auto" w:fill="auto"/>
            <w:vAlign w:val="center"/>
          </w:tcPr>
          <w:p w14:paraId="3E6778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645" w:type="dxa"/>
            <w:tcBorders>
              <w:top w:val="single" w:color="000000" w:sz="4" w:space="0"/>
              <w:left w:val="single" w:color="000000" w:sz="4" w:space="0"/>
              <w:bottom w:val="nil"/>
              <w:right w:val="single" w:color="000000" w:sz="4" w:space="0"/>
            </w:tcBorders>
            <w:shd w:val="clear" w:color="auto" w:fill="auto"/>
            <w:vAlign w:val="center"/>
          </w:tcPr>
          <w:p w14:paraId="19099C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630" w:type="dxa"/>
            <w:tcBorders>
              <w:top w:val="single" w:color="000000" w:sz="4" w:space="0"/>
              <w:left w:val="single" w:color="000000" w:sz="4" w:space="0"/>
              <w:bottom w:val="nil"/>
              <w:right w:val="single" w:color="000000" w:sz="4" w:space="0"/>
            </w:tcBorders>
            <w:shd w:val="clear" w:color="auto" w:fill="auto"/>
            <w:vAlign w:val="center"/>
          </w:tcPr>
          <w:p w14:paraId="2D97A70D">
            <w:pPr>
              <w:jc w:val="center"/>
              <w:rPr>
                <w:rFonts w:hint="eastAsia" w:ascii="宋体" w:hAnsi="宋体" w:eastAsia="宋体" w:cs="宋体"/>
                <w:i w:val="0"/>
                <w:iCs w:val="0"/>
                <w:color w:val="000000"/>
                <w:sz w:val="18"/>
                <w:szCs w:val="18"/>
                <w:u w:val="none"/>
              </w:rPr>
            </w:pPr>
          </w:p>
        </w:tc>
      </w:tr>
      <w:tr w14:paraId="41314B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45" w:type="dxa"/>
            <w:vMerge w:val="continue"/>
            <w:tcBorders>
              <w:top w:val="single" w:color="000000" w:sz="4" w:space="0"/>
              <w:left w:val="single" w:color="000000" w:sz="4" w:space="0"/>
              <w:bottom w:val="nil"/>
              <w:right w:val="single" w:color="000000" w:sz="4" w:space="0"/>
            </w:tcBorders>
            <w:shd w:val="clear" w:color="auto" w:fill="auto"/>
            <w:vAlign w:val="center"/>
          </w:tcPr>
          <w:p w14:paraId="4DA5E0E0">
            <w:pPr>
              <w:jc w:val="center"/>
              <w:rPr>
                <w:rFonts w:hint="eastAsia" w:ascii="宋体" w:hAnsi="宋体" w:eastAsia="宋体" w:cs="宋体"/>
                <w:i w:val="0"/>
                <w:iCs w:val="0"/>
                <w:color w:val="000000"/>
                <w:sz w:val="18"/>
                <w:szCs w:val="18"/>
                <w:u w:val="none"/>
              </w:rPr>
            </w:pPr>
          </w:p>
        </w:tc>
        <w:tc>
          <w:tcPr>
            <w:tcW w:w="645" w:type="dxa"/>
            <w:vMerge w:val="continue"/>
            <w:tcBorders>
              <w:top w:val="single" w:color="000000" w:sz="4" w:space="0"/>
              <w:left w:val="single" w:color="000000" w:sz="4" w:space="0"/>
              <w:bottom w:val="nil"/>
              <w:right w:val="single" w:color="000000" w:sz="4" w:space="0"/>
            </w:tcBorders>
            <w:shd w:val="clear" w:color="auto" w:fill="auto"/>
            <w:vAlign w:val="center"/>
          </w:tcPr>
          <w:p w14:paraId="13ABAACA">
            <w:pPr>
              <w:jc w:val="center"/>
              <w:rPr>
                <w:rFonts w:hint="eastAsia" w:ascii="宋体" w:hAnsi="宋体" w:eastAsia="宋体" w:cs="宋体"/>
                <w:i w:val="0"/>
                <w:iCs w:val="0"/>
                <w:color w:val="000000"/>
                <w:sz w:val="18"/>
                <w:szCs w:val="18"/>
                <w:u w:val="none"/>
              </w:rPr>
            </w:pPr>
          </w:p>
        </w:tc>
        <w:tc>
          <w:tcPr>
            <w:tcW w:w="690" w:type="dxa"/>
            <w:vMerge w:val="restart"/>
            <w:tcBorders>
              <w:top w:val="single" w:color="000000" w:sz="4" w:space="0"/>
              <w:left w:val="single" w:color="000000" w:sz="4" w:space="0"/>
              <w:bottom w:val="nil"/>
              <w:right w:val="single" w:color="000000" w:sz="4" w:space="0"/>
            </w:tcBorders>
            <w:shd w:val="clear" w:color="auto" w:fill="auto"/>
            <w:vAlign w:val="center"/>
          </w:tcPr>
          <w:p w14:paraId="79CBC5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4B6F73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安保保洁人员平均工资</w:t>
            </w:r>
          </w:p>
        </w:tc>
        <w:tc>
          <w:tcPr>
            <w:tcW w:w="690" w:type="dxa"/>
            <w:tcBorders>
              <w:top w:val="single" w:color="000000" w:sz="4" w:space="0"/>
              <w:left w:val="single" w:color="000000" w:sz="4" w:space="0"/>
              <w:bottom w:val="nil"/>
              <w:right w:val="single" w:color="000000" w:sz="4" w:space="0"/>
            </w:tcBorders>
            <w:shd w:val="clear" w:color="auto" w:fill="auto"/>
            <w:vAlign w:val="center"/>
          </w:tcPr>
          <w:p w14:paraId="0A53CB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w:t>
            </w:r>
          </w:p>
        </w:tc>
        <w:tc>
          <w:tcPr>
            <w:tcW w:w="645" w:type="dxa"/>
            <w:tcBorders>
              <w:top w:val="single" w:color="000000" w:sz="4" w:space="0"/>
              <w:left w:val="single" w:color="000000" w:sz="4" w:space="0"/>
              <w:bottom w:val="nil"/>
              <w:right w:val="single" w:color="000000" w:sz="4" w:space="0"/>
            </w:tcBorders>
            <w:shd w:val="clear" w:color="auto" w:fill="auto"/>
            <w:vAlign w:val="center"/>
          </w:tcPr>
          <w:p w14:paraId="614AE0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小于等于</w:t>
            </w:r>
          </w:p>
        </w:tc>
        <w:tc>
          <w:tcPr>
            <w:tcW w:w="705" w:type="dxa"/>
            <w:tcBorders>
              <w:top w:val="single" w:color="000000" w:sz="4" w:space="0"/>
              <w:left w:val="single" w:color="000000" w:sz="4" w:space="0"/>
              <w:bottom w:val="nil"/>
              <w:right w:val="single" w:color="000000" w:sz="4" w:space="0"/>
            </w:tcBorders>
            <w:shd w:val="clear" w:color="auto" w:fill="auto"/>
            <w:vAlign w:val="center"/>
          </w:tcPr>
          <w:p w14:paraId="4A940F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3000</w:t>
            </w:r>
          </w:p>
        </w:tc>
        <w:tc>
          <w:tcPr>
            <w:tcW w:w="690" w:type="dxa"/>
            <w:tcBorders>
              <w:top w:val="single" w:color="000000" w:sz="4" w:space="0"/>
              <w:left w:val="single" w:color="000000" w:sz="4" w:space="0"/>
              <w:bottom w:val="nil"/>
              <w:right w:val="single" w:color="000000" w:sz="4" w:space="0"/>
            </w:tcBorders>
            <w:shd w:val="clear" w:color="auto" w:fill="auto"/>
            <w:vAlign w:val="center"/>
          </w:tcPr>
          <w:p w14:paraId="28D73B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3000</w:t>
            </w:r>
          </w:p>
        </w:tc>
        <w:tc>
          <w:tcPr>
            <w:tcW w:w="735" w:type="dxa"/>
            <w:tcBorders>
              <w:top w:val="single" w:color="000000" w:sz="4" w:space="0"/>
              <w:left w:val="single" w:color="000000" w:sz="4" w:space="0"/>
              <w:bottom w:val="nil"/>
              <w:right w:val="single" w:color="000000" w:sz="4" w:space="0"/>
            </w:tcBorders>
            <w:shd w:val="clear" w:color="auto" w:fill="auto"/>
            <w:vAlign w:val="center"/>
          </w:tcPr>
          <w:p w14:paraId="321342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元</w:t>
            </w:r>
          </w:p>
        </w:tc>
        <w:tc>
          <w:tcPr>
            <w:tcW w:w="705" w:type="dxa"/>
            <w:tcBorders>
              <w:top w:val="single" w:color="000000" w:sz="4" w:space="0"/>
              <w:left w:val="single" w:color="000000" w:sz="4" w:space="0"/>
              <w:bottom w:val="nil"/>
              <w:right w:val="single" w:color="000000" w:sz="4" w:space="0"/>
            </w:tcBorders>
            <w:shd w:val="clear" w:color="auto" w:fill="auto"/>
            <w:vAlign w:val="center"/>
          </w:tcPr>
          <w:p w14:paraId="0D76B1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645" w:type="dxa"/>
            <w:tcBorders>
              <w:top w:val="single" w:color="000000" w:sz="4" w:space="0"/>
              <w:left w:val="single" w:color="000000" w:sz="4" w:space="0"/>
              <w:bottom w:val="nil"/>
              <w:right w:val="single" w:color="000000" w:sz="4" w:space="0"/>
            </w:tcBorders>
            <w:shd w:val="clear" w:color="auto" w:fill="auto"/>
            <w:vAlign w:val="center"/>
          </w:tcPr>
          <w:p w14:paraId="1EE59F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630" w:type="dxa"/>
            <w:tcBorders>
              <w:top w:val="single" w:color="000000" w:sz="4" w:space="0"/>
              <w:left w:val="single" w:color="000000" w:sz="4" w:space="0"/>
              <w:bottom w:val="nil"/>
              <w:right w:val="single" w:color="000000" w:sz="4" w:space="0"/>
            </w:tcBorders>
            <w:shd w:val="clear" w:color="auto" w:fill="auto"/>
            <w:vAlign w:val="center"/>
          </w:tcPr>
          <w:p w14:paraId="64B24262">
            <w:pPr>
              <w:jc w:val="center"/>
              <w:rPr>
                <w:rFonts w:hint="eastAsia" w:ascii="宋体" w:hAnsi="宋体" w:eastAsia="宋体" w:cs="宋体"/>
                <w:i w:val="0"/>
                <w:iCs w:val="0"/>
                <w:color w:val="000000"/>
                <w:sz w:val="18"/>
                <w:szCs w:val="18"/>
                <w:u w:val="none"/>
              </w:rPr>
            </w:pPr>
          </w:p>
        </w:tc>
      </w:tr>
      <w:tr w14:paraId="6743A8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45" w:type="dxa"/>
            <w:vMerge w:val="continue"/>
            <w:tcBorders>
              <w:top w:val="single" w:color="000000" w:sz="4" w:space="0"/>
              <w:left w:val="single" w:color="000000" w:sz="4" w:space="0"/>
              <w:bottom w:val="nil"/>
              <w:right w:val="single" w:color="000000" w:sz="4" w:space="0"/>
            </w:tcBorders>
            <w:shd w:val="clear" w:color="auto" w:fill="auto"/>
            <w:vAlign w:val="center"/>
          </w:tcPr>
          <w:p w14:paraId="1E1E35D2">
            <w:pPr>
              <w:jc w:val="center"/>
              <w:rPr>
                <w:rFonts w:hint="eastAsia" w:ascii="宋体" w:hAnsi="宋体" w:eastAsia="宋体" w:cs="宋体"/>
                <w:i w:val="0"/>
                <w:iCs w:val="0"/>
                <w:color w:val="000000"/>
                <w:sz w:val="18"/>
                <w:szCs w:val="18"/>
                <w:u w:val="none"/>
              </w:rPr>
            </w:pPr>
          </w:p>
        </w:tc>
        <w:tc>
          <w:tcPr>
            <w:tcW w:w="645" w:type="dxa"/>
            <w:vMerge w:val="continue"/>
            <w:tcBorders>
              <w:top w:val="single" w:color="000000" w:sz="4" w:space="0"/>
              <w:left w:val="single" w:color="000000" w:sz="4" w:space="0"/>
              <w:bottom w:val="nil"/>
              <w:right w:val="single" w:color="000000" w:sz="4" w:space="0"/>
            </w:tcBorders>
            <w:shd w:val="clear" w:color="auto" w:fill="auto"/>
            <w:vAlign w:val="center"/>
          </w:tcPr>
          <w:p w14:paraId="54E97F9E">
            <w:pPr>
              <w:jc w:val="center"/>
              <w:rPr>
                <w:rFonts w:hint="eastAsia" w:ascii="宋体" w:hAnsi="宋体" w:eastAsia="宋体" w:cs="宋体"/>
                <w:i w:val="0"/>
                <w:iCs w:val="0"/>
                <w:color w:val="000000"/>
                <w:sz w:val="18"/>
                <w:szCs w:val="18"/>
                <w:u w:val="none"/>
              </w:rPr>
            </w:pPr>
          </w:p>
        </w:tc>
        <w:tc>
          <w:tcPr>
            <w:tcW w:w="690" w:type="dxa"/>
            <w:vMerge w:val="continue"/>
            <w:tcBorders>
              <w:top w:val="single" w:color="000000" w:sz="4" w:space="0"/>
              <w:left w:val="single" w:color="000000" w:sz="4" w:space="0"/>
              <w:bottom w:val="nil"/>
              <w:right w:val="single" w:color="000000" w:sz="4" w:space="0"/>
            </w:tcBorders>
            <w:shd w:val="clear" w:color="auto" w:fill="auto"/>
            <w:vAlign w:val="center"/>
          </w:tcPr>
          <w:p w14:paraId="1CE23C33">
            <w:pPr>
              <w:jc w:val="center"/>
              <w:rPr>
                <w:rFonts w:hint="eastAsia" w:ascii="宋体" w:hAnsi="宋体" w:eastAsia="宋体" w:cs="宋体"/>
                <w:i w:val="0"/>
                <w:iCs w:val="0"/>
                <w:color w:val="000000"/>
                <w:sz w:val="18"/>
                <w:szCs w:val="18"/>
                <w:u w:val="none"/>
              </w:rPr>
            </w:pPr>
          </w:p>
        </w:tc>
        <w:tc>
          <w:tcPr>
            <w:tcW w:w="825" w:type="dxa"/>
            <w:tcBorders>
              <w:top w:val="single" w:color="000000" w:sz="4" w:space="0"/>
              <w:left w:val="single" w:color="000000" w:sz="4" w:space="0"/>
              <w:bottom w:val="nil"/>
              <w:right w:val="single" w:color="000000" w:sz="4" w:space="0"/>
            </w:tcBorders>
            <w:shd w:val="clear" w:color="auto" w:fill="auto"/>
            <w:vAlign w:val="center"/>
          </w:tcPr>
          <w:p w14:paraId="0E202D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物业服务单价成本</w:t>
            </w:r>
          </w:p>
        </w:tc>
        <w:tc>
          <w:tcPr>
            <w:tcW w:w="690" w:type="dxa"/>
            <w:tcBorders>
              <w:top w:val="single" w:color="000000" w:sz="4" w:space="0"/>
              <w:left w:val="single" w:color="000000" w:sz="4" w:space="0"/>
              <w:bottom w:val="nil"/>
              <w:right w:val="single" w:color="000000" w:sz="4" w:space="0"/>
            </w:tcBorders>
            <w:shd w:val="clear" w:color="auto" w:fill="auto"/>
            <w:vAlign w:val="center"/>
          </w:tcPr>
          <w:p w14:paraId="01F04A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w:t>
            </w:r>
          </w:p>
        </w:tc>
        <w:tc>
          <w:tcPr>
            <w:tcW w:w="645" w:type="dxa"/>
            <w:tcBorders>
              <w:top w:val="single" w:color="000000" w:sz="4" w:space="0"/>
              <w:left w:val="single" w:color="000000" w:sz="4" w:space="0"/>
              <w:bottom w:val="nil"/>
              <w:right w:val="single" w:color="000000" w:sz="4" w:space="0"/>
            </w:tcBorders>
            <w:shd w:val="clear" w:color="auto" w:fill="auto"/>
            <w:vAlign w:val="center"/>
          </w:tcPr>
          <w:p w14:paraId="6A8C10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小于等于</w:t>
            </w:r>
          </w:p>
        </w:tc>
        <w:tc>
          <w:tcPr>
            <w:tcW w:w="705" w:type="dxa"/>
            <w:tcBorders>
              <w:top w:val="single" w:color="000000" w:sz="4" w:space="0"/>
              <w:left w:val="single" w:color="000000" w:sz="4" w:space="0"/>
              <w:bottom w:val="nil"/>
              <w:right w:val="single" w:color="000000" w:sz="4" w:space="0"/>
            </w:tcBorders>
            <w:shd w:val="clear" w:color="auto" w:fill="auto"/>
            <w:vAlign w:val="center"/>
          </w:tcPr>
          <w:p w14:paraId="01D562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5.85</w:t>
            </w:r>
          </w:p>
        </w:tc>
        <w:tc>
          <w:tcPr>
            <w:tcW w:w="690" w:type="dxa"/>
            <w:tcBorders>
              <w:top w:val="single" w:color="000000" w:sz="4" w:space="0"/>
              <w:left w:val="single" w:color="000000" w:sz="4" w:space="0"/>
              <w:bottom w:val="nil"/>
              <w:right w:val="single" w:color="000000" w:sz="4" w:space="0"/>
            </w:tcBorders>
            <w:shd w:val="clear" w:color="auto" w:fill="auto"/>
            <w:vAlign w:val="center"/>
          </w:tcPr>
          <w:p w14:paraId="47040E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5.85</w:t>
            </w:r>
          </w:p>
        </w:tc>
        <w:tc>
          <w:tcPr>
            <w:tcW w:w="735" w:type="dxa"/>
            <w:tcBorders>
              <w:top w:val="single" w:color="000000" w:sz="4" w:space="0"/>
              <w:left w:val="single" w:color="000000" w:sz="4" w:space="0"/>
              <w:bottom w:val="nil"/>
              <w:right w:val="single" w:color="000000" w:sz="4" w:space="0"/>
            </w:tcBorders>
            <w:shd w:val="clear" w:color="auto" w:fill="auto"/>
            <w:vAlign w:val="center"/>
          </w:tcPr>
          <w:p w14:paraId="38462B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元/平米*月</w:t>
            </w:r>
          </w:p>
        </w:tc>
        <w:tc>
          <w:tcPr>
            <w:tcW w:w="705" w:type="dxa"/>
            <w:tcBorders>
              <w:top w:val="single" w:color="000000" w:sz="4" w:space="0"/>
              <w:left w:val="single" w:color="000000" w:sz="4" w:space="0"/>
              <w:bottom w:val="nil"/>
              <w:right w:val="single" w:color="000000" w:sz="4" w:space="0"/>
            </w:tcBorders>
            <w:shd w:val="clear" w:color="auto" w:fill="auto"/>
            <w:vAlign w:val="center"/>
          </w:tcPr>
          <w:p w14:paraId="511AC3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645" w:type="dxa"/>
            <w:tcBorders>
              <w:top w:val="single" w:color="000000" w:sz="4" w:space="0"/>
              <w:left w:val="single" w:color="000000" w:sz="4" w:space="0"/>
              <w:bottom w:val="nil"/>
              <w:right w:val="single" w:color="000000" w:sz="4" w:space="0"/>
            </w:tcBorders>
            <w:shd w:val="clear" w:color="auto" w:fill="auto"/>
            <w:vAlign w:val="center"/>
          </w:tcPr>
          <w:p w14:paraId="55E055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630" w:type="dxa"/>
            <w:tcBorders>
              <w:top w:val="single" w:color="000000" w:sz="4" w:space="0"/>
              <w:left w:val="single" w:color="000000" w:sz="4" w:space="0"/>
              <w:bottom w:val="nil"/>
              <w:right w:val="single" w:color="000000" w:sz="4" w:space="0"/>
            </w:tcBorders>
            <w:shd w:val="clear" w:color="auto" w:fill="auto"/>
            <w:vAlign w:val="center"/>
          </w:tcPr>
          <w:p w14:paraId="19F62618">
            <w:pPr>
              <w:jc w:val="center"/>
              <w:rPr>
                <w:rFonts w:hint="eastAsia" w:ascii="宋体" w:hAnsi="宋体" w:eastAsia="宋体" w:cs="宋体"/>
                <w:i w:val="0"/>
                <w:iCs w:val="0"/>
                <w:color w:val="000000"/>
                <w:sz w:val="18"/>
                <w:szCs w:val="18"/>
                <w:u w:val="none"/>
              </w:rPr>
            </w:pPr>
          </w:p>
        </w:tc>
      </w:tr>
      <w:tr w14:paraId="05456C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645" w:type="dxa"/>
            <w:vMerge w:val="continue"/>
            <w:tcBorders>
              <w:top w:val="single" w:color="000000" w:sz="4" w:space="0"/>
              <w:left w:val="single" w:color="000000" w:sz="4" w:space="0"/>
              <w:bottom w:val="nil"/>
              <w:right w:val="single" w:color="000000" w:sz="4" w:space="0"/>
            </w:tcBorders>
            <w:shd w:val="clear" w:color="auto" w:fill="auto"/>
            <w:vAlign w:val="center"/>
          </w:tcPr>
          <w:p w14:paraId="2E450714">
            <w:pPr>
              <w:jc w:val="center"/>
              <w:rPr>
                <w:rFonts w:hint="eastAsia" w:ascii="宋体" w:hAnsi="宋体" w:eastAsia="宋体" w:cs="宋体"/>
                <w:i w:val="0"/>
                <w:iCs w:val="0"/>
                <w:color w:val="000000"/>
                <w:sz w:val="18"/>
                <w:szCs w:val="18"/>
                <w:u w:val="none"/>
              </w:rPr>
            </w:pPr>
          </w:p>
        </w:tc>
        <w:tc>
          <w:tcPr>
            <w:tcW w:w="645" w:type="dxa"/>
            <w:vMerge w:val="restart"/>
            <w:tcBorders>
              <w:top w:val="single" w:color="000000" w:sz="4" w:space="0"/>
              <w:left w:val="single" w:color="000000" w:sz="4" w:space="0"/>
              <w:bottom w:val="nil"/>
              <w:right w:val="single" w:color="000000" w:sz="4" w:space="0"/>
            </w:tcBorders>
            <w:shd w:val="clear" w:color="auto" w:fill="auto"/>
            <w:vAlign w:val="center"/>
          </w:tcPr>
          <w:p w14:paraId="640945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690" w:type="dxa"/>
            <w:tcBorders>
              <w:top w:val="single" w:color="000000" w:sz="4" w:space="0"/>
              <w:left w:val="single" w:color="000000" w:sz="4" w:space="0"/>
              <w:bottom w:val="nil"/>
              <w:right w:val="single" w:color="000000" w:sz="4" w:space="0"/>
            </w:tcBorders>
            <w:shd w:val="clear" w:color="auto" w:fill="auto"/>
            <w:vAlign w:val="center"/>
          </w:tcPr>
          <w:p w14:paraId="24D12C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3DEEB1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有效保障特种设备检验事业发展</w:t>
            </w:r>
          </w:p>
        </w:tc>
        <w:tc>
          <w:tcPr>
            <w:tcW w:w="690" w:type="dxa"/>
            <w:tcBorders>
              <w:top w:val="single" w:color="000000" w:sz="4" w:space="0"/>
              <w:left w:val="single" w:color="000000" w:sz="4" w:space="0"/>
              <w:bottom w:val="nil"/>
              <w:right w:val="single" w:color="000000" w:sz="4" w:space="0"/>
            </w:tcBorders>
            <w:shd w:val="clear" w:color="auto" w:fill="auto"/>
            <w:vAlign w:val="center"/>
          </w:tcPr>
          <w:p w14:paraId="1FB727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w:t>
            </w:r>
          </w:p>
        </w:tc>
        <w:tc>
          <w:tcPr>
            <w:tcW w:w="645" w:type="dxa"/>
            <w:tcBorders>
              <w:top w:val="single" w:color="000000" w:sz="4" w:space="0"/>
              <w:left w:val="single" w:color="000000" w:sz="4" w:space="0"/>
              <w:bottom w:val="nil"/>
              <w:right w:val="single" w:color="000000" w:sz="4" w:space="0"/>
            </w:tcBorders>
            <w:shd w:val="clear" w:color="auto" w:fill="auto"/>
            <w:vAlign w:val="center"/>
          </w:tcPr>
          <w:p w14:paraId="5872D0E7">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nil"/>
              <w:right w:val="single" w:color="000000" w:sz="4" w:space="0"/>
            </w:tcBorders>
            <w:shd w:val="clear" w:color="auto" w:fill="auto"/>
            <w:vAlign w:val="center"/>
          </w:tcPr>
          <w:p w14:paraId="71C3B3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稳步提高</w:t>
            </w:r>
          </w:p>
        </w:tc>
        <w:tc>
          <w:tcPr>
            <w:tcW w:w="690" w:type="dxa"/>
            <w:tcBorders>
              <w:top w:val="single" w:color="000000" w:sz="4" w:space="0"/>
              <w:left w:val="single" w:color="000000" w:sz="4" w:space="0"/>
              <w:bottom w:val="nil"/>
              <w:right w:val="single" w:color="000000" w:sz="4" w:space="0"/>
            </w:tcBorders>
            <w:shd w:val="clear" w:color="auto" w:fill="auto"/>
            <w:vAlign w:val="center"/>
          </w:tcPr>
          <w:p w14:paraId="4D6FCA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稳步提高</w:t>
            </w:r>
          </w:p>
        </w:tc>
        <w:tc>
          <w:tcPr>
            <w:tcW w:w="735" w:type="dxa"/>
            <w:tcBorders>
              <w:top w:val="single" w:color="000000" w:sz="4" w:space="0"/>
              <w:left w:val="single" w:color="000000" w:sz="4" w:space="0"/>
              <w:bottom w:val="nil"/>
              <w:right w:val="single" w:color="000000" w:sz="4" w:space="0"/>
            </w:tcBorders>
            <w:shd w:val="clear" w:color="auto" w:fill="auto"/>
            <w:vAlign w:val="center"/>
          </w:tcPr>
          <w:p w14:paraId="390791CA">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nil"/>
              <w:right w:val="single" w:color="000000" w:sz="4" w:space="0"/>
            </w:tcBorders>
            <w:shd w:val="clear" w:color="auto" w:fill="auto"/>
            <w:vAlign w:val="center"/>
          </w:tcPr>
          <w:p w14:paraId="1DEC3D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645" w:type="dxa"/>
            <w:tcBorders>
              <w:top w:val="single" w:color="000000" w:sz="4" w:space="0"/>
              <w:left w:val="single" w:color="000000" w:sz="4" w:space="0"/>
              <w:bottom w:val="nil"/>
              <w:right w:val="single" w:color="000000" w:sz="4" w:space="0"/>
            </w:tcBorders>
            <w:shd w:val="clear" w:color="auto" w:fill="auto"/>
            <w:vAlign w:val="center"/>
          </w:tcPr>
          <w:p w14:paraId="355451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630" w:type="dxa"/>
            <w:tcBorders>
              <w:top w:val="single" w:color="000000" w:sz="4" w:space="0"/>
              <w:left w:val="single" w:color="000000" w:sz="4" w:space="0"/>
              <w:bottom w:val="nil"/>
              <w:right w:val="single" w:color="000000" w:sz="4" w:space="0"/>
            </w:tcBorders>
            <w:shd w:val="clear" w:color="auto" w:fill="auto"/>
            <w:vAlign w:val="center"/>
          </w:tcPr>
          <w:p w14:paraId="0A73ED69">
            <w:pPr>
              <w:jc w:val="center"/>
              <w:rPr>
                <w:rFonts w:hint="eastAsia" w:ascii="宋体" w:hAnsi="宋体" w:eastAsia="宋体" w:cs="宋体"/>
                <w:i w:val="0"/>
                <w:iCs w:val="0"/>
                <w:color w:val="000000"/>
                <w:sz w:val="18"/>
                <w:szCs w:val="18"/>
                <w:u w:val="none"/>
              </w:rPr>
            </w:pPr>
          </w:p>
        </w:tc>
      </w:tr>
      <w:tr w14:paraId="13FC51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645" w:type="dxa"/>
            <w:vMerge w:val="continue"/>
            <w:tcBorders>
              <w:top w:val="single" w:color="000000" w:sz="4" w:space="0"/>
              <w:left w:val="single" w:color="000000" w:sz="4" w:space="0"/>
              <w:bottom w:val="nil"/>
              <w:right w:val="single" w:color="000000" w:sz="4" w:space="0"/>
            </w:tcBorders>
            <w:shd w:val="clear" w:color="auto" w:fill="auto"/>
            <w:vAlign w:val="center"/>
          </w:tcPr>
          <w:p w14:paraId="700D6C6F">
            <w:pPr>
              <w:jc w:val="center"/>
              <w:rPr>
                <w:rFonts w:hint="eastAsia" w:ascii="宋体" w:hAnsi="宋体" w:eastAsia="宋体" w:cs="宋体"/>
                <w:i w:val="0"/>
                <w:iCs w:val="0"/>
                <w:color w:val="000000"/>
                <w:sz w:val="18"/>
                <w:szCs w:val="18"/>
                <w:u w:val="none"/>
              </w:rPr>
            </w:pPr>
          </w:p>
        </w:tc>
        <w:tc>
          <w:tcPr>
            <w:tcW w:w="645" w:type="dxa"/>
            <w:vMerge w:val="continue"/>
            <w:tcBorders>
              <w:top w:val="single" w:color="000000" w:sz="4" w:space="0"/>
              <w:left w:val="single" w:color="000000" w:sz="4" w:space="0"/>
              <w:bottom w:val="nil"/>
              <w:right w:val="single" w:color="000000" w:sz="4" w:space="0"/>
            </w:tcBorders>
            <w:shd w:val="clear" w:color="auto" w:fill="auto"/>
            <w:vAlign w:val="center"/>
          </w:tcPr>
          <w:p w14:paraId="4FC77828">
            <w:pPr>
              <w:jc w:val="center"/>
              <w:rPr>
                <w:rFonts w:hint="eastAsia" w:ascii="宋体" w:hAnsi="宋体" w:eastAsia="宋体" w:cs="宋体"/>
                <w:i w:val="0"/>
                <w:iCs w:val="0"/>
                <w:color w:val="000000"/>
                <w:sz w:val="18"/>
                <w:szCs w:val="18"/>
                <w:u w:val="none"/>
              </w:rPr>
            </w:pPr>
          </w:p>
        </w:tc>
        <w:tc>
          <w:tcPr>
            <w:tcW w:w="690" w:type="dxa"/>
            <w:tcBorders>
              <w:top w:val="single" w:color="000000" w:sz="4" w:space="0"/>
              <w:left w:val="single" w:color="000000" w:sz="4" w:space="0"/>
              <w:bottom w:val="nil"/>
              <w:right w:val="single" w:color="000000" w:sz="4" w:space="0"/>
            </w:tcBorders>
            <w:shd w:val="clear" w:color="auto" w:fill="auto"/>
            <w:vAlign w:val="center"/>
          </w:tcPr>
          <w:p w14:paraId="1FF1D4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可持续影响指标</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0D0E44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切实保障本单位各项工作开展</w:t>
            </w:r>
          </w:p>
        </w:tc>
        <w:tc>
          <w:tcPr>
            <w:tcW w:w="690" w:type="dxa"/>
            <w:tcBorders>
              <w:top w:val="single" w:color="000000" w:sz="4" w:space="0"/>
              <w:left w:val="single" w:color="000000" w:sz="4" w:space="0"/>
              <w:bottom w:val="nil"/>
              <w:right w:val="single" w:color="000000" w:sz="4" w:space="0"/>
            </w:tcBorders>
            <w:shd w:val="clear" w:color="auto" w:fill="auto"/>
            <w:vAlign w:val="center"/>
          </w:tcPr>
          <w:p w14:paraId="7D86D4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w:t>
            </w:r>
          </w:p>
        </w:tc>
        <w:tc>
          <w:tcPr>
            <w:tcW w:w="645" w:type="dxa"/>
            <w:tcBorders>
              <w:top w:val="single" w:color="000000" w:sz="4" w:space="0"/>
              <w:left w:val="single" w:color="000000" w:sz="4" w:space="0"/>
              <w:bottom w:val="nil"/>
              <w:right w:val="single" w:color="000000" w:sz="4" w:space="0"/>
            </w:tcBorders>
            <w:shd w:val="clear" w:color="auto" w:fill="auto"/>
            <w:vAlign w:val="center"/>
          </w:tcPr>
          <w:p w14:paraId="5CF27542">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nil"/>
              <w:right w:val="single" w:color="000000" w:sz="4" w:space="0"/>
            </w:tcBorders>
            <w:shd w:val="clear" w:color="auto" w:fill="auto"/>
            <w:vAlign w:val="center"/>
          </w:tcPr>
          <w:p w14:paraId="4E9F13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稳步提高</w:t>
            </w:r>
          </w:p>
        </w:tc>
        <w:tc>
          <w:tcPr>
            <w:tcW w:w="690" w:type="dxa"/>
            <w:tcBorders>
              <w:top w:val="single" w:color="000000" w:sz="4" w:space="0"/>
              <w:left w:val="single" w:color="000000" w:sz="4" w:space="0"/>
              <w:bottom w:val="nil"/>
              <w:right w:val="single" w:color="000000" w:sz="4" w:space="0"/>
            </w:tcBorders>
            <w:shd w:val="clear" w:color="auto" w:fill="auto"/>
            <w:vAlign w:val="center"/>
          </w:tcPr>
          <w:p w14:paraId="067144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稳步提高</w:t>
            </w:r>
          </w:p>
        </w:tc>
        <w:tc>
          <w:tcPr>
            <w:tcW w:w="735" w:type="dxa"/>
            <w:tcBorders>
              <w:top w:val="single" w:color="000000" w:sz="4" w:space="0"/>
              <w:left w:val="single" w:color="000000" w:sz="4" w:space="0"/>
              <w:bottom w:val="nil"/>
              <w:right w:val="single" w:color="000000" w:sz="4" w:space="0"/>
            </w:tcBorders>
            <w:shd w:val="clear" w:color="auto" w:fill="auto"/>
            <w:vAlign w:val="center"/>
          </w:tcPr>
          <w:p w14:paraId="15FBE9CD">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nil"/>
              <w:right w:val="single" w:color="000000" w:sz="4" w:space="0"/>
            </w:tcBorders>
            <w:shd w:val="clear" w:color="auto" w:fill="auto"/>
            <w:vAlign w:val="center"/>
          </w:tcPr>
          <w:p w14:paraId="16149D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645" w:type="dxa"/>
            <w:tcBorders>
              <w:top w:val="single" w:color="000000" w:sz="4" w:space="0"/>
              <w:left w:val="single" w:color="000000" w:sz="4" w:space="0"/>
              <w:bottom w:val="nil"/>
              <w:right w:val="single" w:color="000000" w:sz="4" w:space="0"/>
            </w:tcBorders>
            <w:shd w:val="clear" w:color="auto" w:fill="auto"/>
            <w:vAlign w:val="center"/>
          </w:tcPr>
          <w:p w14:paraId="07C5B6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630" w:type="dxa"/>
            <w:tcBorders>
              <w:top w:val="single" w:color="000000" w:sz="4" w:space="0"/>
              <w:left w:val="single" w:color="000000" w:sz="4" w:space="0"/>
              <w:bottom w:val="nil"/>
              <w:right w:val="single" w:color="000000" w:sz="4" w:space="0"/>
            </w:tcBorders>
            <w:shd w:val="clear" w:color="auto" w:fill="auto"/>
            <w:vAlign w:val="center"/>
          </w:tcPr>
          <w:p w14:paraId="4BE20849">
            <w:pPr>
              <w:jc w:val="center"/>
              <w:rPr>
                <w:rFonts w:hint="eastAsia" w:ascii="宋体" w:hAnsi="宋体" w:eastAsia="宋体" w:cs="宋体"/>
                <w:i w:val="0"/>
                <w:iCs w:val="0"/>
                <w:color w:val="000000"/>
                <w:sz w:val="18"/>
                <w:szCs w:val="18"/>
                <w:u w:val="none"/>
              </w:rPr>
            </w:pPr>
          </w:p>
        </w:tc>
      </w:tr>
      <w:tr w14:paraId="5A4034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645" w:type="dxa"/>
            <w:vMerge w:val="continue"/>
            <w:tcBorders>
              <w:top w:val="single" w:color="000000" w:sz="4" w:space="0"/>
              <w:left w:val="single" w:color="000000" w:sz="4" w:space="0"/>
              <w:bottom w:val="nil"/>
              <w:right w:val="single" w:color="000000" w:sz="4" w:space="0"/>
            </w:tcBorders>
            <w:shd w:val="clear" w:color="auto" w:fill="auto"/>
            <w:vAlign w:val="center"/>
          </w:tcPr>
          <w:p w14:paraId="565E74B5">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nil"/>
              <w:right w:val="single" w:color="000000" w:sz="4" w:space="0"/>
            </w:tcBorders>
            <w:shd w:val="clear" w:color="auto" w:fill="auto"/>
            <w:vAlign w:val="center"/>
          </w:tcPr>
          <w:p w14:paraId="217DB5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w:t>
            </w:r>
          </w:p>
        </w:tc>
        <w:tc>
          <w:tcPr>
            <w:tcW w:w="690" w:type="dxa"/>
            <w:tcBorders>
              <w:top w:val="single" w:color="000000" w:sz="4" w:space="0"/>
              <w:left w:val="single" w:color="000000" w:sz="4" w:space="0"/>
              <w:bottom w:val="nil"/>
              <w:right w:val="single" w:color="000000" w:sz="4" w:space="0"/>
            </w:tcBorders>
            <w:shd w:val="clear" w:color="auto" w:fill="auto"/>
            <w:vAlign w:val="center"/>
          </w:tcPr>
          <w:p w14:paraId="070FE8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4A4F8A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本单位职工对物业工作服务满意度</w:t>
            </w:r>
          </w:p>
        </w:tc>
        <w:tc>
          <w:tcPr>
            <w:tcW w:w="690" w:type="dxa"/>
            <w:tcBorders>
              <w:top w:val="single" w:color="000000" w:sz="4" w:space="0"/>
              <w:left w:val="single" w:color="000000" w:sz="4" w:space="0"/>
              <w:bottom w:val="nil"/>
              <w:right w:val="single" w:color="000000" w:sz="4" w:space="0"/>
            </w:tcBorders>
            <w:shd w:val="clear" w:color="auto" w:fill="auto"/>
            <w:vAlign w:val="center"/>
          </w:tcPr>
          <w:p w14:paraId="00FCE3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645" w:type="dxa"/>
            <w:tcBorders>
              <w:top w:val="single" w:color="000000" w:sz="4" w:space="0"/>
              <w:left w:val="single" w:color="000000" w:sz="4" w:space="0"/>
              <w:bottom w:val="nil"/>
              <w:right w:val="single" w:color="000000" w:sz="4" w:space="0"/>
            </w:tcBorders>
            <w:shd w:val="clear" w:color="auto" w:fill="auto"/>
            <w:vAlign w:val="center"/>
          </w:tcPr>
          <w:p w14:paraId="2A7F3B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705" w:type="dxa"/>
            <w:tcBorders>
              <w:top w:val="single" w:color="000000" w:sz="4" w:space="0"/>
              <w:left w:val="single" w:color="000000" w:sz="4" w:space="0"/>
              <w:bottom w:val="nil"/>
              <w:right w:val="single" w:color="000000" w:sz="4" w:space="0"/>
            </w:tcBorders>
            <w:shd w:val="clear" w:color="auto" w:fill="auto"/>
            <w:vAlign w:val="center"/>
          </w:tcPr>
          <w:p w14:paraId="536083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690" w:type="dxa"/>
            <w:tcBorders>
              <w:top w:val="single" w:color="000000" w:sz="4" w:space="0"/>
              <w:left w:val="single" w:color="000000" w:sz="4" w:space="0"/>
              <w:bottom w:val="nil"/>
              <w:right w:val="single" w:color="000000" w:sz="4" w:space="0"/>
            </w:tcBorders>
            <w:shd w:val="clear" w:color="auto" w:fill="auto"/>
            <w:vAlign w:val="center"/>
          </w:tcPr>
          <w:p w14:paraId="120BBF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735" w:type="dxa"/>
            <w:tcBorders>
              <w:top w:val="single" w:color="000000" w:sz="4" w:space="0"/>
              <w:left w:val="single" w:color="000000" w:sz="4" w:space="0"/>
              <w:bottom w:val="nil"/>
              <w:right w:val="single" w:color="000000" w:sz="4" w:space="0"/>
            </w:tcBorders>
            <w:shd w:val="clear" w:color="auto" w:fill="auto"/>
            <w:vAlign w:val="center"/>
          </w:tcPr>
          <w:p w14:paraId="07F480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05" w:type="dxa"/>
            <w:tcBorders>
              <w:top w:val="single" w:color="000000" w:sz="4" w:space="0"/>
              <w:left w:val="single" w:color="000000" w:sz="4" w:space="0"/>
              <w:bottom w:val="nil"/>
              <w:right w:val="single" w:color="000000" w:sz="4" w:space="0"/>
            </w:tcBorders>
            <w:shd w:val="clear" w:color="auto" w:fill="auto"/>
            <w:vAlign w:val="center"/>
          </w:tcPr>
          <w:p w14:paraId="27210D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645" w:type="dxa"/>
            <w:tcBorders>
              <w:top w:val="single" w:color="000000" w:sz="4" w:space="0"/>
              <w:left w:val="single" w:color="000000" w:sz="4" w:space="0"/>
              <w:bottom w:val="nil"/>
              <w:right w:val="single" w:color="000000" w:sz="4" w:space="0"/>
            </w:tcBorders>
            <w:shd w:val="clear" w:color="auto" w:fill="auto"/>
            <w:vAlign w:val="center"/>
          </w:tcPr>
          <w:p w14:paraId="47D66E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630" w:type="dxa"/>
            <w:tcBorders>
              <w:top w:val="single" w:color="000000" w:sz="4" w:space="0"/>
              <w:left w:val="single" w:color="000000" w:sz="4" w:space="0"/>
              <w:bottom w:val="nil"/>
              <w:right w:val="single" w:color="000000" w:sz="4" w:space="0"/>
            </w:tcBorders>
            <w:shd w:val="clear" w:color="auto" w:fill="auto"/>
            <w:vAlign w:val="center"/>
          </w:tcPr>
          <w:p w14:paraId="17FAD019">
            <w:pPr>
              <w:jc w:val="center"/>
              <w:rPr>
                <w:rFonts w:hint="eastAsia" w:ascii="宋体" w:hAnsi="宋体" w:eastAsia="宋体" w:cs="宋体"/>
                <w:i w:val="0"/>
                <w:iCs w:val="0"/>
                <w:color w:val="000000"/>
                <w:sz w:val="18"/>
                <w:szCs w:val="18"/>
                <w:u w:val="none"/>
              </w:rPr>
            </w:pPr>
          </w:p>
        </w:tc>
      </w:tr>
      <w:tr w14:paraId="22AD18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27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88DAF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总分</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1B3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8DC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99.94</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4EAEC">
            <w:pPr>
              <w:jc w:val="center"/>
              <w:rPr>
                <w:rFonts w:hint="eastAsia" w:ascii="宋体" w:hAnsi="宋体" w:eastAsia="宋体" w:cs="宋体"/>
                <w:i w:val="0"/>
                <w:iCs w:val="0"/>
                <w:color w:val="000000"/>
                <w:sz w:val="18"/>
                <w:szCs w:val="18"/>
                <w:u w:val="none"/>
              </w:rPr>
            </w:pPr>
          </w:p>
        </w:tc>
      </w:tr>
    </w:tbl>
    <w:p w14:paraId="442C0363">
      <w:pPr>
        <w:keepNext w:val="0"/>
        <w:keepLines w:val="0"/>
        <w:pageBreakBefore w:val="0"/>
        <w:widowControl w:val="0"/>
        <w:numPr>
          <w:ilvl w:val="0"/>
          <w:numId w:val="1"/>
        </w:numPr>
        <w:kinsoku/>
        <w:wordWrap/>
        <w:overflowPunct/>
        <w:topLinePunct/>
        <w:autoSpaceDE/>
        <w:autoSpaceDN/>
        <w:bidi w:val="0"/>
        <w:adjustRightInd/>
        <w:snapToGrid/>
        <w:spacing w:line="520" w:lineRule="exact"/>
        <w:ind w:left="0" w:leftChars="0" w:right="0" w:rightChars="0" w:firstLine="640" w:firstLineChars="0"/>
        <w:jc w:val="both"/>
        <w:textAlignment w:val="auto"/>
        <w:outlineLvl w:val="9"/>
        <w:rPr>
          <w:rFonts w:hint="eastAsia" w:ascii="FangSong_GB2312" w:hAnsi="FangSong_GB2312" w:eastAsia="FangSong_GB2312" w:cs="FangSong_GB2312"/>
          <w:kern w:val="0"/>
          <w:sz w:val="32"/>
          <w:szCs w:val="32"/>
        </w:rPr>
      </w:pPr>
      <w:r>
        <w:rPr>
          <w:rFonts w:hint="eastAsia" w:ascii="FangSong_GB2312" w:hAnsi="FangSong_GB2312" w:eastAsia="FangSong_GB2312" w:cs="FangSong_GB2312"/>
          <w:color w:val="auto"/>
          <w:kern w:val="0"/>
          <w:sz w:val="32"/>
          <w:szCs w:val="32"/>
          <w:lang w:val="en-US" w:eastAsia="zh-CN"/>
        </w:rPr>
        <w:t>事业发展经费</w:t>
      </w:r>
      <w:r>
        <w:rPr>
          <w:rFonts w:ascii="FangSong_GB2312" w:hAnsi="FangSong_GB2312" w:eastAsia="FangSong_GB2312" w:cs="FangSong_GB2312"/>
          <w:kern w:val="0"/>
          <w:sz w:val="32"/>
          <w:szCs w:val="32"/>
        </w:rPr>
        <w:t>项目自评综述：根据年初设定的绩效目标，项目自评得分</w:t>
      </w:r>
      <w:r>
        <w:rPr>
          <w:rFonts w:hint="eastAsia"/>
          <w:kern w:val="0"/>
          <w:sz w:val="32"/>
          <w:szCs w:val="32"/>
          <w:u w:val="single"/>
          <w:lang w:val="en-US" w:eastAsia="zh-CN"/>
        </w:rPr>
        <w:t>99.99</w:t>
      </w:r>
      <w:r>
        <w:rPr>
          <w:rFonts w:ascii="FangSong_GB2312" w:hAnsi="FangSong_GB2312" w:eastAsia="FangSong_GB2312" w:cs="FangSong_GB2312"/>
          <w:kern w:val="0"/>
          <w:sz w:val="32"/>
          <w:szCs w:val="32"/>
        </w:rPr>
        <w:t>分。全年预算数为</w:t>
      </w:r>
      <w:r>
        <w:rPr>
          <w:rFonts w:hint="eastAsia"/>
          <w:kern w:val="0"/>
          <w:sz w:val="32"/>
          <w:szCs w:val="32"/>
          <w:u w:val="single"/>
          <w:lang w:val="en-US" w:eastAsia="zh-CN"/>
        </w:rPr>
        <w:t>121</w:t>
      </w:r>
      <w:r>
        <w:rPr>
          <w:rFonts w:ascii="FangSong_GB2312" w:hAnsi="FangSong_GB2312" w:eastAsia="FangSong_GB2312" w:cs="FangSong_GB2312"/>
          <w:kern w:val="0"/>
          <w:sz w:val="32"/>
          <w:szCs w:val="32"/>
        </w:rPr>
        <w:t>万元，执行数为</w:t>
      </w:r>
      <w:r>
        <w:rPr>
          <w:rFonts w:hint="eastAsia"/>
          <w:kern w:val="0"/>
          <w:sz w:val="32"/>
          <w:szCs w:val="32"/>
          <w:u w:val="single"/>
          <w:lang w:val="en-US" w:eastAsia="zh-CN"/>
        </w:rPr>
        <w:t>120.85</w:t>
      </w:r>
      <w:r>
        <w:rPr>
          <w:rFonts w:ascii="FangSong_GB2312" w:hAnsi="FangSong_GB2312" w:eastAsia="FangSong_GB2312" w:cs="FangSong_GB2312"/>
          <w:kern w:val="0"/>
          <w:sz w:val="32"/>
          <w:szCs w:val="32"/>
        </w:rPr>
        <w:t>万元，完成预算的</w:t>
      </w:r>
      <w:r>
        <w:rPr>
          <w:rFonts w:hint="eastAsia"/>
          <w:kern w:val="0"/>
          <w:sz w:val="32"/>
          <w:szCs w:val="32"/>
          <w:u w:val="single"/>
          <w:lang w:val="en-US" w:eastAsia="zh-CN"/>
        </w:rPr>
        <w:t>99.88</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。项目绩效目标完成情况：</w:t>
      </w:r>
      <w:r>
        <w:rPr>
          <w:rFonts w:hint="eastAsia" w:ascii="FangSong_GB2312" w:hAnsi="FangSong_GB2312" w:eastAsia="FangSong_GB2312" w:cs="FangSong_GB2312"/>
          <w:kern w:val="0"/>
          <w:sz w:val="32"/>
          <w:szCs w:val="32"/>
        </w:rPr>
        <w:t>通过维护本单位水、电、暖、电话、通讯专线等正常使用，满足人员日常办公需求，切实保障本单位各项工作可正常开展，维护特种设备检验研究工作能够有序开展。</w:t>
      </w:r>
    </w:p>
    <w:tbl>
      <w:tblPr>
        <w:tblStyle w:val="19"/>
        <w:tblW w:w="895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05"/>
        <w:gridCol w:w="795"/>
        <w:gridCol w:w="780"/>
        <w:gridCol w:w="735"/>
        <w:gridCol w:w="750"/>
        <w:gridCol w:w="735"/>
        <w:gridCol w:w="705"/>
        <w:gridCol w:w="705"/>
        <w:gridCol w:w="780"/>
        <w:gridCol w:w="750"/>
        <w:gridCol w:w="795"/>
        <w:gridCol w:w="720"/>
      </w:tblGrid>
      <w:tr w14:paraId="0B0263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8955"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74F14007">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项目支出绩效自评表</w:t>
            </w:r>
            <w:r>
              <w:rPr>
                <w:rFonts w:hint="eastAsia" w:ascii="宋体" w:hAnsi="宋体" w:eastAsia="宋体" w:cs="宋体"/>
                <w:b/>
                <w:bCs/>
                <w:i w:val="0"/>
                <w:iCs w:val="0"/>
                <w:color w:val="000000"/>
                <w:kern w:val="0"/>
                <w:sz w:val="40"/>
                <w:szCs w:val="40"/>
                <w:u w:val="none"/>
                <w:lang w:val="en-US" w:eastAsia="zh-CN" w:bidi="ar"/>
              </w:rPr>
              <w:br w:type="textWrapping"/>
            </w:r>
            <w:r>
              <w:rPr>
                <w:rFonts w:hint="eastAsia" w:ascii="宋体" w:hAnsi="宋体" w:eastAsia="宋体" w:cs="宋体"/>
                <w:b/>
                <w:bCs/>
                <w:i w:val="0"/>
                <w:iCs w:val="0"/>
                <w:color w:val="000000"/>
                <w:kern w:val="0"/>
                <w:sz w:val="40"/>
                <w:szCs w:val="40"/>
                <w:u w:val="none"/>
                <w:lang w:val="en-US" w:eastAsia="zh-CN" w:bidi="ar"/>
              </w:rPr>
              <w:t>(2025年度）</w:t>
            </w:r>
          </w:p>
        </w:tc>
      </w:tr>
      <w:tr w14:paraId="1E5B00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9D30B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745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266FF7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事业发展经费支出</w:t>
            </w:r>
          </w:p>
        </w:tc>
      </w:tr>
      <w:tr w14:paraId="06758C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5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8FC75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主管部门</w:t>
            </w:r>
          </w:p>
        </w:tc>
        <w:tc>
          <w:tcPr>
            <w:tcW w:w="30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9E0C6A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内蒙古自治区市场监督管理局部门</w:t>
            </w:r>
          </w:p>
        </w:tc>
        <w:tc>
          <w:tcPr>
            <w:tcW w:w="14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FADAB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实施单位</w:t>
            </w:r>
          </w:p>
        </w:tc>
        <w:tc>
          <w:tcPr>
            <w:tcW w:w="30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A18CFF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内蒙古自治区特种设备检验研究院鄂尔多斯分院</w:t>
            </w:r>
          </w:p>
        </w:tc>
      </w:tr>
      <w:tr w14:paraId="1FCF06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0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FB9F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项目资金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（万元）</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55159">
            <w:pPr>
              <w:rPr>
                <w:rFonts w:hint="eastAsia" w:ascii="宋体" w:hAnsi="宋体" w:eastAsia="宋体" w:cs="宋体"/>
                <w:i w:val="0"/>
                <w:iCs w:val="0"/>
                <w:color w:val="000000"/>
                <w:sz w:val="18"/>
                <w:szCs w:val="18"/>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4D9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年初预算数</w:t>
            </w:r>
          </w:p>
        </w:tc>
        <w:tc>
          <w:tcPr>
            <w:tcW w:w="14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10E3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全年预算数</w:t>
            </w:r>
          </w:p>
        </w:tc>
        <w:tc>
          <w:tcPr>
            <w:tcW w:w="14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8763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全年执行数</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DBE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15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AA97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执行率（%）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B1D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r>
      <w:tr w14:paraId="78F365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150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EDAC03">
            <w:pPr>
              <w:jc w:val="center"/>
              <w:rPr>
                <w:rFonts w:hint="eastAsia" w:ascii="宋体" w:hAnsi="宋体" w:eastAsia="宋体" w:cs="宋体"/>
                <w:i w:val="0"/>
                <w:iCs w:val="0"/>
                <w:color w:val="000000"/>
                <w:sz w:val="18"/>
                <w:szCs w:val="18"/>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C51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年度资金总额</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2928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121</w:t>
            </w:r>
          </w:p>
        </w:tc>
        <w:tc>
          <w:tcPr>
            <w:tcW w:w="14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9BF6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121</w:t>
            </w:r>
          </w:p>
        </w:tc>
        <w:tc>
          <w:tcPr>
            <w:tcW w:w="14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3EB0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120.85</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38B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5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1510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99.88</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F2D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9.99</w:t>
            </w:r>
          </w:p>
        </w:tc>
      </w:tr>
      <w:tr w14:paraId="693955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50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C5A639">
            <w:pPr>
              <w:jc w:val="center"/>
              <w:rPr>
                <w:rFonts w:hint="eastAsia" w:ascii="宋体" w:hAnsi="宋体" w:eastAsia="宋体" w:cs="宋体"/>
                <w:i w:val="0"/>
                <w:iCs w:val="0"/>
                <w:color w:val="000000"/>
                <w:sz w:val="18"/>
                <w:szCs w:val="18"/>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293D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其中：财政拨款</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CCC5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121</w:t>
            </w:r>
          </w:p>
        </w:tc>
        <w:tc>
          <w:tcPr>
            <w:tcW w:w="14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967D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121</w:t>
            </w:r>
          </w:p>
        </w:tc>
        <w:tc>
          <w:tcPr>
            <w:tcW w:w="14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C508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0D525">
            <w:pPr>
              <w:keepNext w:val="0"/>
              <w:keepLines w:val="0"/>
              <w:widowControl/>
              <w:suppressLineNumbers w:val="0"/>
              <w:jc w:val="center"/>
              <w:textAlignment w:val="center"/>
              <w:rPr>
                <w:rFonts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c>
          <w:tcPr>
            <w:tcW w:w="15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EEB2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99.88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4673F">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r>
      <w:tr w14:paraId="082BB4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150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529440">
            <w:pPr>
              <w:jc w:val="center"/>
              <w:rPr>
                <w:rFonts w:hint="eastAsia" w:ascii="宋体" w:hAnsi="宋体" w:eastAsia="宋体" w:cs="宋体"/>
                <w:i w:val="0"/>
                <w:iCs w:val="0"/>
                <w:color w:val="000000"/>
                <w:sz w:val="18"/>
                <w:szCs w:val="18"/>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B04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上年结转资金</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61FF3">
            <w:pPr>
              <w:rPr>
                <w:rFonts w:hint="eastAsia" w:ascii="宋体" w:hAnsi="宋体" w:eastAsia="宋体" w:cs="宋体"/>
                <w:i w:val="0"/>
                <w:iCs w:val="0"/>
                <w:color w:val="000000"/>
                <w:sz w:val="18"/>
                <w:szCs w:val="18"/>
                <w:u w:val="none"/>
              </w:rPr>
            </w:pPr>
          </w:p>
        </w:tc>
        <w:tc>
          <w:tcPr>
            <w:tcW w:w="14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45647A">
            <w:pPr>
              <w:jc w:val="center"/>
              <w:rPr>
                <w:rFonts w:hint="eastAsia" w:ascii="宋体" w:hAnsi="宋体" w:eastAsia="宋体" w:cs="宋体"/>
                <w:i w:val="0"/>
                <w:iCs w:val="0"/>
                <w:color w:val="000000"/>
                <w:sz w:val="18"/>
                <w:szCs w:val="18"/>
                <w:u w:val="none"/>
              </w:rPr>
            </w:pPr>
          </w:p>
        </w:tc>
        <w:tc>
          <w:tcPr>
            <w:tcW w:w="14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FD8696">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006B5">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c>
          <w:tcPr>
            <w:tcW w:w="15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5B209C">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476BF">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r>
      <w:tr w14:paraId="65F987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0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DE89E6">
            <w:pPr>
              <w:jc w:val="center"/>
              <w:rPr>
                <w:rFonts w:hint="eastAsia" w:ascii="宋体" w:hAnsi="宋体" w:eastAsia="宋体" w:cs="宋体"/>
                <w:i w:val="0"/>
                <w:iCs w:val="0"/>
                <w:color w:val="000000"/>
                <w:sz w:val="18"/>
                <w:szCs w:val="18"/>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FCA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其他资金</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F749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14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3DF2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14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87E2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495CF">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c>
          <w:tcPr>
            <w:tcW w:w="15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BD24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E11DB">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r>
      <w:tr w14:paraId="6A4350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0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AB59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年度总体目标</w:t>
            </w:r>
          </w:p>
        </w:tc>
        <w:tc>
          <w:tcPr>
            <w:tcW w:w="370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92670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预期目标</w:t>
            </w:r>
          </w:p>
        </w:tc>
        <w:tc>
          <w:tcPr>
            <w:tcW w:w="375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E5CC4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实际完成情况</w:t>
            </w:r>
          </w:p>
        </w:tc>
      </w:tr>
      <w:tr w14:paraId="38964F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50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FD19E7">
            <w:pPr>
              <w:jc w:val="center"/>
              <w:rPr>
                <w:rFonts w:hint="eastAsia" w:ascii="宋体" w:hAnsi="宋体" w:eastAsia="宋体" w:cs="宋体"/>
                <w:i w:val="0"/>
                <w:iCs w:val="0"/>
                <w:color w:val="000000"/>
                <w:sz w:val="18"/>
                <w:szCs w:val="18"/>
                <w:u w:val="none"/>
              </w:rPr>
            </w:pPr>
          </w:p>
        </w:tc>
        <w:tc>
          <w:tcPr>
            <w:tcW w:w="370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B4015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通过维护本单位水、电、暖、电话、通讯专线等正常使用，满足人员日常办公需求，切实保障本单位各项工作可正常开展，维护特种设备检验研究工作能够有序开展。</w:t>
            </w:r>
          </w:p>
        </w:tc>
        <w:tc>
          <w:tcPr>
            <w:tcW w:w="375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F06FB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为全面推进预算执行与绩效运行“双监控”管理，根据自治区财政厅相关要求，开展2025年预算绩效监控工作。总院统一部署，组织业务管理部门结合工作实际填报相关指标完成情况，由业务管理部、财务核算中心结合相关部门报送的资料对目标完成、预算执行、组织实施、资金管理等情况进行分析评判，对绩效监控中发现的绩效目标执行偏差进行纠正，为后续绩效目标的有效实现提供了有力支撑和保障</w:t>
            </w:r>
          </w:p>
        </w:tc>
      </w:tr>
      <w:tr w14:paraId="1A3972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7A5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绩效指标</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02D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一级指标</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618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二级指标</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29B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三级指标</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8D3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指标性质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483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指标方向</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343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年度指标值</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463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实际完成值</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F48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计量单位</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103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E48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E00C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偏差原因分析及改进措施</w:t>
            </w:r>
          </w:p>
        </w:tc>
      </w:tr>
      <w:tr w14:paraId="501939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705" w:type="dxa"/>
            <w:vMerge w:val="restart"/>
            <w:tcBorders>
              <w:top w:val="single" w:color="000000" w:sz="4" w:space="0"/>
              <w:left w:val="single" w:color="000000" w:sz="4" w:space="0"/>
              <w:bottom w:val="nil"/>
              <w:right w:val="single" w:color="000000" w:sz="4" w:space="0"/>
            </w:tcBorders>
            <w:shd w:val="clear" w:color="auto" w:fill="auto"/>
            <w:vAlign w:val="center"/>
          </w:tcPr>
          <w:p w14:paraId="6331FF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绩效指标</w:t>
            </w:r>
          </w:p>
        </w:tc>
        <w:tc>
          <w:tcPr>
            <w:tcW w:w="795" w:type="dxa"/>
            <w:vMerge w:val="restart"/>
            <w:tcBorders>
              <w:top w:val="single" w:color="000000" w:sz="4" w:space="0"/>
              <w:left w:val="single" w:color="000000" w:sz="4" w:space="0"/>
              <w:bottom w:val="nil"/>
              <w:right w:val="single" w:color="000000" w:sz="4" w:space="0"/>
            </w:tcBorders>
            <w:shd w:val="clear" w:color="auto" w:fill="auto"/>
            <w:vAlign w:val="center"/>
          </w:tcPr>
          <w:p w14:paraId="300678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780" w:type="dxa"/>
            <w:vMerge w:val="restart"/>
            <w:tcBorders>
              <w:top w:val="single" w:color="000000" w:sz="4" w:space="0"/>
              <w:left w:val="single" w:color="000000" w:sz="4" w:space="0"/>
              <w:bottom w:val="nil"/>
              <w:right w:val="single" w:color="000000" w:sz="4" w:space="0"/>
            </w:tcBorders>
            <w:shd w:val="clear" w:color="auto" w:fill="auto"/>
            <w:vAlign w:val="center"/>
          </w:tcPr>
          <w:p w14:paraId="53E341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735" w:type="dxa"/>
            <w:tcBorders>
              <w:top w:val="single" w:color="000000" w:sz="4" w:space="0"/>
              <w:left w:val="single" w:color="000000" w:sz="4" w:space="0"/>
              <w:bottom w:val="nil"/>
              <w:right w:val="single" w:color="000000" w:sz="4" w:space="0"/>
            </w:tcBorders>
            <w:shd w:val="clear" w:color="auto" w:fill="auto"/>
            <w:vAlign w:val="center"/>
          </w:tcPr>
          <w:p w14:paraId="032474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保障取暖面积</w:t>
            </w:r>
          </w:p>
        </w:tc>
        <w:tc>
          <w:tcPr>
            <w:tcW w:w="750" w:type="dxa"/>
            <w:tcBorders>
              <w:top w:val="single" w:color="000000" w:sz="4" w:space="0"/>
              <w:left w:val="single" w:color="000000" w:sz="4" w:space="0"/>
              <w:bottom w:val="nil"/>
              <w:right w:val="single" w:color="000000" w:sz="4" w:space="0"/>
            </w:tcBorders>
            <w:shd w:val="clear" w:color="auto" w:fill="auto"/>
            <w:vAlign w:val="center"/>
          </w:tcPr>
          <w:p w14:paraId="7C1296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735" w:type="dxa"/>
            <w:tcBorders>
              <w:top w:val="single" w:color="000000" w:sz="4" w:space="0"/>
              <w:left w:val="single" w:color="000000" w:sz="4" w:space="0"/>
              <w:bottom w:val="nil"/>
              <w:right w:val="single" w:color="000000" w:sz="4" w:space="0"/>
            </w:tcBorders>
            <w:shd w:val="clear" w:color="auto" w:fill="auto"/>
            <w:vAlign w:val="center"/>
          </w:tcPr>
          <w:p w14:paraId="389C0E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705" w:type="dxa"/>
            <w:tcBorders>
              <w:top w:val="single" w:color="000000" w:sz="4" w:space="0"/>
              <w:left w:val="single" w:color="000000" w:sz="4" w:space="0"/>
              <w:bottom w:val="nil"/>
              <w:right w:val="single" w:color="000000" w:sz="4" w:space="0"/>
            </w:tcBorders>
            <w:shd w:val="clear" w:color="auto" w:fill="auto"/>
            <w:vAlign w:val="center"/>
          </w:tcPr>
          <w:p w14:paraId="3641B1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26256</w:t>
            </w:r>
          </w:p>
        </w:tc>
        <w:tc>
          <w:tcPr>
            <w:tcW w:w="705" w:type="dxa"/>
            <w:tcBorders>
              <w:top w:val="single" w:color="000000" w:sz="4" w:space="0"/>
              <w:left w:val="single" w:color="000000" w:sz="4" w:space="0"/>
              <w:bottom w:val="nil"/>
              <w:right w:val="single" w:color="000000" w:sz="4" w:space="0"/>
            </w:tcBorders>
            <w:shd w:val="clear" w:color="auto" w:fill="auto"/>
            <w:vAlign w:val="center"/>
          </w:tcPr>
          <w:p w14:paraId="3C04C3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26256</w:t>
            </w:r>
          </w:p>
        </w:tc>
        <w:tc>
          <w:tcPr>
            <w:tcW w:w="780" w:type="dxa"/>
            <w:tcBorders>
              <w:top w:val="single" w:color="000000" w:sz="4" w:space="0"/>
              <w:left w:val="single" w:color="000000" w:sz="4" w:space="0"/>
              <w:bottom w:val="nil"/>
              <w:right w:val="single" w:color="000000" w:sz="4" w:space="0"/>
            </w:tcBorders>
            <w:shd w:val="clear" w:color="auto" w:fill="auto"/>
            <w:vAlign w:val="center"/>
          </w:tcPr>
          <w:p w14:paraId="7CDB90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平米</w:t>
            </w:r>
          </w:p>
        </w:tc>
        <w:tc>
          <w:tcPr>
            <w:tcW w:w="750" w:type="dxa"/>
            <w:tcBorders>
              <w:top w:val="single" w:color="000000" w:sz="4" w:space="0"/>
              <w:left w:val="single" w:color="000000" w:sz="4" w:space="0"/>
              <w:bottom w:val="nil"/>
              <w:right w:val="single" w:color="000000" w:sz="4" w:space="0"/>
            </w:tcBorders>
            <w:shd w:val="clear" w:color="auto" w:fill="auto"/>
            <w:vAlign w:val="center"/>
          </w:tcPr>
          <w:p w14:paraId="7F4664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795" w:type="dxa"/>
            <w:tcBorders>
              <w:top w:val="single" w:color="000000" w:sz="4" w:space="0"/>
              <w:left w:val="single" w:color="000000" w:sz="4" w:space="0"/>
              <w:bottom w:val="nil"/>
              <w:right w:val="single" w:color="000000" w:sz="4" w:space="0"/>
            </w:tcBorders>
            <w:shd w:val="clear" w:color="auto" w:fill="auto"/>
            <w:vAlign w:val="center"/>
          </w:tcPr>
          <w:p w14:paraId="29F0C2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720" w:type="dxa"/>
            <w:tcBorders>
              <w:top w:val="single" w:color="000000" w:sz="4" w:space="0"/>
              <w:left w:val="single" w:color="000000" w:sz="4" w:space="0"/>
              <w:bottom w:val="nil"/>
              <w:right w:val="single" w:color="000000" w:sz="4" w:space="0"/>
            </w:tcBorders>
            <w:shd w:val="clear" w:color="auto" w:fill="auto"/>
            <w:vAlign w:val="center"/>
          </w:tcPr>
          <w:p w14:paraId="637B0445">
            <w:pPr>
              <w:jc w:val="center"/>
              <w:rPr>
                <w:rFonts w:hint="eastAsia" w:ascii="宋体" w:hAnsi="宋体" w:eastAsia="宋体" w:cs="宋体"/>
                <w:i w:val="0"/>
                <w:iCs w:val="0"/>
                <w:color w:val="000000"/>
                <w:sz w:val="18"/>
                <w:szCs w:val="18"/>
                <w:u w:val="none"/>
              </w:rPr>
            </w:pPr>
          </w:p>
        </w:tc>
      </w:tr>
      <w:tr w14:paraId="5445A2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705" w:type="dxa"/>
            <w:vMerge w:val="continue"/>
            <w:tcBorders>
              <w:top w:val="single" w:color="000000" w:sz="4" w:space="0"/>
              <w:left w:val="single" w:color="000000" w:sz="4" w:space="0"/>
              <w:bottom w:val="nil"/>
              <w:right w:val="single" w:color="000000" w:sz="4" w:space="0"/>
            </w:tcBorders>
            <w:shd w:val="clear" w:color="auto" w:fill="auto"/>
            <w:vAlign w:val="center"/>
          </w:tcPr>
          <w:p w14:paraId="6F8D1E58">
            <w:pPr>
              <w:jc w:val="center"/>
              <w:rPr>
                <w:rFonts w:hint="eastAsia" w:ascii="宋体" w:hAnsi="宋体" w:eastAsia="宋体" w:cs="宋体"/>
                <w:i w:val="0"/>
                <w:iCs w:val="0"/>
                <w:color w:val="000000"/>
                <w:sz w:val="18"/>
                <w:szCs w:val="18"/>
                <w:u w:val="none"/>
              </w:rPr>
            </w:pPr>
          </w:p>
        </w:tc>
        <w:tc>
          <w:tcPr>
            <w:tcW w:w="795" w:type="dxa"/>
            <w:vMerge w:val="continue"/>
            <w:tcBorders>
              <w:top w:val="single" w:color="000000" w:sz="4" w:space="0"/>
              <w:left w:val="single" w:color="000000" w:sz="4" w:space="0"/>
              <w:bottom w:val="nil"/>
              <w:right w:val="single" w:color="000000" w:sz="4" w:space="0"/>
            </w:tcBorders>
            <w:shd w:val="clear" w:color="auto" w:fill="auto"/>
            <w:vAlign w:val="center"/>
          </w:tcPr>
          <w:p w14:paraId="6D9FCDDF">
            <w:pPr>
              <w:jc w:val="center"/>
              <w:rPr>
                <w:rFonts w:hint="eastAsia" w:ascii="宋体" w:hAnsi="宋体" w:eastAsia="宋体" w:cs="宋体"/>
                <w:i w:val="0"/>
                <w:iCs w:val="0"/>
                <w:color w:val="000000"/>
                <w:sz w:val="18"/>
                <w:szCs w:val="18"/>
                <w:u w:val="none"/>
              </w:rPr>
            </w:pPr>
          </w:p>
        </w:tc>
        <w:tc>
          <w:tcPr>
            <w:tcW w:w="780" w:type="dxa"/>
            <w:vMerge w:val="continue"/>
            <w:tcBorders>
              <w:top w:val="single" w:color="000000" w:sz="4" w:space="0"/>
              <w:left w:val="single" w:color="000000" w:sz="4" w:space="0"/>
              <w:bottom w:val="nil"/>
              <w:right w:val="single" w:color="000000" w:sz="4" w:space="0"/>
            </w:tcBorders>
            <w:shd w:val="clear" w:color="auto" w:fill="auto"/>
            <w:vAlign w:val="center"/>
          </w:tcPr>
          <w:p w14:paraId="53FDDAF5">
            <w:pPr>
              <w:jc w:val="center"/>
              <w:rPr>
                <w:rFonts w:hint="eastAsia" w:ascii="宋体" w:hAnsi="宋体" w:eastAsia="宋体" w:cs="宋体"/>
                <w:i w:val="0"/>
                <w:iCs w:val="0"/>
                <w:color w:val="000000"/>
                <w:sz w:val="18"/>
                <w:szCs w:val="18"/>
                <w:u w:val="none"/>
              </w:rPr>
            </w:pPr>
          </w:p>
        </w:tc>
        <w:tc>
          <w:tcPr>
            <w:tcW w:w="735" w:type="dxa"/>
            <w:tcBorders>
              <w:top w:val="single" w:color="000000" w:sz="4" w:space="0"/>
              <w:left w:val="single" w:color="000000" w:sz="4" w:space="0"/>
              <w:bottom w:val="nil"/>
              <w:right w:val="single" w:color="000000" w:sz="4" w:space="0"/>
            </w:tcBorders>
            <w:shd w:val="clear" w:color="auto" w:fill="auto"/>
            <w:vAlign w:val="center"/>
          </w:tcPr>
          <w:p w14:paraId="28470D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保障电话机正常使用数量</w:t>
            </w:r>
          </w:p>
        </w:tc>
        <w:tc>
          <w:tcPr>
            <w:tcW w:w="750" w:type="dxa"/>
            <w:tcBorders>
              <w:top w:val="single" w:color="000000" w:sz="4" w:space="0"/>
              <w:left w:val="single" w:color="000000" w:sz="4" w:space="0"/>
              <w:bottom w:val="nil"/>
              <w:right w:val="single" w:color="000000" w:sz="4" w:space="0"/>
            </w:tcBorders>
            <w:shd w:val="clear" w:color="auto" w:fill="auto"/>
            <w:vAlign w:val="center"/>
          </w:tcPr>
          <w:p w14:paraId="7B3DB1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735" w:type="dxa"/>
            <w:tcBorders>
              <w:top w:val="single" w:color="000000" w:sz="4" w:space="0"/>
              <w:left w:val="single" w:color="000000" w:sz="4" w:space="0"/>
              <w:bottom w:val="nil"/>
              <w:right w:val="single" w:color="000000" w:sz="4" w:space="0"/>
            </w:tcBorders>
            <w:shd w:val="clear" w:color="auto" w:fill="auto"/>
            <w:vAlign w:val="center"/>
          </w:tcPr>
          <w:p w14:paraId="00D29E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705" w:type="dxa"/>
            <w:tcBorders>
              <w:top w:val="single" w:color="000000" w:sz="4" w:space="0"/>
              <w:left w:val="single" w:color="000000" w:sz="4" w:space="0"/>
              <w:bottom w:val="nil"/>
              <w:right w:val="single" w:color="000000" w:sz="4" w:space="0"/>
            </w:tcBorders>
            <w:shd w:val="clear" w:color="auto" w:fill="auto"/>
            <w:vAlign w:val="center"/>
          </w:tcPr>
          <w:p w14:paraId="23BADF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w:t>
            </w:r>
          </w:p>
        </w:tc>
        <w:tc>
          <w:tcPr>
            <w:tcW w:w="705" w:type="dxa"/>
            <w:tcBorders>
              <w:top w:val="single" w:color="000000" w:sz="4" w:space="0"/>
              <w:left w:val="single" w:color="000000" w:sz="4" w:space="0"/>
              <w:bottom w:val="nil"/>
              <w:right w:val="single" w:color="000000" w:sz="4" w:space="0"/>
            </w:tcBorders>
            <w:shd w:val="clear" w:color="auto" w:fill="auto"/>
            <w:vAlign w:val="center"/>
          </w:tcPr>
          <w:p w14:paraId="4536E7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w:t>
            </w:r>
          </w:p>
        </w:tc>
        <w:tc>
          <w:tcPr>
            <w:tcW w:w="780" w:type="dxa"/>
            <w:tcBorders>
              <w:top w:val="single" w:color="000000" w:sz="4" w:space="0"/>
              <w:left w:val="single" w:color="000000" w:sz="4" w:space="0"/>
              <w:bottom w:val="nil"/>
              <w:right w:val="single" w:color="000000" w:sz="4" w:space="0"/>
            </w:tcBorders>
            <w:shd w:val="clear" w:color="auto" w:fill="auto"/>
            <w:vAlign w:val="center"/>
          </w:tcPr>
          <w:p w14:paraId="143430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部</w:t>
            </w:r>
          </w:p>
        </w:tc>
        <w:tc>
          <w:tcPr>
            <w:tcW w:w="750" w:type="dxa"/>
            <w:tcBorders>
              <w:top w:val="single" w:color="000000" w:sz="4" w:space="0"/>
              <w:left w:val="single" w:color="000000" w:sz="4" w:space="0"/>
              <w:bottom w:val="nil"/>
              <w:right w:val="single" w:color="000000" w:sz="4" w:space="0"/>
            </w:tcBorders>
            <w:shd w:val="clear" w:color="auto" w:fill="auto"/>
            <w:vAlign w:val="center"/>
          </w:tcPr>
          <w:p w14:paraId="0386A4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795" w:type="dxa"/>
            <w:tcBorders>
              <w:top w:val="single" w:color="000000" w:sz="4" w:space="0"/>
              <w:left w:val="single" w:color="000000" w:sz="4" w:space="0"/>
              <w:bottom w:val="nil"/>
              <w:right w:val="single" w:color="000000" w:sz="4" w:space="0"/>
            </w:tcBorders>
            <w:shd w:val="clear" w:color="auto" w:fill="auto"/>
            <w:vAlign w:val="center"/>
          </w:tcPr>
          <w:p w14:paraId="22E45F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720" w:type="dxa"/>
            <w:tcBorders>
              <w:top w:val="single" w:color="000000" w:sz="4" w:space="0"/>
              <w:left w:val="single" w:color="000000" w:sz="4" w:space="0"/>
              <w:bottom w:val="nil"/>
              <w:right w:val="single" w:color="000000" w:sz="4" w:space="0"/>
            </w:tcBorders>
            <w:shd w:val="clear" w:color="auto" w:fill="auto"/>
            <w:vAlign w:val="center"/>
          </w:tcPr>
          <w:p w14:paraId="7D898ED3">
            <w:pPr>
              <w:jc w:val="center"/>
              <w:rPr>
                <w:rFonts w:hint="eastAsia" w:ascii="宋体" w:hAnsi="宋体" w:eastAsia="宋体" w:cs="宋体"/>
                <w:i w:val="0"/>
                <w:iCs w:val="0"/>
                <w:color w:val="000000"/>
                <w:sz w:val="18"/>
                <w:szCs w:val="18"/>
                <w:u w:val="none"/>
              </w:rPr>
            </w:pPr>
          </w:p>
        </w:tc>
      </w:tr>
      <w:tr w14:paraId="3E0394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705" w:type="dxa"/>
            <w:vMerge w:val="continue"/>
            <w:tcBorders>
              <w:top w:val="single" w:color="000000" w:sz="4" w:space="0"/>
              <w:left w:val="single" w:color="000000" w:sz="4" w:space="0"/>
              <w:bottom w:val="nil"/>
              <w:right w:val="single" w:color="000000" w:sz="4" w:space="0"/>
            </w:tcBorders>
            <w:shd w:val="clear" w:color="auto" w:fill="auto"/>
            <w:vAlign w:val="center"/>
          </w:tcPr>
          <w:p w14:paraId="2A1262E2">
            <w:pPr>
              <w:jc w:val="center"/>
              <w:rPr>
                <w:rFonts w:hint="eastAsia" w:ascii="宋体" w:hAnsi="宋体" w:eastAsia="宋体" w:cs="宋体"/>
                <w:i w:val="0"/>
                <w:iCs w:val="0"/>
                <w:color w:val="000000"/>
                <w:sz w:val="18"/>
                <w:szCs w:val="18"/>
                <w:u w:val="none"/>
              </w:rPr>
            </w:pPr>
          </w:p>
        </w:tc>
        <w:tc>
          <w:tcPr>
            <w:tcW w:w="795" w:type="dxa"/>
            <w:vMerge w:val="continue"/>
            <w:tcBorders>
              <w:top w:val="single" w:color="000000" w:sz="4" w:space="0"/>
              <w:left w:val="single" w:color="000000" w:sz="4" w:space="0"/>
              <w:bottom w:val="nil"/>
              <w:right w:val="single" w:color="000000" w:sz="4" w:space="0"/>
            </w:tcBorders>
            <w:shd w:val="clear" w:color="auto" w:fill="auto"/>
            <w:vAlign w:val="center"/>
          </w:tcPr>
          <w:p w14:paraId="0FE6784F">
            <w:pPr>
              <w:jc w:val="center"/>
              <w:rPr>
                <w:rFonts w:hint="eastAsia" w:ascii="宋体" w:hAnsi="宋体" w:eastAsia="宋体" w:cs="宋体"/>
                <w:i w:val="0"/>
                <w:iCs w:val="0"/>
                <w:color w:val="000000"/>
                <w:sz w:val="18"/>
                <w:szCs w:val="18"/>
                <w:u w:val="none"/>
              </w:rPr>
            </w:pPr>
          </w:p>
        </w:tc>
        <w:tc>
          <w:tcPr>
            <w:tcW w:w="780" w:type="dxa"/>
            <w:vMerge w:val="continue"/>
            <w:tcBorders>
              <w:top w:val="single" w:color="000000" w:sz="4" w:space="0"/>
              <w:left w:val="single" w:color="000000" w:sz="4" w:space="0"/>
              <w:bottom w:val="nil"/>
              <w:right w:val="single" w:color="000000" w:sz="4" w:space="0"/>
            </w:tcBorders>
            <w:shd w:val="clear" w:color="auto" w:fill="auto"/>
            <w:vAlign w:val="center"/>
          </w:tcPr>
          <w:p w14:paraId="29712DFB">
            <w:pPr>
              <w:jc w:val="center"/>
              <w:rPr>
                <w:rFonts w:hint="eastAsia" w:ascii="宋体" w:hAnsi="宋体" w:eastAsia="宋体" w:cs="宋体"/>
                <w:i w:val="0"/>
                <w:iCs w:val="0"/>
                <w:color w:val="000000"/>
                <w:sz w:val="18"/>
                <w:szCs w:val="18"/>
                <w:u w:val="none"/>
              </w:rPr>
            </w:pPr>
          </w:p>
        </w:tc>
        <w:tc>
          <w:tcPr>
            <w:tcW w:w="735" w:type="dxa"/>
            <w:tcBorders>
              <w:top w:val="single" w:color="000000" w:sz="4" w:space="0"/>
              <w:left w:val="single" w:color="000000" w:sz="4" w:space="0"/>
              <w:bottom w:val="nil"/>
              <w:right w:val="single" w:color="000000" w:sz="4" w:space="0"/>
            </w:tcBorders>
            <w:shd w:val="clear" w:color="auto" w:fill="auto"/>
            <w:vAlign w:val="center"/>
          </w:tcPr>
          <w:p w14:paraId="4ABBA8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保障正常用水用电面积</w:t>
            </w:r>
          </w:p>
        </w:tc>
        <w:tc>
          <w:tcPr>
            <w:tcW w:w="750" w:type="dxa"/>
            <w:tcBorders>
              <w:top w:val="single" w:color="000000" w:sz="4" w:space="0"/>
              <w:left w:val="single" w:color="000000" w:sz="4" w:space="0"/>
              <w:bottom w:val="nil"/>
              <w:right w:val="single" w:color="000000" w:sz="4" w:space="0"/>
            </w:tcBorders>
            <w:shd w:val="clear" w:color="auto" w:fill="auto"/>
            <w:vAlign w:val="center"/>
          </w:tcPr>
          <w:p w14:paraId="33B5CF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735" w:type="dxa"/>
            <w:tcBorders>
              <w:top w:val="single" w:color="000000" w:sz="4" w:space="0"/>
              <w:left w:val="single" w:color="000000" w:sz="4" w:space="0"/>
              <w:bottom w:val="nil"/>
              <w:right w:val="single" w:color="000000" w:sz="4" w:space="0"/>
            </w:tcBorders>
            <w:shd w:val="clear" w:color="auto" w:fill="auto"/>
            <w:vAlign w:val="center"/>
          </w:tcPr>
          <w:p w14:paraId="5F3509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705" w:type="dxa"/>
            <w:tcBorders>
              <w:top w:val="single" w:color="000000" w:sz="4" w:space="0"/>
              <w:left w:val="single" w:color="000000" w:sz="4" w:space="0"/>
              <w:bottom w:val="nil"/>
              <w:right w:val="single" w:color="000000" w:sz="4" w:space="0"/>
            </w:tcBorders>
            <w:shd w:val="clear" w:color="auto" w:fill="auto"/>
            <w:vAlign w:val="center"/>
          </w:tcPr>
          <w:p w14:paraId="656D52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26256</w:t>
            </w:r>
          </w:p>
        </w:tc>
        <w:tc>
          <w:tcPr>
            <w:tcW w:w="705" w:type="dxa"/>
            <w:tcBorders>
              <w:top w:val="single" w:color="000000" w:sz="4" w:space="0"/>
              <w:left w:val="single" w:color="000000" w:sz="4" w:space="0"/>
              <w:bottom w:val="nil"/>
              <w:right w:val="single" w:color="000000" w:sz="4" w:space="0"/>
            </w:tcBorders>
            <w:shd w:val="clear" w:color="auto" w:fill="auto"/>
            <w:vAlign w:val="center"/>
          </w:tcPr>
          <w:p w14:paraId="6EC5FB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26256</w:t>
            </w:r>
          </w:p>
        </w:tc>
        <w:tc>
          <w:tcPr>
            <w:tcW w:w="780" w:type="dxa"/>
            <w:tcBorders>
              <w:top w:val="single" w:color="000000" w:sz="4" w:space="0"/>
              <w:left w:val="single" w:color="000000" w:sz="4" w:space="0"/>
              <w:bottom w:val="nil"/>
              <w:right w:val="single" w:color="000000" w:sz="4" w:space="0"/>
            </w:tcBorders>
            <w:shd w:val="clear" w:color="auto" w:fill="auto"/>
            <w:vAlign w:val="center"/>
          </w:tcPr>
          <w:p w14:paraId="78C5C3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平米</w:t>
            </w:r>
          </w:p>
        </w:tc>
        <w:tc>
          <w:tcPr>
            <w:tcW w:w="750" w:type="dxa"/>
            <w:tcBorders>
              <w:top w:val="single" w:color="000000" w:sz="4" w:space="0"/>
              <w:left w:val="single" w:color="000000" w:sz="4" w:space="0"/>
              <w:bottom w:val="nil"/>
              <w:right w:val="single" w:color="000000" w:sz="4" w:space="0"/>
            </w:tcBorders>
            <w:shd w:val="clear" w:color="auto" w:fill="auto"/>
            <w:vAlign w:val="center"/>
          </w:tcPr>
          <w:p w14:paraId="7BB7B7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795" w:type="dxa"/>
            <w:tcBorders>
              <w:top w:val="single" w:color="000000" w:sz="4" w:space="0"/>
              <w:left w:val="single" w:color="000000" w:sz="4" w:space="0"/>
              <w:bottom w:val="nil"/>
              <w:right w:val="single" w:color="000000" w:sz="4" w:space="0"/>
            </w:tcBorders>
            <w:shd w:val="clear" w:color="auto" w:fill="auto"/>
            <w:vAlign w:val="center"/>
          </w:tcPr>
          <w:p w14:paraId="27A31F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720" w:type="dxa"/>
            <w:tcBorders>
              <w:top w:val="single" w:color="000000" w:sz="4" w:space="0"/>
              <w:left w:val="single" w:color="000000" w:sz="4" w:space="0"/>
              <w:bottom w:val="nil"/>
              <w:right w:val="single" w:color="000000" w:sz="4" w:space="0"/>
            </w:tcBorders>
            <w:shd w:val="clear" w:color="auto" w:fill="auto"/>
            <w:vAlign w:val="center"/>
          </w:tcPr>
          <w:p w14:paraId="194F45E6">
            <w:pPr>
              <w:jc w:val="center"/>
              <w:rPr>
                <w:rFonts w:hint="eastAsia" w:ascii="宋体" w:hAnsi="宋体" w:eastAsia="宋体" w:cs="宋体"/>
                <w:i w:val="0"/>
                <w:iCs w:val="0"/>
                <w:color w:val="000000"/>
                <w:sz w:val="18"/>
                <w:szCs w:val="18"/>
                <w:u w:val="none"/>
              </w:rPr>
            </w:pPr>
          </w:p>
        </w:tc>
      </w:tr>
      <w:tr w14:paraId="72C1CC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705" w:type="dxa"/>
            <w:vMerge w:val="continue"/>
            <w:tcBorders>
              <w:top w:val="single" w:color="000000" w:sz="4" w:space="0"/>
              <w:left w:val="single" w:color="000000" w:sz="4" w:space="0"/>
              <w:bottom w:val="nil"/>
              <w:right w:val="single" w:color="000000" w:sz="4" w:space="0"/>
            </w:tcBorders>
            <w:shd w:val="clear" w:color="auto" w:fill="auto"/>
            <w:vAlign w:val="center"/>
          </w:tcPr>
          <w:p w14:paraId="30382AB7">
            <w:pPr>
              <w:jc w:val="center"/>
              <w:rPr>
                <w:rFonts w:hint="eastAsia" w:ascii="宋体" w:hAnsi="宋体" w:eastAsia="宋体" w:cs="宋体"/>
                <w:i w:val="0"/>
                <w:iCs w:val="0"/>
                <w:color w:val="000000"/>
                <w:sz w:val="18"/>
                <w:szCs w:val="18"/>
                <w:u w:val="none"/>
              </w:rPr>
            </w:pPr>
          </w:p>
        </w:tc>
        <w:tc>
          <w:tcPr>
            <w:tcW w:w="795" w:type="dxa"/>
            <w:vMerge w:val="continue"/>
            <w:tcBorders>
              <w:top w:val="single" w:color="000000" w:sz="4" w:space="0"/>
              <w:left w:val="single" w:color="000000" w:sz="4" w:space="0"/>
              <w:bottom w:val="nil"/>
              <w:right w:val="single" w:color="000000" w:sz="4" w:space="0"/>
            </w:tcBorders>
            <w:shd w:val="clear" w:color="auto" w:fill="auto"/>
            <w:vAlign w:val="center"/>
          </w:tcPr>
          <w:p w14:paraId="6C8CEA2B">
            <w:pPr>
              <w:jc w:val="center"/>
              <w:rPr>
                <w:rFonts w:hint="eastAsia" w:ascii="宋体" w:hAnsi="宋体" w:eastAsia="宋体" w:cs="宋体"/>
                <w:i w:val="0"/>
                <w:iCs w:val="0"/>
                <w:color w:val="000000"/>
                <w:sz w:val="18"/>
                <w:szCs w:val="18"/>
                <w:u w:val="none"/>
              </w:rPr>
            </w:pPr>
          </w:p>
        </w:tc>
        <w:tc>
          <w:tcPr>
            <w:tcW w:w="780" w:type="dxa"/>
            <w:vMerge w:val="restart"/>
            <w:tcBorders>
              <w:top w:val="single" w:color="000000" w:sz="4" w:space="0"/>
              <w:left w:val="single" w:color="000000" w:sz="4" w:space="0"/>
              <w:bottom w:val="nil"/>
              <w:right w:val="single" w:color="000000" w:sz="4" w:space="0"/>
            </w:tcBorders>
            <w:shd w:val="clear" w:color="auto" w:fill="auto"/>
            <w:vAlign w:val="center"/>
          </w:tcPr>
          <w:p w14:paraId="07F896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735" w:type="dxa"/>
            <w:tcBorders>
              <w:top w:val="single" w:color="000000" w:sz="4" w:space="0"/>
              <w:left w:val="single" w:color="000000" w:sz="4" w:space="0"/>
              <w:bottom w:val="nil"/>
              <w:right w:val="single" w:color="000000" w:sz="4" w:space="0"/>
            </w:tcBorders>
            <w:shd w:val="clear" w:color="auto" w:fill="auto"/>
            <w:vAlign w:val="center"/>
          </w:tcPr>
          <w:p w14:paraId="5225C2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整体停水停电率</w:t>
            </w:r>
          </w:p>
        </w:tc>
        <w:tc>
          <w:tcPr>
            <w:tcW w:w="750" w:type="dxa"/>
            <w:tcBorders>
              <w:top w:val="single" w:color="000000" w:sz="4" w:space="0"/>
              <w:left w:val="single" w:color="000000" w:sz="4" w:space="0"/>
              <w:bottom w:val="nil"/>
              <w:right w:val="single" w:color="000000" w:sz="4" w:space="0"/>
            </w:tcBorders>
            <w:shd w:val="clear" w:color="auto" w:fill="auto"/>
            <w:vAlign w:val="center"/>
          </w:tcPr>
          <w:p w14:paraId="21F843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w:t>
            </w:r>
          </w:p>
        </w:tc>
        <w:tc>
          <w:tcPr>
            <w:tcW w:w="735" w:type="dxa"/>
            <w:tcBorders>
              <w:top w:val="single" w:color="000000" w:sz="4" w:space="0"/>
              <w:left w:val="single" w:color="000000" w:sz="4" w:space="0"/>
              <w:bottom w:val="nil"/>
              <w:right w:val="single" w:color="000000" w:sz="4" w:space="0"/>
            </w:tcBorders>
            <w:shd w:val="clear" w:color="auto" w:fill="auto"/>
            <w:vAlign w:val="center"/>
          </w:tcPr>
          <w:p w14:paraId="725891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小于等于</w:t>
            </w:r>
          </w:p>
        </w:tc>
        <w:tc>
          <w:tcPr>
            <w:tcW w:w="705" w:type="dxa"/>
            <w:tcBorders>
              <w:top w:val="single" w:color="000000" w:sz="4" w:space="0"/>
              <w:left w:val="single" w:color="000000" w:sz="4" w:space="0"/>
              <w:bottom w:val="nil"/>
              <w:right w:val="single" w:color="000000" w:sz="4" w:space="0"/>
            </w:tcBorders>
            <w:shd w:val="clear" w:color="auto" w:fill="auto"/>
            <w:vAlign w:val="center"/>
          </w:tcPr>
          <w:p w14:paraId="6C0D94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705" w:type="dxa"/>
            <w:tcBorders>
              <w:top w:val="single" w:color="000000" w:sz="4" w:space="0"/>
              <w:left w:val="single" w:color="000000" w:sz="4" w:space="0"/>
              <w:bottom w:val="nil"/>
              <w:right w:val="single" w:color="000000" w:sz="4" w:space="0"/>
            </w:tcBorders>
            <w:shd w:val="clear" w:color="auto" w:fill="auto"/>
            <w:vAlign w:val="center"/>
          </w:tcPr>
          <w:p w14:paraId="28A478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780" w:type="dxa"/>
            <w:tcBorders>
              <w:top w:val="single" w:color="000000" w:sz="4" w:space="0"/>
              <w:left w:val="single" w:color="000000" w:sz="4" w:space="0"/>
              <w:bottom w:val="nil"/>
              <w:right w:val="single" w:color="000000" w:sz="4" w:space="0"/>
            </w:tcBorders>
            <w:shd w:val="clear" w:color="auto" w:fill="auto"/>
            <w:vAlign w:val="center"/>
          </w:tcPr>
          <w:p w14:paraId="4603EC6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50" w:type="dxa"/>
            <w:tcBorders>
              <w:top w:val="single" w:color="000000" w:sz="4" w:space="0"/>
              <w:left w:val="single" w:color="000000" w:sz="4" w:space="0"/>
              <w:bottom w:val="nil"/>
              <w:right w:val="single" w:color="000000" w:sz="4" w:space="0"/>
            </w:tcBorders>
            <w:shd w:val="clear" w:color="auto" w:fill="auto"/>
            <w:vAlign w:val="center"/>
          </w:tcPr>
          <w:p w14:paraId="67D2EE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795" w:type="dxa"/>
            <w:tcBorders>
              <w:top w:val="single" w:color="000000" w:sz="4" w:space="0"/>
              <w:left w:val="single" w:color="000000" w:sz="4" w:space="0"/>
              <w:bottom w:val="nil"/>
              <w:right w:val="single" w:color="000000" w:sz="4" w:space="0"/>
            </w:tcBorders>
            <w:shd w:val="clear" w:color="auto" w:fill="auto"/>
            <w:vAlign w:val="center"/>
          </w:tcPr>
          <w:p w14:paraId="462D0C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720" w:type="dxa"/>
            <w:tcBorders>
              <w:top w:val="single" w:color="000000" w:sz="4" w:space="0"/>
              <w:left w:val="single" w:color="000000" w:sz="4" w:space="0"/>
              <w:bottom w:val="nil"/>
              <w:right w:val="single" w:color="000000" w:sz="4" w:space="0"/>
            </w:tcBorders>
            <w:shd w:val="clear" w:color="auto" w:fill="auto"/>
            <w:vAlign w:val="center"/>
          </w:tcPr>
          <w:p w14:paraId="37AA04F9">
            <w:pPr>
              <w:jc w:val="center"/>
              <w:rPr>
                <w:rFonts w:hint="eastAsia" w:ascii="宋体" w:hAnsi="宋体" w:eastAsia="宋体" w:cs="宋体"/>
                <w:i w:val="0"/>
                <w:iCs w:val="0"/>
                <w:color w:val="000000"/>
                <w:sz w:val="18"/>
                <w:szCs w:val="18"/>
                <w:u w:val="none"/>
              </w:rPr>
            </w:pPr>
          </w:p>
        </w:tc>
      </w:tr>
      <w:tr w14:paraId="419D21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705" w:type="dxa"/>
            <w:vMerge w:val="continue"/>
            <w:tcBorders>
              <w:top w:val="single" w:color="000000" w:sz="4" w:space="0"/>
              <w:left w:val="single" w:color="000000" w:sz="4" w:space="0"/>
              <w:bottom w:val="nil"/>
              <w:right w:val="single" w:color="000000" w:sz="4" w:space="0"/>
            </w:tcBorders>
            <w:shd w:val="clear" w:color="auto" w:fill="auto"/>
            <w:vAlign w:val="center"/>
          </w:tcPr>
          <w:p w14:paraId="4D9C7C47">
            <w:pPr>
              <w:jc w:val="center"/>
              <w:rPr>
                <w:rFonts w:hint="eastAsia" w:ascii="宋体" w:hAnsi="宋体" w:eastAsia="宋体" w:cs="宋体"/>
                <w:i w:val="0"/>
                <w:iCs w:val="0"/>
                <w:color w:val="000000"/>
                <w:sz w:val="18"/>
                <w:szCs w:val="18"/>
                <w:u w:val="none"/>
              </w:rPr>
            </w:pPr>
          </w:p>
        </w:tc>
        <w:tc>
          <w:tcPr>
            <w:tcW w:w="795" w:type="dxa"/>
            <w:vMerge w:val="continue"/>
            <w:tcBorders>
              <w:top w:val="single" w:color="000000" w:sz="4" w:space="0"/>
              <w:left w:val="single" w:color="000000" w:sz="4" w:space="0"/>
              <w:bottom w:val="nil"/>
              <w:right w:val="single" w:color="000000" w:sz="4" w:space="0"/>
            </w:tcBorders>
            <w:shd w:val="clear" w:color="auto" w:fill="auto"/>
            <w:vAlign w:val="center"/>
          </w:tcPr>
          <w:p w14:paraId="2555CB26">
            <w:pPr>
              <w:jc w:val="center"/>
              <w:rPr>
                <w:rFonts w:hint="eastAsia" w:ascii="宋体" w:hAnsi="宋体" w:eastAsia="宋体" w:cs="宋体"/>
                <w:i w:val="0"/>
                <w:iCs w:val="0"/>
                <w:color w:val="000000"/>
                <w:sz w:val="18"/>
                <w:szCs w:val="18"/>
                <w:u w:val="none"/>
              </w:rPr>
            </w:pPr>
          </w:p>
        </w:tc>
        <w:tc>
          <w:tcPr>
            <w:tcW w:w="780" w:type="dxa"/>
            <w:vMerge w:val="continue"/>
            <w:tcBorders>
              <w:top w:val="single" w:color="000000" w:sz="4" w:space="0"/>
              <w:left w:val="single" w:color="000000" w:sz="4" w:space="0"/>
              <w:bottom w:val="nil"/>
              <w:right w:val="single" w:color="000000" w:sz="4" w:space="0"/>
            </w:tcBorders>
            <w:shd w:val="clear" w:color="auto" w:fill="auto"/>
            <w:vAlign w:val="center"/>
          </w:tcPr>
          <w:p w14:paraId="794212B6">
            <w:pPr>
              <w:jc w:val="center"/>
              <w:rPr>
                <w:rFonts w:hint="eastAsia" w:ascii="宋体" w:hAnsi="宋体" w:eastAsia="宋体" w:cs="宋体"/>
                <w:i w:val="0"/>
                <w:iCs w:val="0"/>
                <w:color w:val="000000"/>
                <w:sz w:val="18"/>
                <w:szCs w:val="18"/>
                <w:u w:val="none"/>
              </w:rPr>
            </w:pPr>
          </w:p>
        </w:tc>
        <w:tc>
          <w:tcPr>
            <w:tcW w:w="735" w:type="dxa"/>
            <w:tcBorders>
              <w:top w:val="single" w:color="000000" w:sz="4" w:space="0"/>
              <w:left w:val="single" w:color="000000" w:sz="4" w:space="0"/>
              <w:bottom w:val="nil"/>
              <w:right w:val="single" w:color="000000" w:sz="4" w:space="0"/>
            </w:tcBorders>
            <w:shd w:val="clear" w:color="auto" w:fill="auto"/>
            <w:vAlign w:val="center"/>
          </w:tcPr>
          <w:p w14:paraId="263AC8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通讯专线正常使用率</w:t>
            </w:r>
          </w:p>
        </w:tc>
        <w:tc>
          <w:tcPr>
            <w:tcW w:w="750" w:type="dxa"/>
            <w:tcBorders>
              <w:top w:val="single" w:color="000000" w:sz="4" w:space="0"/>
              <w:left w:val="single" w:color="000000" w:sz="4" w:space="0"/>
              <w:bottom w:val="nil"/>
              <w:right w:val="single" w:color="000000" w:sz="4" w:space="0"/>
            </w:tcBorders>
            <w:shd w:val="clear" w:color="auto" w:fill="auto"/>
            <w:vAlign w:val="center"/>
          </w:tcPr>
          <w:p w14:paraId="4D58B5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735" w:type="dxa"/>
            <w:tcBorders>
              <w:top w:val="single" w:color="000000" w:sz="4" w:space="0"/>
              <w:left w:val="single" w:color="000000" w:sz="4" w:space="0"/>
              <w:bottom w:val="nil"/>
              <w:right w:val="single" w:color="000000" w:sz="4" w:space="0"/>
            </w:tcBorders>
            <w:shd w:val="clear" w:color="auto" w:fill="auto"/>
            <w:vAlign w:val="center"/>
          </w:tcPr>
          <w:p w14:paraId="655AE3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705" w:type="dxa"/>
            <w:tcBorders>
              <w:top w:val="single" w:color="000000" w:sz="4" w:space="0"/>
              <w:left w:val="single" w:color="000000" w:sz="4" w:space="0"/>
              <w:bottom w:val="nil"/>
              <w:right w:val="single" w:color="000000" w:sz="4" w:space="0"/>
            </w:tcBorders>
            <w:shd w:val="clear" w:color="auto" w:fill="auto"/>
            <w:vAlign w:val="center"/>
          </w:tcPr>
          <w:p w14:paraId="2AADE5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w:t>
            </w:r>
          </w:p>
        </w:tc>
        <w:tc>
          <w:tcPr>
            <w:tcW w:w="705" w:type="dxa"/>
            <w:tcBorders>
              <w:top w:val="single" w:color="000000" w:sz="4" w:space="0"/>
              <w:left w:val="single" w:color="000000" w:sz="4" w:space="0"/>
              <w:bottom w:val="nil"/>
              <w:right w:val="single" w:color="000000" w:sz="4" w:space="0"/>
            </w:tcBorders>
            <w:shd w:val="clear" w:color="auto" w:fill="auto"/>
            <w:vAlign w:val="center"/>
          </w:tcPr>
          <w:p w14:paraId="0FB551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w:t>
            </w:r>
          </w:p>
        </w:tc>
        <w:tc>
          <w:tcPr>
            <w:tcW w:w="780" w:type="dxa"/>
            <w:tcBorders>
              <w:top w:val="single" w:color="000000" w:sz="4" w:space="0"/>
              <w:left w:val="single" w:color="000000" w:sz="4" w:space="0"/>
              <w:bottom w:val="nil"/>
              <w:right w:val="single" w:color="000000" w:sz="4" w:space="0"/>
            </w:tcBorders>
            <w:shd w:val="clear" w:color="auto" w:fill="auto"/>
            <w:vAlign w:val="center"/>
          </w:tcPr>
          <w:p w14:paraId="2278DC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50" w:type="dxa"/>
            <w:tcBorders>
              <w:top w:val="single" w:color="000000" w:sz="4" w:space="0"/>
              <w:left w:val="single" w:color="000000" w:sz="4" w:space="0"/>
              <w:bottom w:val="nil"/>
              <w:right w:val="single" w:color="000000" w:sz="4" w:space="0"/>
            </w:tcBorders>
            <w:shd w:val="clear" w:color="auto" w:fill="auto"/>
            <w:vAlign w:val="center"/>
          </w:tcPr>
          <w:p w14:paraId="58AF9A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795" w:type="dxa"/>
            <w:tcBorders>
              <w:top w:val="single" w:color="000000" w:sz="4" w:space="0"/>
              <w:left w:val="single" w:color="000000" w:sz="4" w:space="0"/>
              <w:bottom w:val="nil"/>
              <w:right w:val="single" w:color="000000" w:sz="4" w:space="0"/>
            </w:tcBorders>
            <w:shd w:val="clear" w:color="auto" w:fill="auto"/>
            <w:vAlign w:val="center"/>
          </w:tcPr>
          <w:p w14:paraId="1F2D7D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720" w:type="dxa"/>
            <w:tcBorders>
              <w:top w:val="single" w:color="000000" w:sz="4" w:space="0"/>
              <w:left w:val="single" w:color="000000" w:sz="4" w:space="0"/>
              <w:bottom w:val="nil"/>
              <w:right w:val="single" w:color="000000" w:sz="4" w:space="0"/>
            </w:tcBorders>
            <w:shd w:val="clear" w:color="auto" w:fill="auto"/>
            <w:vAlign w:val="center"/>
          </w:tcPr>
          <w:p w14:paraId="181BD888">
            <w:pPr>
              <w:jc w:val="center"/>
              <w:rPr>
                <w:rFonts w:hint="eastAsia" w:ascii="宋体" w:hAnsi="宋体" w:eastAsia="宋体" w:cs="宋体"/>
                <w:i w:val="0"/>
                <w:iCs w:val="0"/>
                <w:color w:val="000000"/>
                <w:sz w:val="18"/>
                <w:szCs w:val="18"/>
                <w:u w:val="none"/>
              </w:rPr>
            </w:pPr>
          </w:p>
        </w:tc>
      </w:tr>
      <w:tr w14:paraId="4C601D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705" w:type="dxa"/>
            <w:vMerge w:val="continue"/>
            <w:tcBorders>
              <w:top w:val="single" w:color="000000" w:sz="4" w:space="0"/>
              <w:left w:val="single" w:color="000000" w:sz="4" w:space="0"/>
              <w:bottom w:val="nil"/>
              <w:right w:val="single" w:color="000000" w:sz="4" w:space="0"/>
            </w:tcBorders>
            <w:shd w:val="clear" w:color="auto" w:fill="auto"/>
            <w:vAlign w:val="center"/>
          </w:tcPr>
          <w:p w14:paraId="4FF7CD60">
            <w:pPr>
              <w:jc w:val="center"/>
              <w:rPr>
                <w:rFonts w:hint="eastAsia" w:ascii="宋体" w:hAnsi="宋体" w:eastAsia="宋体" w:cs="宋体"/>
                <w:i w:val="0"/>
                <w:iCs w:val="0"/>
                <w:color w:val="000000"/>
                <w:sz w:val="18"/>
                <w:szCs w:val="18"/>
                <w:u w:val="none"/>
              </w:rPr>
            </w:pPr>
          </w:p>
        </w:tc>
        <w:tc>
          <w:tcPr>
            <w:tcW w:w="795" w:type="dxa"/>
            <w:vMerge w:val="continue"/>
            <w:tcBorders>
              <w:top w:val="single" w:color="000000" w:sz="4" w:space="0"/>
              <w:left w:val="single" w:color="000000" w:sz="4" w:space="0"/>
              <w:bottom w:val="nil"/>
              <w:right w:val="single" w:color="000000" w:sz="4" w:space="0"/>
            </w:tcBorders>
            <w:shd w:val="clear" w:color="auto" w:fill="auto"/>
            <w:vAlign w:val="center"/>
          </w:tcPr>
          <w:p w14:paraId="01AC2E2C">
            <w:pPr>
              <w:jc w:val="center"/>
              <w:rPr>
                <w:rFonts w:hint="eastAsia" w:ascii="宋体" w:hAnsi="宋体" w:eastAsia="宋体" w:cs="宋体"/>
                <w:i w:val="0"/>
                <w:iCs w:val="0"/>
                <w:color w:val="000000"/>
                <w:sz w:val="18"/>
                <w:szCs w:val="18"/>
                <w:u w:val="none"/>
              </w:rPr>
            </w:pPr>
          </w:p>
        </w:tc>
        <w:tc>
          <w:tcPr>
            <w:tcW w:w="780" w:type="dxa"/>
            <w:vMerge w:val="continue"/>
            <w:tcBorders>
              <w:top w:val="single" w:color="000000" w:sz="4" w:space="0"/>
              <w:left w:val="single" w:color="000000" w:sz="4" w:space="0"/>
              <w:bottom w:val="nil"/>
              <w:right w:val="single" w:color="000000" w:sz="4" w:space="0"/>
            </w:tcBorders>
            <w:shd w:val="clear" w:color="auto" w:fill="auto"/>
            <w:vAlign w:val="center"/>
          </w:tcPr>
          <w:p w14:paraId="021B1493">
            <w:pPr>
              <w:jc w:val="center"/>
              <w:rPr>
                <w:rFonts w:hint="eastAsia" w:ascii="宋体" w:hAnsi="宋体" w:eastAsia="宋体" w:cs="宋体"/>
                <w:i w:val="0"/>
                <w:iCs w:val="0"/>
                <w:color w:val="000000"/>
                <w:sz w:val="18"/>
                <w:szCs w:val="18"/>
                <w:u w:val="none"/>
              </w:rPr>
            </w:pPr>
          </w:p>
        </w:tc>
        <w:tc>
          <w:tcPr>
            <w:tcW w:w="735" w:type="dxa"/>
            <w:tcBorders>
              <w:top w:val="single" w:color="000000" w:sz="4" w:space="0"/>
              <w:left w:val="single" w:color="000000" w:sz="4" w:space="0"/>
              <w:bottom w:val="nil"/>
              <w:right w:val="single" w:color="000000" w:sz="4" w:space="0"/>
            </w:tcBorders>
            <w:shd w:val="clear" w:color="auto" w:fill="auto"/>
            <w:vAlign w:val="center"/>
          </w:tcPr>
          <w:p w14:paraId="762B7B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电话机正常使用率</w:t>
            </w:r>
          </w:p>
        </w:tc>
        <w:tc>
          <w:tcPr>
            <w:tcW w:w="750" w:type="dxa"/>
            <w:tcBorders>
              <w:top w:val="single" w:color="000000" w:sz="4" w:space="0"/>
              <w:left w:val="single" w:color="000000" w:sz="4" w:space="0"/>
              <w:bottom w:val="nil"/>
              <w:right w:val="single" w:color="000000" w:sz="4" w:space="0"/>
            </w:tcBorders>
            <w:shd w:val="clear" w:color="auto" w:fill="auto"/>
            <w:vAlign w:val="center"/>
          </w:tcPr>
          <w:p w14:paraId="591A24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735" w:type="dxa"/>
            <w:tcBorders>
              <w:top w:val="single" w:color="000000" w:sz="4" w:space="0"/>
              <w:left w:val="single" w:color="000000" w:sz="4" w:space="0"/>
              <w:bottom w:val="nil"/>
              <w:right w:val="single" w:color="000000" w:sz="4" w:space="0"/>
            </w:tcBorders>
            <w:shd w:val="clear" w:color="auto" w:fill="auto"/>
            <w:vAlign w:val="center"/>
          </w:tcPr>
          <w:p w14:paraId="40FB95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705" w:type="dxa"/>
            <w:tcBorders>
              <w:top w:val="single" w:color="000000" w:sz="4" w:space="0"/>
              <w:left w:val="single" w:color="000000" w:sz="4" w:space="0"/>
              <w:bottom w:val="nil"/>
              <w:right w:val="single" w:color="000000" w:sz="4" w:space="0"/>
            </w:tcBorders>
            <w:shd w:val="clear" w:color="auto" w:fill="auto"/>
            <w:vAlign w:val="center"/>
          </w:tcPr>
          <w:p w14:paraId="4598E9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w:t>
            </w:r>
          </w:p>
        </w:tc>
        <w:tc>
          <w:tcPr>
            <w:tcW w:w="705" w:type="dxa"/>
            <w:tcBorders>
              <w:top w:val="single" w:color="000000" w:sz="4" w:space="0"/>
              <w:left w:val="single" w:color="000000" w:sz="4" w:space="0"/>
              <w:bottom w:val="nil"/>
              <w:right w:val="single" w:color="000000" w:sz="4" w:space="0"/>
            </w:tcBorders>
            <w:shd w:val="clear" w:color="auto" w:fill="auto"/>
            <w:vAlign w:val="center"/>
          </w:tcPr>
          <w:p w14:paraId="137F92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w:t>
            </w:r>
          </w:p>
        </w:tc>
        <w:tc>
          <w:tcPr>
            <w:tcW w:w="780" w:type="dxa"/>
            <w:tcBorders>
              <w:top w:val="single" w:color="000000" w:sz="4" w:space="0"/>
              <w:left w:val="single" w:color="000000" w:sz="4" w:space="0"/>
              <w:bottom w:val="nil"/>
              <w:right w:val="single" w:color="000000" w:sz="4" w:space="0"/>
            </w:tcBorders>
            <w:shd w:val="clear" w:color="auto" w:fill="auto"/>
            <w:vAlign w:val="center"/>
          </w:tcPr>
          <w:p w14:paraId="1552BC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50" w:type="dxa"/>
            <w:tcBorders>
              <w:top w:val="single" w:color="000000" w:sz="4" w:space="0"/>
              <w:left w:val="single" w:color="000000" w:sz="4" w:space="0"/>
              <w:bottom w:val="nil"/>
              <w:right w:val="single" w:color="000000" w:sz="4" w:space="0"/>
            </w:tcBorders>
            <w:shd w:val="clear" w:color="auto" w:fill="auto"/>
            <w:vAlign w:val="center"/>
          </w:tcPr>
          <w:p w14:paraId="4ED5F2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795" w:type="dxa"/>
            <w:tcBorders>
              <w:top w:val="single" w:color="000000" w:sz="4" w:space="0"/>
              <w:left w:val="single" w:color="000000" w:sz="4" w:space="0"/>
              <w:bottom w:val="nil"/>
              <w:right w:val="single" w:color="000000" w:sz="4" w:space="0"/>
            </w:tcBorders>
            <w:shd w:val="clear" w:color="auto" w:fill="auto"/>
            <w:vAlign w:val="center"/>
          </w:tcPr>
          <w:p w14:paraId="07CADF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720" w:type="dxa"/>
            <w:tcBorders>
              <w:top w:val="single" w:color="000000" w:sz="4" w:space="0"/>
              <w:left w:val="single" w:color="000000" w:sz="4" w:space="0"/>
              <w:bottom w:val="nil"/>
              <w:right w:val="single" w:color="000000" w:sz="4" w:space="0"/>
            </w:tcBorders>
            <w:shd w:val="clear" w:color="auto" w:fill="auto"/>
            <w:vAlign w:val="center"/>
          </w:tcPr>
          <w:p w14:paraId="171F4DC0">
            <w:pPr>
              <w:jc w:val="center"/>
              <w:rPr>
                <w:rFonts w:hint="eastAsia" w:ascii="宋体" w:hAnsi="宋体" w:eastAsia="宋体" w:cs="宋体"/>
                <w:i w:val="0"/>
                <w:iCs w:val="0"/>
                <w:color w:val="000000"/>
                <w:sz w:val="18"/>
                <w:szCs w:val="18"/>
                <w:u w:val="none"/>
              </w:rPr>
            </w:pPr>
          </w:p>
        </w:tc>
      </w:tr>
      <w:tr w14:paraId="361E9E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705" w:type="dxa"/>
            <w:vMerge w:val="continue"/>
            <w:tcBorders>
              <w:top w:val="single" w:color="000000" w:sz="4" w:space="0"/>
              <w:left w:val="single" w:color="000000" w:sz="4" w:space="0"/>
              <w:bottom w:val="nil"/>
              <w:right w:val="single" w:color="000000" w:sz="4" w:space="0"/>
            </w:tcBorders>
            <w:shd w:val="clear" w:color="auto" w:fill="auto"/>
            <w:vAlign w:val="center"/>
          </w:tcPr>
          <w:p w14:paraId="2AE2ABCC">
            <w:pPr>
              <w:jc w:val="center"/>
              <w:rPr>
                <w:rFonts w:hint="eastAsia" w:ascii="宋体" w:hAnsi="宋体" w:eastAsia="宋体" w:cs="宋体"/>
                <w:i w:val="0"/>
                <w:iCs w:val="0"/>
                <w:color w:val="000000"/>
                <w:sz w:val="18"/>
                <w:szCs w:val="18"/>
                <w:u w:val="none"/>
              </w:rPr>
            </w:pPr>
          </w:p>
        </w:tc>
        <w:tc>
          <w:tcPr>
            <w:tcW w:w="795" w:type="dxa"/>
            <w:vMerge w:val="continue"/>
            <w:tcBorders>
              <w:top w:val="single" w:color="000000" w:sz="4" w:space="0"/>
              <w:left w:val="single" w:color="000000" w:sz="4" w:space="0"/>
              <w:bottom w:val="nil"/>
              <w:right w:val="single" w:color="000000" w:sz="4" w:space="0"/>
            </w:tcBorders>
            <w:shd w:val="clear" w:color="auto" w:fill="auto"/>
            <w:vAlign w:val="center"/>
          </w:tcPr>
          <w:p w14:paraId="20C62396">
            <w:pPr>
              <w:jc w:val="center"/>
              <w:rPr>
                <w:rFonts w:hint="eastAsia" w:ascii="宋体" w:hAnsi="宋体" w:eastAsia="宋体" w:cs="宋体"/>
                <w:i w:val="0"/>
                <w:iCs w:val="0"/>
                <w:color w:val="000000"/>
                <w:sz w:val="18"/>
                <w:szCs w:val="18"/>
                <w:u w:val="none"/>
              </w:rPr>
            </w:pPr>
          </w:p>
        </w:tc>
        <w:tc>
          <w:tcPr>
            <w:tcW w:w="780" w:type="dxa"/>
            <w:vMerge w:val="restart"/>
            <w:tcBorders>
              <w:top w:val="single" w:color="000000" w:sz="4" w:space="0"/>
              <w:left w:val="single" w:color="000000" w:sz="4" w:space="0"/>
              <w:bottom w:val="nil"/>
              <w:right w:val="single" w:color="000000" w:sz="4" w:space="0"/>
            </w:tcBorders>
            <w:shd w:val="clear" w:color="auto" w:fill="auto"/>
            <w:vAlign w:val="center"/>
          </w:tcPr>
          <w:p w14:paraId="2D1853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735" w:type="dxa"/>
            <w:tcBorders>
              <w:top w:val="single" w:color="000000" w:sz="4" w:space="0"/>
              <w:left w:val="single" w:color="000000" w:sz="4" w:space="0"/>
              <w:bottom w:val="nil"/>
              <w:right w:val="single" w:color="000000" w:sz="4" w:space="0"/>
            </w:tcBorders>
            <w:shd w:val="clear" w:color="auto" w:fill="auto"/>
            <w:vAlign w:val="center"/>
          </w:tcPr>
          <w:p w14:paraId="4288F6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水电费用支付时间</w:t>
            </w:r>
          </w:p>
        </w:tc>
        <w:tc>
          <w:tcPr>
            <w:tcW w:w="750" w:type="dxa"/>
            <w:tcBorders>
              <w:top w:val="single" w:color="000000" w:sz="4" w:space="0"/>
              <w:left w:val="single" w:color="000000" w:sz="4" w:space="0"/>
              <w:bottom w:val="nil"/>
              <w:right w:val="single" w:color="000000" w:sz="4" w:space="0"/>
            </w:tcBorders>
            <w:shd w:val="clear" w:color="auto" w:fill="auto"/>
            <w:vAlign w:val="center"/>
          </w:tcPr>
          <w:p w14:paraId="7DB47F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735" w:type="dxa"/>
            <w:tcBorders>
              <w:top w:val="single" w:color="000000" w:sz="4" w:space="0"/>
              <w:left w:val="single" w:color="000000" w:sz="4" w:space="0"/>
              <w:bottom w:val="nil"/>
              <w:right w:val="single" w:color="000000" w:sz="4" w:space="0"/>
            </w:tcBorders>
            <w:shd w:val="clear" w:color="auto" w:fill="auto"/>
            <w:vAlign w:val="center"/>
          </w:tcPr>
          <w:p w14:paraId="4F91EA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等于</w:t>
            </w:r>
          </w:p>
        </w:tc>
        <w:tc>
          <w:tcPr>
            <w:tcW w:w="705" w:type="dxa"/>
            <w:tcBorders>
              <w:top w:val="single" w:color="000000" w:sz="4" w:space="0"/>
              <w:left w:val="single" w:color="000000" w:sz="4" w:space="0"/>
              <w:bottom w:val="nil"/>
              <w:right w:val="single" w:color="000000" w:sz="4" w:space="0"/>
            </w:tcBorders>
            <w:shd w:val="clear" w:color="auto" w:fill="auto"/>
            <w:vAlign w:val="center"/>
          </w:tcPr>
          <w:p w14:paraId="69B3A3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705" w:type="dxa"/>
            <w:tcBorders>
              <w:top w:val="single" w:color="000000" w:sz="4" w:space="0"/>
              <w:left w:val="single" w:color="000000" w:sz="4" w:space="0"/>
              <w:bottom w:val="nil"/>
              <w:right w:val="single" w:color="000000" w:sz="4" w:space="0"/>
            </w:tcBorders>
            <w:shd w:val="clear" w:color="auto" w:fill="auto"/>
            <w:vAlign w:val="center"/>
          </w:tcPr>
          <w:p w14:paraId="51617B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780" w:type="dxa"/>
            <w:tcBorders>
              <w:top w:val="single" w:color="000000" w:sz="4" w:space="0"/>
              <w:left w:val="single" w:color="000000" w:sz="4" w:space="0"/>
              <w:bottom w:val="nil"/>
              <w:right w:val="single" w:color="000000" w:sz="4" w:space="0"/>
            </w:tcBorders>
            <w:shd w:val="clear" w:color="auto" w:fill="auto"/>
            <w:vAlign w:val="center"/>
          </w:tcPr>
          <w:p w14:paraId="16B6E6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每月/次</w:t>
            </w:r>
          </w:p>
        </w:tc>
        <w:tc>
          <w:tcPr>
            <w:tcW w:w="750" w:type="dxa"/>
            <w:tcBorders>
              <w:top w:val="single" w:color="000000" w:sz="4" w:space="0"/>
              <w:left w:val="single" w:color="000000" w:sz="4" w:space="0"/>
              <w:bottom w:val="nil"/>
              <w:right w:val="single" w:color="000000" w:sz="4" w:space="0"/>
            </w:tcBorders>
            <w:shd w:val="clear" w:color="auto" w:fill="auto"/>
            <w:vAlign w:val="center"/>
          </w:tcPr>
          <w:p w14:paraId="3EBA0E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795" w:type="dxa"/>
            <w:tcBorders>
              <w:top w:val="single" w:color="000000" w:sz="4" w:space="0"/>
              <w:left w:val="single" w:color="000000" w:sz="4" w:space="0"/>
              <w:bottom w:val="nil"/>
              <w:right w:val="single" w:color="000000" w:sz="4" w:space="0"/>
            </w:tcBorders>
            <w:shd w:val="clear" w:color="auto" w:fill="auto"/>
            <w:vAlign w:val="center"/>
          </w:tcPr>
          <w:p w14:paraId="747BEB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720" w:type="dxa"/>
            <w:tcBorders>
              <w:top w:val="single" w:color="000000" w:sz="4" w:space="0"/>
              <w:left w:val="single" w:color="000000" w:sz="4" w:space="0"/>
              <w:bottom w:val="nil"/>
              <w:right w:val="single" w:color="000000" w:sz="4" w:space="0"/>
            </w:tcBorders>
            <w:shd w:val="clear" w:color="auto" w:fill="auto"/>
            <w:vAlign w:val="center"/>
          </w:tcPr>
          <w:p w14:paraId="59AD5253">
            <w:pPr>
              <w:jc w:val="center"/>
              <w:rPr>
                <w:rFonts w:hint="eastAsia" w:ascii="宋体" w:hAnsi="宋体" w:eastAsia="宋体" w:cs="宋体"/>
                <w:i w:val="0"/>
                <w:iCs w:val="0"/>
                <w:color w:val="000000"/>
                <w:sz w:val="18"/>
                <w:szCs w:val="18"/>
                <w:u w:val="none"/>
              </w:rPr>
            </w:pPr>
          </w:p>
        </w:tc>
      </w:tr>
      <w:tr w14:paraId="0565AE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705" w:type="dxa"/>
            <w:vMerge w:val="continue"/>
            <w:tcBorders>
              <w:top w:val="single" w:color="000000" w:sz="4" w:space="0"/>
              <w:left w:val="single" w:color="000000" w:sz="4" w:space="0"/>
              <w:bottom w:val="nil"/>
              <w:right w:val="single" w:color="000000" w:sz="4" w:space="0"/>
            </w:tcBorders>
            <w:shd w:val="clear" w:color="auto" w:fill="auto"/>
            <w:vAlign w:val="center"/>
          </w:tcPr>
          <w:p w14:paraId="2BD3B9FB">
            <w:pPr>
              <w:jc w:val="center"/>
              <w:rPr>
                <w:rFonts w:hint="eastAsia" w:ascii="宋体" w:hAnsi="宋体" w:eastAsia="宋体" w:cs="宋体"/>
                <w:i w:val="0"/>
                <w:iCs w:val="0"/>
                <w:color w:val="000000"/>
                <w:sz w:val="18"/>
                <w:szCs w:val="18"/>
                <w:u w:val="none"/>
              </w:rPr>
            </w:pPr>
          </w:p>
        </w:tc>
        <w:tc>
          <w:tcPr>
            <w:tcW w:w="795" w:type="dxa"/>
            <w:vMerge w:val="continue"/>
            <w:tcBorders>
              <w:top w:val="single" w:color="000000" w:sz="4" w:space="0"/>
              <w:left w:val="single" w:color="000000" w:sz="4" w:space="0"/>
              <w:bottom w:val="nil"/>
              <w:right w:val="single" w:color="000000" w:sz="4" w:space="0"/>
            </w:tcBorders>
            <w:shd w:val="clear" w:color="auto" w:fill="auto"/>
            <w:vAlign w:val="center"/>
          </w:tcPr>
          <w:p w14:paraId="1E8D8B8B">
            <w:pPr>
              <w:jc w:val="center"/>
              <w:rPr>
                <w:rFonts w:hint="eastAsia" w:ascii="宋体" w:hAnsi="宋体" w:eastAsia="宋体" w:cs="宋体"/>
                <w:i w:val="0"/>
                <w:iCs w:val="0"/>
                <w:color w:val="000000"/>
                <w:sz w:val="18"/>
                <w:szCs w:val="18"/>
                <w:u w:val="none"/>
              </w:rPr>
            </w:pPr>
          </w:p>
        </w:tc>
        <w:tc>
          <w:tcPr>
            <w:tcW w:w="780" w:type="dxa"/>
            <w:vMerge w:val="continue"/>
            <w:tcBorders>
              <w:top w:val="single" w:color="000000" w:sz="4" w:space="0"/>
              <w:left w:val="single" w:color="000000" w:sz="4" w:space="0"/>
              <w:bottom w:val="nil"/>
              <w:right w:val="single" w:color="000000" w:sz="4" w:space="0"/>
            </w:tcBorders>
            <w:shd w:val="clear" w:color="auto" w:fill="auto"/>
            <w:vAlign w:val="center"/>
          </w:tcPr>
          <w:p w14:paraId="69CE2BA0">
            <w:pPr>
              <w:jc w:val="center"/>
              <w:rPr>
                <w:rFonts w:hint="eastAsia" w:ascii="宋体" w:hAnsi="宋体" w:eastAsia="宋体" w:cs="宋体"/>
                <w:i w:val="0"/>
                <w:iCs w:val="0"/>
                <w:color w:val="000000"/>
                <w:sz w:val="18"/>
                <w:szCs w:val="18"/>
                <w:u w:val="none"/>
              </w:rPr>
            </w:pPr>
          </w:p>
        </w:tc>
        <w:tc>
          <w:tcPr>
            <w:tcW w:w="735" w:type="dxa"/>
            <w:tcBorders>
              <w:top w:val="single" w:color="000000" w:sz="4" w:space="0"/>
              <w:left w:val="single" w:color="000000" w:sz="4" w:space="0"/>
              <w:bottom w:val="nil"/>
              <w:right w:val="single" w:color="000000" w:sz="4" w:space="0"/>
            </w:tcBorders>
            <w:shd w:val="clear" w:color="auto" w:fill="auto"/>
            <w:vAlign w:val="center"/>
          </w:tcPr>
          <w:p w14:paraId="2072F5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保障供暖时间</w:t>
            </w:r>
          </w:p>
        </w:tc>
        <w:tc>
          <w:tcPr>
            <w:tcW w:w="750" w:type="dxa"/>
            <w:tcBorders>
              <w:top w:val="single" w:color="000000" w:sz="4" w:space="0"/>
              <w:left w:val="single" w:color="000000" w:sz="4" w:space="0"/>
              <w:bottom w:val="nil"/>
              <w:right w:val="single" w:color="000000" w:sz="4" w:space="0"/>
            </w:tcBorders>
            <w:shd w:val="clear" w:color="auto" w:fill="auto"/>
            <w:vAlign w:val="center"/>
          </w:tcPr>
          <w:p w14:paraId="280B52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735" w:type="dxa"/>
            <w:tcBorders>
              <w:top w:val="single" w:color="000000" w:sz="4" w:space="0"/>
              <w:left w:val="single" w:color="000000" w:sz="4" w:space="0"/>
              <w:bottom w:val="nil"/>
              <w:right w:val="single" w:color="000000" w:sz="4" w:space="0"/>
            </w:tcBorders>
            <w:shd w:val="clear" w:color="auto" w:fill="auto"/>
            <w:vAlign w:val="center"/>
          </w:tcPr>
          <w:p w14:paraId="00E4C8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705" w:type="dxa"/>
            <w:tcBorders>
              <w:top w:val="single" w:color="000000" w:sz="4" w:space="0"/>
              <w:left w:val="single" w:color="000000" w:sz="4" w:space="0"/>
              <w:bottom w:val="nil"/>
              <w:right w:val="single" w:color="000000" w:sz="4" w:space="0"/>
            </w:tcBorders>
            <w:shd w:val="clear" w:color="auto" w:fill="auto"/>
            <w:vAlign w:val="center"/>
          </w:tcPr>
          <w:p w14:paraId="4F21AC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705" w:type="dxa"/>
            <w:tcBorders>
              <w:top w:val="single" w:color="000000" w:sz="4" w:space="0"/>
              <w:left w:val="single" w:color="000000" w:sz="4" w:space="0"/>
              <w:bottom w:val="nil"/>
              <w:right w:val="single" w:color="000000" w:sz="4" w:space="0"/>
            </w:tcBorders>
            <w:shd w:val="clear" w:color="auto" w:fill="auto"/>
            <w:vAlign w:val="center"/>
          </w:tcPr>
          <w:p w14:paraId="503E5E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780" w:type="dxa"/>
            <w:tcBorders>
              <w:top w:val="single" w:color="000000" w:sz="4" w:space="0"/>
              <w:left w:val="single" w:color="000000" w:sz="4" w:space="0"/>
              <w:bottom w:val="nil"/>
              <w:right w:val="single" w:color="000000" w:sz="4" w:space="0"/>
            </w:tcBorders>
            <w:shd w:val="clear" w:color="auto" w:fill="auto"/>
            <w:vAlign w:val="center"/>
          </w:tcPr>
          <w:p w14:paraId="540D87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月</w:t>
            </w:r>
          </w:p>
        </w:tc>
        <w:tc>
          <w:tcPr>
            <w:tcW w:w="750" w:type="dxa"/>
            <w:tcBorders>
              <w:top w:val="single" w:color="000000" w:sz="4" w:space="0"/>
              <w:left w:val="single" w:color="000000" w:sz="4" w:space="0"/>
              <w:bottom w:val="nil"/>
              <w:right w:val="single" w:color="000000" w:sz="4" w:space="0"/>
            </w:tcBorders>
            <w:shd w:val="clear" w:color="auto" w:fill="auto"/>
            <w:vAlign w:val="center"/>
          </w:tcPr>
          <w:p w14:paraId="29B17D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795" w:type="dxa"/>
            <w:tcBorders>
              <w:top w:val="single" w:color="000000" w:sz="4" w:space="0"/>
              <w:left w:val="single" w:color="000000" w:sz="4" w:space="0"/>
              <w:bottom w:val="nil"/>
              <w:right w:val="single" w:color="000000" w:sz="4" w:space="0"/>
            </w:tcBorders>
            <w:shd w:val="clear" w:color="auto" w:fill="auto"/>
            <w:vAlign w:val="center"/>
          </w:tcPr>
          <w:p w14:paraId="4C455B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720" w:type="dxa"/>
            <w:tcBorders>
              <w:top w:val="single" w:color="000000" w:sz="4" w:space="0"/>
              <w:left w:val="single" w:color="000000" w:sz="4" w:space="0"/>
              <w:bottom w:val="nil"/>
              <w:right w:val="single" w:color="000000" w:sz="4" w:space="0"/>
            </w:tcBorders>
            <w:shd w:val="clear" w:color="auto" w:fill="auto"/>
            <w:vAlign w:val="center"/>
          </w:tcPr>
          <w:p w14:paraId="7D454F56">
            <w:pPr>
              <w:jc w:val="center"/>
              <w:rPr>
                <w:rFonts w:hint="eastAsia" w:ascii="宋体" w:hAnsi="宋体" w:eastAsia="宋体" w:cs="宋体"/>
                <w:i w:val="0"/>
                <w:iCs w:val="0"/>
                <w:color w:val="000000"/>
                <w:sz w:val="18"/>
                <w:szCs w:val="18"/>
                <w:u w:val="none"/>
              </w:rPr>
            </w:pPr>
          </w:p>
        </w:tc>
      </w:tr>
      <w:tr w14:paraId="41B507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05" w:type="dxa"/>
            <w:vMerge w:val="continue"/>
            <w:tcBorders>
              <w:top w:val="single" w:color="000000" w:sz="4" w:space="0"/>
              <w:left w:val="single" w:color="000000" w:sz="4" w:space="0"/>
              <w:bottom w:val="nil"/>
              <w:right w:val="single" w:color="000000" w:sz="4" w:space="0"/>
            </w:tcBorders>
            <w:shd w:val="clear" w:color="auto" w:fill="auto"/>
            <w:vAlign w:val="center"/>
          </w:tcPr>
          <w:p w14:paraId="257B4564">
            <w:pPr>
              <w:jc w:val="center"/>
              <w:rPr>
                <w:rFonts w:hint="eastAsia" w:ascii="宋体" w:hAnsi="宋体" w:eastAsia="宋体" w:cs="宋体"/>
                <w:i w:val="0"/>
                <w:iCs w:val="0"/>
                <w:color w:val="000000"/>
                <w:sz w:val="18"/>
                <w:szCs w:val="18"/>
                <w:u w:val="none"/>
              </w:rPr>
            </w:pPr>
          </w:p>
        </w:tc>
        <w:tc>
          <w:tcPr>
            <w:tcW w:w="795" w:type="dxa"/>
            <w:vMerge w:val="continue"/>
            <w:tcBorders>
              <w:top w:val="single" w:color="000000" w:sz="4" w:space="0"/>
              <w:left w:val="single" w:color="000000" w:sz="4" w:space="0"/>
              <w:bottom w:val="nil"/>
              <w:right w:val="single" w:color="000000" w:sz="4" w:space="0"/>
            </w:tcBorders>
            <w:shd w:val="clear" w:color="auto" w:fill="auto"/>
            <w:vAlign w:val="center"/>
          </w:tcPr>
          <w:p w14:paraId="6410C64F">
            <w:pPr>
              <w:jc w:val="center"/>
              <w:rPr>
                <w:rFonts w:hint="eastAsia" w:ascii="宋体" w:hAnsi="宋体" w:eastAsia="宋体" w:cs="宋体"/>
                <w:i w:val="0"/>
                <w:iCs w:val="0"/>
                <w:color w:val="000000"/>
                <w:sz w:val="18"/>
                <w:szCs w:val="18"/>
                <w:u w:val="none"/>
              </w:rPr>
            </w:pPr>
          </w:p>
        </w:tc>
        <w:tc>
          <w:tcPr>
            <w:tcW w:w="780" w:type="dxa"/>
            <w:vMerge w:val="restart"/>
            <w:tcBorders>
              <w:top w:val="single" w:color="000000" w:sz="4" w:space="0"/>
              <w:left w:val="single" w:color="000000" w:sz="4" w:space="0"/>
              <w:bottom w:val="nil"/>
              <w:right w:val="single" w:color="000000" w:sz="4" w:space="0"/>
            </w:tcBorders>
            <w:shd w:val="clear" w:color="auto" w:fill="auto"/>
            <w:vAlign w:val="center"/>
          </w:tcPr>
          <w:p w14:paraId="02F7DF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735" w:type="dxa"/>
            <w:tcBorders>
              <w:top w:val="single" w:color="000000" w:sz="4" w:space="0"/>
              <w:left w:val="single" w:color="000000" w:sz="4" w:space="0"/>
              <w:bottom w:val="nil"/>
              <w:right w:val="single" w:color="000000" w:sz="4" w:space="0"/>
            </w:tcBorders>
            <w:shd w:val="clear" w:color="auto" w:fill="auto"/>
            <w:vAlign w:val="center"/>
          </w:tcPr>
          <w:p w14:paraId="428D08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取暖费成本</w:t>
            </w:r>
          </w:p>
        </w:tc>
        <w:tc>
          <w:tcPr>
            <w:tcW w:w="750" w:type="dxa"/>
            <w:tcBorders>
              <w:top w:val="single" w:color="000000" w:sz="4" w:space="0"/>
              <w:left w:val="single" w:color="000000" w:sz="4" w:space="0"/>
              <w:bottom w:val="nil"/>
              <w:right w:val="single" w:color="000000" w:sz="4" w:space="0"/>
            </w:tcBorders>
            <w:shd w:val="clear" w:color="auto" w:fill="auto"/>
            <w:vAlign w:val="center"/>
          </w:tcPr>
          <w:p w14:paraId="4F8785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w:t>
            </w:r>
          </w:p>
        </w:tc>
        <w:tc>
          <w:tcPr>
            <w:tcW w:w="735" w:type="dxa"/>
            <w:tcBorders>
              <w:top w:val="single" w:color="000000" w:sz="4" w:space="0"/>
              <w:left w:val="single" w:color="000000" w:sz="4" w:space="0"/>
              <w:bottom w:val="nil"/>
              <w:right w:val="single" w:color="000000" w:sz="4" w:space="0"/>
            </w:tcBorders>
            <w:shd w:val="clear" w:color="auto" w:fill="auto"/>
            <w:vAlign w:val="center"/>
          </w:tcPr>
          <w:p w14:paraId="289AA0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小于等于</w:t>
            </w:r>
          </w:p>
        </w:tc>
        <w:tc>
          <w:tcPr>
            <w:tcW w:w="705" w:type="dxa"/>
            <w:tcBorders>
              <w:top w:val="single" w:color="000000" w:sz="4" w:space="0"/>
              <w:left w:val="single" w:color="000000" w:sz="4" w:space="0"/>
              <w:bottom w:val="nil"/>
              <w:right w:val="single" w:color="000000" w:sz="4" w:space="0"/>
            </w:tcBorders>
            <w:shd w:val="clear" w:color="auto" w:fill="auto"/>
            <w:vAlign w:val="center"/>
          </w:tcPr>
          <w:p w14:paraId="4F8F1C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w:t>
            </w:r>
          </w:p>
        </w:tc>
        <w:tc>
          <w:tcPr>
            <w:tcW w:w="705" w:type="dxa"/>
            <w:tcBorders>
              <w:top w:val="single" w:color="000000" w:sz="4" w:space="0"/>
              <w:left w:val="single" w:color="000000" w:sz="4" w:space="0"/>
              <w:bottom w:val="nil"/>
              <w:right w:val="single" w:color="000000" w:sz="4" w:space="0"/>
            </w:tcBorders>
            <w:shd w:val="clear" w:color="auto" w:fill="auto"/>
            <w:vAlign w:val="center"/>
          </w:tcPr>
          <w:p w14:paraId="32B080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w:t>
            </w:r>
          </w:p>
        </w:tc>
        <w:tc>
          <w:tcPr>
            <w:tcW w:w="780" w:type="dxa"/>
            <w:tcBorders>
              <w:top w:val="single" w:color="000000" w:sz="4" w:space="0"/>
              <w:left w:val="single" w:color="000000" w:sz="4" w:space="0"/>
              <w:bottom w:val="nil"/>
              <w:right w:val="single" w:color="000000" w:sz="4" w:space="0"/>
            </w:tcBorders>
            <w:shd w:val="clear" w:color="auto" w:fill="auto"/>
            <w:vAlign w:val="center"/>
          </w:tcPr>
          <w:p w14:paraId="2F315F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元/平米</w:t>
            </w:r>
          </w:p>
        </w:tc>
        <w:tc>
          <w:tcPr>
            <w:tcW w:w="750" w:type="dxa"/>
            <w:tcBorders>
              <w:top w:val="single" w:color="000000" w:sz="4" w:space="0"/>
              <w:left w:val="single" w:color="000000" w:sz="4" w:space="0"/>
              <w:bottom w:val="nil"/>
              <w:right w:val="single" w:color="000000" w:sz="4" w:space="0"/>
            </w:tcBorders>
            <w:shd w:val="clear" w:color="auto" w:fill="auto"/>
            <w:vAlign w:val="center"/>
          </w:tcPr>
          <w:p w14:paraId="21F4D1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795" w:type="dxa"/>
            <w:tcBorders>
              <w:top w:val="single" w:color="000000" w:sz="4" w:space="0"/>
              <w:left w:val="single" w:color="000000" w:sz="4" w:space="0"/>
              <w:bottom w:val="nil"/>
              <w:right w:val="single" w:color="000000" w:sz="4" w:space="0"/>
            </w:tcBorders>
            <w:shd w:val="clear" w:color="auto" w:fill="auto"/>
            <w:vAlign w:val="center"/>
          </w:tcPr>
          <w:p w14:paraId="76F119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720" w:type="dxa"/>
            <w:tcBorders>
              <w:top w:val="single" w:color="000000" w:sz="4" w:space="0"/>
              <w:left w:val="single" w:color="000000" w:sz="4" w:space="0"/>
              <w:bottom w:val="nil"/>
              <w:right w:val="single" w:color="000000" w:sz="4" w:space="0"/>
            </w:tcBorders>
            <w:shd w:val="clear" w:color="auto" w:fill="auto"/>
            <w:vAlign w:val="center"/>
          </w:tcPr>
          <w:p w14:paraId="0B2CD029">
            <w:pPr>
              <w:jc w:val="center"/>
              <w:rPr>
                <w:rFonts w:hint="eastAsia" w:ascii="宋体" w:hAnsi="宋体" w:eastAsia="宋体" w:cs="宋体"/>
                <w:i w:val="0"/>
                <w:iCs w:val="0"/>
                <w:color w:val="000000"/>
                <w:sz w:val="18"/>
                <w:szCs w:val="18"/>
                <w:u w:val="none"/>
              </w:rPr>
            </w:pPr>
          </w:p>
        </w:tc>
      </w:tr>
      <w:tr w14:paraId="22158E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05" w:type="dxa"/>
            <w:vMerge w:val="continue"/>
            <w:tcBorders>
              <w:top w:val="single" w:color="000000" w:sz="4" w:space="0"/>
              <w:left w:val="single" w:color="000000" w:sz="4" w:space="0"/>
              <w:bottom w:val="nil"/>
              <w:right w:val="single" w:color="000000" w:sz="4" w:space="0"/>
            </w:tcBorders>
            <w:shd w:val="clear" w:color="auto" w:fill="auto"/>
            <w:vAlign w:val="center"/>
          </w:tcPr>
          <w:p w14:paraId="2FD47E93">
            <w:pPr>
              <w:jc w:val="center"/>
              <w:rPr>
                <w:rFonts w:hint="eastAsia" w:ascii="宋体" w:hAnsi="宋体" w:eastAsia="宋体" w:cs="宋体"/>
                <w:i w:val="0"/>
                <w:iCs w:val="0"/>
                <w:color w:val="000000"/>
                <w:sz w:val="18"/>
                <w:szCs w:val="18"/>
                <w:u w:val="none"/>
              </w:rPr>
            </w:pPr>
          </w:p>
        </w:tc>
        <w:tc>
          <w:tcPr>
            <w:tcW w:w="795" w:type="dxa"/>
            <w:vMerge w:val="continue"/>
            <w:tcBorders>
              <w:top w:val="single" w:color="000000" w:sz="4" w:space="0"/>
              <w:left w:val="single" w:color="000000" w:sz="4" w:space="0"/>
              <w:bottom w:val="nil"/>
              <w:right w:val="single" w:color="000000" w:sz="4" w:space="0"/>
            </w:tcBorders>
            <w:shd w:val="clear" w:color="auto" w:fill="auto"/>
            <w:vAlign w:val="center"/>
          </w:tcPr>
          <w:p w14:paraId="09D3A516">
            <w:pPr>
              <w:jc w:val="center"/>
              <w:rPr>
                <w:rFonts w:hint="eastAsia" w:ascii="宋体" w:hAnsi="宋体" w:eastAsia="宋体" w:cs="宋体"/>
                <w:i w:val="0"/>
                <w:iCs w:val="0"/>
                <w:color w:val="000000"/>
                <w:sz w:val="18"/>
                <w:szCs w:val="18"/>
                <w:u w:val="none"/>
              </w:rPr>
            </w:pPr>
          </w:p>
        </w:tc>
        <w:tc>
          <w:tcPr>
            <w:tcW w:w="780" w:type="dxa"/>
            <w:vMerge w:val="continue"/>
            <w:tcBorders>
              <w:top w:val="single" w:color="000000" w:sz="4" w:space="0"/>
              <w:left w:val="single" w:color="000000" w:sz="4" w:space="0"/>
              <w:bottom w:val="nil"/>
              <w:right w:val="single" w:color="000000" w:sz="4" w:space="0"/>
            </w:tcBorders>
            <w:shd w:val="clear" w:color="auto" w:fill="auto"/>
            <w:vAlign w:val="center"/>
          </w:tcPr>
          <w:p w14:paraId="643278E0">
            <w:pPr>
              <w:jc w:val="center"/>
              <w:rPr>
                <w:rFonts w:hint="eastAsia" w:ascii="宋体" w:hAnsi="宋体" w:eastAsia="宋体" w:cs="宋体"/>
                <w:i w:val="0"/>
                <w:iCs w:val="0"/>
                <w:color w:val="000000"/>
                <w:sz w:val="18"/>
                <w:szCs w:val="18"/>
                <w:u w:val="none"/>
              </w:rPr>
            </w:pPr>
          </w:p>
        </w:tc>
        <w:tc>
          <w:tcPr>
            <w:tcW w:w="735" w:type="dxa"/>
            <w:tcBorders>
              <w:top w:val="single" w:color="000000" w:sz="4" w:space="0"/>
              <w:left w:val="single" w:color="000000" w:sz="4" w:space="0"/>
              <w:bottom w:val="nil"/>
              <w:right w:val="single" w:color="000000" w:sz="4" w:space="0"/>
            </w:tcBorders>
            <w:shd w:val="clear" w:color="auto" w:fill="auto"/>
            <w:vAlign w:val="center"/>
          </w:tcPr>
          <w:p w14:paraId="2A1498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电费成本</w:t>
            </w:r>
          </w:p>
        </w:tc>
        <w:tc>
          <w:tcPr>
            <w:tcW w:w="750" w:type="dxa"/>
            <w:tcBorders>
              <w:top w:val="single" w:color="000000" w:sz="4" w:space="0"/>
              <w:left w:val="single" w:color="000000" w:sz="4" w:space="0"/>
              <w:bottom w:val="nil"/>
              <w:right w:val="single" w:color="000000" w:sz="4" w:space="0"/>
            </w:tcBorders>
            <w:shd w:val="clear" w:color="auto" w:fill="auto"/>
            <w:vAlign w:val="center"/>
          </w:tcPr>
          <w:p w14:paraId="0D0527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w:t>
            </w:r>
          </w:p>
        </w:tc>
        <w:tc>
          <w:tcPr>
            <w:tcW w:w="735" w:type="dxa"/>
            <w:tcBorders>
              <w:top w:val="single" w:color="000000" w:sz="4" w:space="0"/>
              <w:left w:val="single" w:color="000000" w:sz="4" w:space="0"/>
              <w:bottom w:val="nil"/>
              <w:right w:val="single" w:color="000000" w:sz="4" w:space="0"/>
            </w:tcBorders>
            <w:shd w:val="clear" w:color="auto" w:fill="auto"/>
            <w:vAlign w:val="center"/>
          </w:tcPr>
          <w:p w14:paraId="002628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小于等于</w:t>
            </w:r>
          </w:p>
        </w:tc>
        <w:tc>
          <w:tcPr>
            <w:tcW w:w="705" w:type="dxa"/>
            <w:tcBorders>
              <w:top w:val="single" w:color="000000" w:sz="4" w:space="0"/>
              <w:left w:val="single" w:color="000000" w:sz="4" w:space="0"/>
              <w:bottom w:val="nil"/>
              <w:right w:val="single" w:color="000000" w:sz="4" w:space="0"/>
            </w:tcBorders>
            <w:shd w:val="clear" w:color="auto" w:fill="auto"/>
            <w:vAlign w:val="center"/>
          </w:tcPr>
          <w:p w14:paraId="0479F4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0.65</w:t>
            </w:r>
          </w:p>
        </w:tc>
        <w:tc>
          <w:tcPr>
            <w:tcW w:w="705" w:type="dxa"/>
            <w:tcBorders>
              <w:top w:val="single" w:color="000000" w:sz="4" w:space="0"/>
              <w:left w:val="single" w:color="000000" w:sz="4" w:space="0"/>
              <w:bottom w:val="nil"/>
              <w:right w:val="single" w:color="000000" w:sz="4" w:space="0"/>
            </w:tcBorders>
            <w:shd w:val="clear" w:color="auto" w:fill="auto"/>
            <w:vAlign w:val="center"/>
          </w:tcPr>
          <w:p w14:paraId="0E8FAF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0.65</w:t>
            </w:r>
          </w:p>
        </w:tc>
        <w:tc>
          <w:tcPr>
            <w:tcW w:w="780" w:type="dxa"/>
            <w:tcBorders>
              <w:top w:val="single" w:color="000000" w:sz="4" w:space="0"/>
              <w:left w:val="single" w:color="000000" w:sz="4" w:space="0"/>
              <w:bottom w:val="nil"/>
              <w:right w:val="single" w:color="000000" w:sz="4" w:space="0"/>
            </w:tcBorders>
            <w:shd w:val="clear" w:color="auto" w:fill="auto"/>
            <w:vAlign w:val="center"/>
          </w:tcPr>
          <w:p w14:paraId="6480C8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元/千瓦时</w:t>
            </w:r>
          </w:p>
        </w:tc>
        <w:tc>
          <w:tcPr>
            <w:tcW w:w="750" w:type="dxa"/>
            <w:tcBorders>
              <w:top w:val="single" w:color="000000" w:sz="4" w:space="0"/>
              <w:left w:val="single" w:color="000000" w:sz="4" w:space="0"/>
              <w:bottom w:val="nil"/>
              <w:right w:val="single" w:color="000000" w:sz="4" w:space="0"/>
            </w:tcBorders>
            <w:shd w:val="clear" w:color="auto" w:fill="auto"/>
            <w:vAlign w:val="center"/>
          </w:tcPr>
          <w:p w14:paraId="3C1E29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795" w:type="dxa"/>
            <w:tcBorders>
              <w:top w:val="single" w:color="000000" w:sz="4" w:space="0"/>
              <w:left w:val="single" w:color="000000" w:sz="4" w:space="0"/>
              <w:bottom w:val="nil"/>
              <w:right w:val="single" w:color="000000" w:sz="4" w:space="0"/>
            </w:tcBorders>
            <w:shd w:val="clear" w:color="auto" w:fill="auto"/>
            <w:vAlign w:val="center"/>
          </w:tcPr>
          <w:p w14:paraId="22E152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720" w:type="dxa"/>
            <w:tcBorders>
              <w:top w:val="single" w:color="000000" w:sz="4" w:space="0"/>
              <w:left w:val="single" w:color="000000" w:sz="4" w:space="0"/>
              <w:bottom w:val="nil"/>
              <w:right w:val="single" w:color="000000" w:sz="4" w:space="0"/>
            </w:tcBorders>
            <w:shd w:val="clear" w:color="auto" w:fill="auto"/>
            <w:vAlign w:val="center"/>
          </w:tcPr>
          <w:p w14:paraId="2B6B698B">
            <w:pPr>
              <w:jc w:val="center"/>
              <w:rPr>
                <w:rFonts w:hint="eastAsia" w:ascii="宋体" w:hAnsi="宋体" w:eastAsia="宋体" w:cs="宋体"/>
                <w:i w:val="0"/>
                <w:iCs w:val="0"/>
                <w:color w:val="000000"/>
                <w:sz w:val="18"/>
                <w:szCs w:val="18"/>
                <w:u w:val="none"/>
              </w:rPr>
            </w:pPr>
          </w:p>
        </w:tc>
      </w:tr>
      <w:tr w14:paraId="499326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05" w:type="dxa"/>
            <w:vMerge w:val="continue"/>
            <w:tcBorders>
              <w:top w:val="single" w:color="000000" w:sz="4" w:space="0"/>
              <w:left w:val="single" w:color="000000" w:sz="4" w:space="0"/>
              <w:bottom w:val="nil"/>
              <w:right w:val="single" w:color="000000" w:sz="4" w:space="0"/>
            </w:tcBorders>
            <w:shd w:val="clear" w:color="auto" w:fill="auto"/>
            <w:vAlign w:val="center"/>
          </w:tcPr>
          <w:p w14:paraId="3B8EB8F5">
            <w:pPr>
              <w:jc w:val="center"/>
              <w:rPr>
                <w:rFonts w:hint="eastAsia" w:ascii="宋体" w:hAnsi="宋体" w:eastAsia="宋体" w:cs="宋体"/>
                <w:i w:val="0"/>
                <w:iCs w:val="0"/>
                <w:color w:val="000000"/>
                <w:sz w:val="18"/>
                <w:szCs w:val="18"/>
                <w:u w:val="none"/>
              </w:rPr>
            </w:pPr>
          </w:p>
        </w:tc>
        <w:tc>
          <w:tcPr>
            <w:tcW w:w="795" w:type="dxa"/>
            <w:vMerge w:val="continue"/>
            <w:tcBorders>
              <w:top w:val="single" w:color="000000" w:sz="4" w:space="0"/>
              <w:left w:val="single" w:color="000000" w:sz="4" w:space="0"/>
              <w:bottom w:val="nil"/>
              <w:right w:val="single" w:color="000000" w:sz="4" w:space="0"/>
            </w:tcBorders>
            <w:shd w:val="clear" w:color="auto" w:fill="auto"/>
            <w:vAlign w:val="center"/>
          </w:tcPr>
          <w:p w14:paraId="2AEFFAF5">
            <w:pPr>
              <w:jc w:val="center"/>
              <w:rPr>
                <w:rFonts w:hint="eastAsia" w:ascii="宋体" w:hAnsi="宋体" w:eastAsia="宋体" w:cs="宋体"/>
                <w:i w:val="0"/>
                <w:iCs w:val="0"/>
                <w:color w:val="000000"/>
                <w:sz w:val="18"/>
                <w:szCs w:val="18"/>
                <w:u w:val="none"/>
              </w:rPr>
            </w:pPr>
          </w:p>
        </w:tc>
        <w:tc>
          <w:tcPr>
            <w:tcW w:w="780" w:type="dxa"/>
            <w:vMerge w:val="continue"/>
            <w:tcBorders>
              <w:top w:val="single" w:color="000000" w:sz="4" w:space="0"/>
              <w:left w:val="single" w:color="000000" w:sz="4" w:space="0"/>
              <w:bottom w:val="nil"/>
              <w:right w:val="single" w:color="000000" w:sz="4" w:space="0"/>
            </w:tcBorders>
            <w:shd w:val="clear" w:color="auto" w:fill="auto"/>
            <w:vAlign w:val="center"/>
          </w:tcPr>
          <w:p w14:paraId="4D332436">
            <w:pPr>
              <w:jc w:val="center"/>
              <w:rPr>
                <w:rFonts w:hint="eastAsia" w:ascii="宋体" w:hAnsi="宋体" w:eastAsia="宋体" w:cs="宋体"/>
                <w:i w:val="0"/>
                <w:iCs w:val="0"/>
                <w:color w:val="000000"/>
                <w:sz w:val="18"/>
                <w:szCs w:val="18"/>
                <w:u w:val="none"/>
              </w:rPr>
            </w:pPr>
          </w:p>
        </w:tc>
        <w:tc>
          <w:tcPr>
            <w:tcW w:w="735" w:type="dxa"/>
            <w:tcBorders>
              <w:top w:val="single" w:color="000000" w:sz="4" w:space="0"/>
              <w:left w:val="single" w:color="000000" w:sz="4" w:space="0"/>
              <w:bottom w:val="nil"/>
              <w:right w:val="single" w:color="000000" w:sz="4" w:space="0"/>
            </w:tcBorders>
            <w:shd w:val="clear" w:color="auto" w:fill="auto"/>
            <w:vAlign w:val="center"/>
          </w:tcPr>
          <w:p w14:paraId="799B02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水费成本</w:t>
            </w:r>
          </w:p>
        </w:tc>
        <w:tc>
          <w:tcPr>
            <w:tcW w:w="750" w:type="dxa"/>
            <w:tcBorders>
              <w:top w:val="single" w:color="000000" w:sz="4" w:space="0"/>
              <w:left w:val="single" w:color="000000" w:sz="4" w:space="0"/>
              <w:bottom w:val="nil"/>
              <w:right w:val="single" w:color="000000" w:sz="4" w:space="0"/>
            </w:tcBorders>
            <w:shd w:val="clear" w:color="auto" w:fill="auto"/>
            <w:vAlign w:val="center"/>
          </w:tcPr>
          <w:p w14:paraId="687E7C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w:t>
            </w:r>
          </w:p>
        </w:tc>
        <w:tc>
          <w:tcPr>
            <w:tcW w:w="735" w:type="dxa"/>
            <w:tcBorders>
              <w:top w:val="single" w:color="000000" w:sz="4" w:space="0"/>
              <w:left w:val="single" w:color="000000" w:sz="4" w:space="0"/>
              <w:bottom w:val="nil"/>
              <w:right w:val="single" w:color="000000" w:sz="4" w:space="0"/>
            </w:tcBorders>
            <w:shd w:val="clear" w:color="auto" w:fill="auto"/>
            <w:vAlign w:val="center"/>
          </w:tcPr>
          <w:p w14:paraId="70B11F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小于等于</w:t>
            </w:r>
          </w:p>
        </w:tc>
        <w:tc>
          <w:tcPr>
            <w:tcW w:w="705" w:type="dxa"/>
            <w:tcBorders>
              <w:top w:val="single" w:color="000000" w:sz="4" w:space="0"/>
              <w:left w:val="single" w:color="000000" w:sz="4" w:space="0"/>
              <w:bottom w:val="nil"/>
              <w:right w:val="single" w:color="000000" w:sz="4" w:space="0"/>
            </w:tcBorders>
            <w:shd w:val="clear" w:color="auto" w:fill="auto"/>
            <w:vAlign w:val="center"/>
          </w:tcPr>
          <w:p w14:paraId="7CE9E7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705" w:type="dxa"/>
            <w:tcBorders>
              <w:top w:val="single" w:color="000000" w:sz="4" w:space="0"/>
              <w:left w:val="single" w:color="000000" w:sz="4" w:space="0"/>
              <w:bottom w:val="nil"/>
              <w:right w:val="single" w:color="000000" w:sz="4" w:space="0"/>
            </w:tcBorders>
            <w:shd w:val="clear" w:color="auto" w:fill="auto"/>
            <w:vAlign w:val="center"/>
          </w:tcPr>
          <w:p w14:paraId="644ABD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780" w:type="dxa"/>
            <w:tcBorders>
              <w:top w:val="single" w:color="000000" w:sz="4" w:space="0"/>
              <w:left w:val="single" w:color="000000" w:sz="4" w:space="0"/>
              <w:bottom w:val="nil"/>
              <w:right w:val="single" w:color="000000" w:sz="4" w:space="0"/>
            </w:tcBorders>
            <w:shd w:val="clear" w:color="auto" w:fill="auto"/>
            <w:vAlign w:val="center"/>
          </w:tcPr>
          <w:p w14:paraId="354DDA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元/吨</w:t>
            </w:r>
          </w:p>
        </w:tc>
        <w:tc>
          <w:tcPr>
            <w:tcW w:w="750" w:type="dxa"/>
            <w:tcBorders>
              <w:top w:val="single" w:color="000000" w:sz="4" w:space="0"/>
              <w:left w:val="single" w:color="000000" w:sz="4" w:space="0"/>
              <w:bottom w:val="nil"/>
              <w:right w:val="single" w:color="000000" w:sz="4" w:space="0"/>
            </w:tcBorders>
            <w:shd w:val="clear" w:color="auto" w:fill="auto"/>
            <w:vAlign w:val="center"/>
          </w:tcPr>
          <w:p w14:paraId="5C4BE2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795" w:type="dxa"/>
            <w:tcBorders>
              <w:top w:val="single" w:color="000000" w:sz="4" w:space="0"/>
              <w:left w:val="single" w:color="000000" w:sz="4" w:space="0"/>
              <w:bottom w:val="nil"/>
              <w:right w:val="single" w:color="000000" w:sz="4" w:space="0"/>
            </w:tcBorders>
            <w:shd w:val="clear" w:color="auto" w:fill="auto"/>
            <w:vAlign w:val="center"/>
          </w:tcPr>
          <w:p w14:paraId="18AA68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720" w:type="dxa"/>
            <w:tcBorders>
              <w:top w:val="single" w:color="000000" w:sz="4" w:space="0"/>
              <w:left w:val="single" w:color="000000" w:sz="4" w:space="0"/>
              <w:bottom w:val="nil"/>
              <w:right w:val="single" w:color="000000" w:sz="4" w:space="0"/>
            </w:tcBorders>
            <w:shd w:val="clear" w:color="auto" w:fill="auto"/>
            <w:vAlign w:val="center"/>
          </w:tcPr>
          <w:p w14:paraId="1EBAEA2A">
            <w:pPr>
              <w:jc w:val="center"/>
              <w:rPr>
                <w:rFonts w:hint="eastAsia" w:ascii="宋体" w:hAnsi="宋体" w:eastAsia="宋体" w:cs="宋体"/>
                <w:i w:val="0"/>
                <w:iCs w:val="0"/>
                <w:color w:val="000000"/>
                <w:sz w:val="18"/>
                <w:szCs w:val="18"/>
                <w:u w:val="none"/>
              </w:rPr>
            </w:pPr>
          </w:p>
        </w:tc>
      </w:tr>
      <w:tr w14:paraId="359F59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05" w:type="dxa"/>
            <w:vMerge w:val="continue"/>
            <w:tcBorders>
              <w:top w:val="single" w:color="000000" w:sz="4" w:space="0"/>
              <w:left w:val="single" w:color="000000" w:sz="4" w:space="0"/>
              <w:bottom w:val="nil"/>
              <w:right w:val="single" w:color="000000" w:sz="4" w:space="0"/>
            </w:tcBorders>
            <w:shd w:val="clear" w:color="auto" w:fill="auto"/>
            <w:vAlign w:val="center"/>
          </w:tcPr>
          <w:p w14:paraId="0D5E4209">
            <w:pPr>
              <w:jc w:val="center"/>
              <w:rPr>
                <w:rFonts w:hint="eastAsia" w:ascii="宋体" w:hAnsi="宋体" w:eastAsia="宋体" w:cs="宋体"/>
                <w:i w:val="0"/>
                <w:iCs w:val="0"/>
                <w:color w:val="000000"/>
                <w:sz w:val="18"/>
                <w:szCs w:val="18"/>
                <w:u w:val="none"/>
              </w:rPr>
            </w:pPr>
          </w:p>
        </w:tc>
        <w:tc>
          <w:tcPr>
            <w:tcW w:w="795" w:type="dxa"/>
            <w:vMerge w:val="restart"/>
            <w:tcBorders>
              <w:top w:val="single" w:color="000000" w:sz="4" w:space="0"/>
              <w:left w:val="single" w:color="000000" w:sz="4" w:space="0"/>
              <w:bottom w:val="nil"/>
              <w:right w:val="single" w:color="000000" w:sz="4" w:space="0"/>
            </w:tcBorders>
            <w:shd w:val="clear" w:color="auto" w:fill="auto"/>
            <w:vAlign w:val="center"/>
          </w:tcPr>
          <w:p w14:paraId="339702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780" w:type="dxa"/>
            <w:tcBorders>
              <w:top w:val="single" w:color="000000" w:sz="4" w:space="0"/>
              <w:left w:val="single" w:color="000000" w:sz="4" w:space="0"/>
              <w:bottom w:val="nil"/>
              <w:right w:val="single" w:color="000000" w:sz="4" w:space="0"/>
            </w:tcBorders>
            <w:shd w:val="clear" w:color="auto" w:fill="auto"/>
            <w:vAlign w:val="center"/>
          </w:tcPr>
          <w:p w14:paraId="60FF15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735" w:type="dxa"/>
            <w:tcBorders>
              <w:top w:val="single" w:color="000000" w:sz="4" w:space="0"/>
              <w:left w:val="single" w:color="000000" w:sz="4" w:space="0"/>
              <w:bottom w:val="nil"/>
              <w:right w:val="single" w:color="000000" w:sz="4" w:space="0"/>
            </w:tcBorders>
            <w:shd w:val="clear" w:color="auto" w:fill="auto"/>
            <w:vAlign w:val="center"/>
          </w:tcPr>
          <w:p w14:paraId="232D70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有效保障特种设备检验研究事业发展</w:t>
            </w:r>
          </w:p>
        </w:tc>
        <w:tc>
          <w:tcPr>
            <w:tcW w:w="750" w:type="dxa"/>
            <w:tcBorders>
              <w:top w:val="single" w:color="000000" w:sz="4" w:space="0"/>
              <w:left w:val="single" w:color="000000" w:sz="4" w:space="0"/>
              <w:bottom w:val="nil"/>
              <w:right w:val="single" w:color="000000" w:sz="4" w:space="0"/>
            </w:tcBorders>
            <w:shd w:val="clear" w:color="auto" w:fill="auto"/>
            <w:vAlign w:val="center"/>
          </w:tcPr>
          <w:p w14:paraId="55885C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w:t>
            </w:r>
          </w:p>
        </w:tc>
        <w:tc>
          <w:tcPr>
            <w:tcW w:w="735" w:type="dxa"/>
            <w:tcBorders>
              <w:top w:val="single" w:color="000000" w:sz="4" w:space="0"/>
              <w:left w:val="single" w:color="000000" w:sz="4" w:space="0"/>
              <w:bottom w:val="nil"/>
              <w:right w:val="single" w:color="000000" w:sz="4" w:space="0"/>
            </w:tcBorders>
            <w:shd w:val="clear" w:color="auto" w:fill="auto"/>
            <w:vAlign w:val="center"/>
          </w:tcPr>
          <w:p w14:paraId="4209C52E">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nil"/>
              <w:right w:val="single" w:color="000000" w:sz="4" w:space="0"/>
            </w:tcBorders>
            <w:shd w:val="clear" w:color="auto" w:fill="auto"/>
            <w:vAlign w:val="center"/>
          </w:tcPr>
          <w:p w14:paraId="50D926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稳步提高</w:t>
            </w:r>
          </w:p>
        </w:tc>
        <w:tc>
          <w:tcPr>
            <w:tcW w:w="705" w:type="dxa"/>
            <w:tcBorders>
              <w:top w:val="single" w:color="000000" w:sz="4" w:space="0"/>
              <w:left w:val="single" w:color="000000" w:sz="4" w:space="0"/>
              <w:bottom w:val="nil"/>
              <w:right w:val="single" w:color="000000" w:sz="4" w:space="0"/>
            </w:tcBorders>
            <w:shd w:val="clear" w:color="auto" w:fill="auto"/>
            <w:vAlign w:val="center"/>
          </w:tcPr>
          <w:p w14:paraId="0E9B2A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稳步提高</w:t>
            </w:r>
          </w:p>
        </w:tc>
        <w:tc>
          <w:tcPr>
            <w:tcW w:w="780" w:type="dxa"/>
            <w:tcBorders>
              <w:top w:val="single" w:color="000000" w:sz="4" w:space="0"/>
              <w:left w:val="single" w:color="000000" w:sz="4" w:space="0"/>
              <w:bottom w:val="nil"/>
              <w:right w:val="single" w:color="000000" w:sz="4" w:space="0"/>
            </w:tcBorders>
            <w:shd w:val="clear" w:color="auto" w:fill="auto"/>
            <w:vAlign w:val="center"/>
          </w:tcPr>
          <w:p w14:paraId="36C58D65">
            <w:pPr>
              <w:jc w:val="center"/>
              <w:rPr>
                <w:rFonts w:hint="eastAsia" w:ascii="宋体" w:hAnsi="宋体" w:eastAsia="宋体" w:cs="宋体"/>
                <w:i w:val="0"/>
                <w:iCs w:val="0"/>
                <w:color w:val="000000"/>
                <w:sz w:val="18"/>
                <w:szCs w:val="18"/>
                <w:u w:val="none"/>
              </w:rPr>
            </w:pPr>
          </w:p>
        </w:tc>
        <w:tc>
          <w:tcPr>
            <w:tcW w:w="750" w:type="dxa"/>
            <w:tcBorders>
              <w:top w:val="single" w:color="000000" w:sz="4" w:space="0"/>
              <w:left w:val="single" w:color="000000" w:sz="4" w:space="0"/>
              <w:bottom w:val="nil"/>
              <w:right w:val="single" w:color="000000" w:sz="4" w:space="0"/>
            </w:tcBorders>
            <w:shd w:val="clear" w:color="auto" w:fill="auto"/>
            <w:vAlign w:val="center"/>
          </w:tcPr>
          <w:p w14:paraId="3C6417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795" w:type="dxa"/>
            <w:tcBorders>
              <w:top w:val="single" w:color="000000" w:sz="4" w:space="0"/>
              <w:left w:val="single" w:color="000000" w:sz="4" w:space="0"/>
              <w:bottom w:val="nil"/>
              <w:right w:val="single" w:color="000000" w:sz="4" w:space="0"/>
            </w:tcBorders>
            <w:shd w:val="clear" w:color="auto" w:fill="auto"/>
            <w:vAlign w:val="center"/>
          </w:tcPr>
          <w:p w14:paraId="658874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720" w:type="dxa"/>
            <w:tcBorders>
              <w:top w:val="single" w:color="000000" w:sz="4" w:space="0"/>
              <w:left w:val="single" w:color="000000" w:sz="4" w:space="0"/>
              <w:bottom w:val="nil"/>
              <w:right w:val="single" w:color="000000" w:sz="4" w:space="0"/>
            </w:tcBorders>
            <w:shd w:val="clear" w:color="auto" w:fill="auto"/>
            <w:vAlign w:val="center"/>
          </w:tcPr>
          <w:p w14:paraId="0DBA7769">
            <w:pPr>
              <w:jc w:val="center"/>
              <w:rPr>
                <w:rFonts w:hint="eastAsia" w:ascii="宋体" w:hAnsi="宋体" w:eastAsia="宋体" w:cs="宋体"/>
                <w:i w:val="0"/>
                <w:iCs w:val="0"/>
                <w:color w:val="000000"/>
                <w:sz w:val="18"/>
                <w:szCs w:val="18"/>
                <w:u w:val="none"/>
              </w:rPr>
            </w:pPr>
          </w:p>
        </w:tc>
      </w:tr>
      <w:tr w14:paraId="2BBAFD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705" w:type="dxa"/>
            <w:vMerge w:val="continue"/>
            <w:tcBorders>
              <w:top w:val="single" w:color="000000" w:sz="4" w:space="0"/>
              <w:left w:val="single" w:color="000000" w:sz="4" w:space="0"/>
              <w:bottom w:val="nil"/>
              <w:right w:val="single" w:color="000000" w:sz="4" w:space="0"/>
            </w:tcBorders>
            <w:shd w:val="clear" w:color="auto" w:fill="auto"/>
            <w:vAlign w:val="center"/>
          </w:tcPr>
          <w:p w14:paraId="50BD8428">
            <w:pPr>
              <w:jc w:val="center"/>
              <w:rPr>
                <w:rFonts w:hint="eastAsia" w:ascii="宋体" w:hAnsi="宋体" w:eastAsia="宋体" w:cs="宋体"/>
                <w:i w:val="0"/>
                <w:iCs w:val="0"/>
                <w:color w:val="000000"/>
                <w:sz w:val="18"/>
                <w:szCs w:val="18"/>
                <w:u w:val="none"/>
              </w:rPr>
            </w:pPr>
          </w:p>
        </w:tc>
        <w:tc>
          <w:tcPr>
            <w:tcW w:w="795" w:type="dxa"/>
            <w:vMerge w:val="continue"/>
            <w:tcBorders>
              <w:top w:val="single" w:color="000000" w:sz="4" w:space="0"/>
              <w:left w:val="single" w:color="000000" w:sz="4" w:space="0"/>
              <w:bottom w:val="nil"/>
              <w:right w:val="single" w:color="000000" w:sz="4" w:space="0"/>
            </w:tcBorders>
            <w:shd w:val="clear" w:color="auto" w:fill="auto"/>
            <w:vAlign w:val="center"/>
          </w:tcPr>
          <w:p w14:paraId="07473345">
            <w:pPr>
              <w:jc w:val="center"/>
              <w:rPr>
                <w:rFonts w:hint="eastAsia" w:ascii="宋体" w:hAnsi="宋体" w:eastAsia="宋体" w:cs="宋体"/>
                <w:i w:val="0"/>
                <w:iCs w:val="0"/>
                <w:color w:val="000000"/>
                <w:sz w:val="18"/>
                <w:szCs w:val="18"/>
                <w:u w:val="none"/>
              </w:rPr>
            </w:pPr>
          </w:p>
        </w:tc>
        <w:tc>
          <w:tcPr>
            <w:tcW w:w="780" w:type="dxa"/>
            <w:tcBorders>
              <w:top w:val="single" w:color="000000" w:sz="4" w:space="0"/>
              <w:left w:val="single" w:color="000000" w:sz="4" w:space="0"/>
              <w:bottom w:val="nil"/>
              <w:right w:val="single" w:color="000000" w:sz="4" w:space="0"/>
            </w:tcBorders>
            <w:shd w:val="clear" w:color="auto" w:fill="auto"/>
            <w:vAlign w:val="center"/>
          </w:tcPr>
          <w:p w14:paraId="3E1A1D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可持续影响指标</w:t>
            </w:r>
          </w:p>
        </w:tc>
        <w:tc>
          <w:tcPr>
            <w:tcW w:w="735" w:type="dxa"/>
            <w:tcBorders>
              <w:top w:val="single" w:color="000000" w:sz="4" w:space="0"/>
              <w:left w:val="single" w:color="000000" w:sz="4" w:space="0"/>
              <w:bottom w:val="nil"/>
              <w:right w:val="single" w:color="000000" w:sz="4" w:space="0"/>
            </w:tcBorders>
            <w:shd w:val="clear" w:color="auto" w:fill="auto"/>
            <w:vAlign w:val="center"/>
          </w:tcPr>
          <w:p w14:paraId="375A6E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有效保障本单位各项工作正常运转</w:t>
            </w:r>
          </w:p>
        </w:tc>
        <w:tc>
          <w:tcPr>
            <w:tcW w:w="750" w:type="dxa"/>
            <w:tcBorders>
              <w:top w:val="single" w:color="000000" w:sz="4" w:space="0"/>
              <w:left w:val="single" w:color="000000" w:sz="4" w:space="0"/>
              <w:bottom w:val="nil"/>
              <w:right w:val="single" w:color="000000" w:sz="4" w:space="0"/>
            </w:tcBorders>
            <w:shd w:val="clear" w:color="auto" w:fill="auto"/>
            <w:vAlign w:val="center"/>
          </w:tcPr>
          <w:p w14:paraId="3BBD2B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w:t>
            </w:r>
          </w:p>
        </w:tc>
        <w:tc>
          <w:tcPr>
            <w:tcW w:w="735" w:type="dxa"/>
            <w:tcBorders>
              <w:top w:val="single" w:color="000000" w:sz="4" w:space="0"/>
              <w:left w:val="single" w:color="000000" w:sz="4" w:space="0"/>
              <w:bottom w:val="nil"/>
              <w:right w:val="single" w:color="000000" w:sz="4" w:space="0"/>
            </w:tcBorders>
            <w:shd w:val="clear" w:color="auto" w:fill="auto"/>
            <w:vAlign w:val="center"/>
          </w:tcPr>
          <w:p w14:paraId="20A87C7C">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nil"/>
              <w:right w:val="single" w:color="000000" w:sz="4" w:space="0"/>
            </w:tcBorders>
            <w:shd w:val="clear" w:color="auto" w:fill="auto"/>
            <w:vAlign w:val="center"/>
          </w:tcPr>
          <w:p w14:paraId="45BDE5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稳步提高</w:t>
            </w:r>
          </w:p>
        </w:tc>
        <w:tc>
          <w:tcPr>
            <w:tcW w:w="705" w:type="dxa"/>
            <w:tcBorders>
              <w:top w:val="single" w:color="000000" w:sz="4" w:space="0"/>
              <w:left w:val="single" w:color="000000" w:sz="4" w:space="0"/>
              <w:bottom w:val="nil"/>
              <w:right w:val="single" w:color="000000" w:sz="4" w:space="0"/>
            </w:tcBorders>
            <w:shd w:val="clear" w:color="auto" w:fill="auto"/>
            <w:vAlign w:val="center"/>
          </w:tcPr>
          <w:p w14:paraId="15EAEE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稳步提高</w:t>
            </w:r>
          </w:p>
        </w:tc>
        <w:tc>
          <w:tcPr>
            <w:tcW w:w="780" w:type="dxa"/>
            <w:tcBorders>
              <w:top w:val="single" w:color="000000" w:sz="4" w:space="0"/>
              <w:left w:val="single" w:color="000000" w:sz="4" w:space="0"/>
              <w:bottom w:val="nil"/>
              <w:right w:val="single" w:color="000000" w:sz="4" w:space="0"/>
            </w:tcBorders>
            <w:shd w:val="clear" w:color="auto" w:fill="auto"/>
            <w:vAlign w:val="center"/>
          </w:tcPr>
          <w:p w14:paraId="62B4E002">
            <w:pPr>
              <w:jc w:val="center"/>
              <w:rPr>
                <w:rFonts w:hint="eastAsia" w:ascii="宋体" w:hAnsi="宋体" w:eastAsia="宋体" w:cs="宋体"/>
                <w:i w:val="0"/>
                <w:iCs w:val="0"/>
                <w:color w:val="000000"/>
                <w:sz w:val="18"/>
                <w:szCs w:val="18"/>
                <w:u w:val="none"/>
              </w:rPr>
            </w:pPr>
          </w:p>
        </w:tc>
        <w:tc>
          <w:tcPr>
            <w:tcW w:w="750" w:type="dxa"/>
            <w:tcBorders>
              <w:top w:val="single" w:color="000000" w:sz="4" w:space="0"/>
              <w:left w:val="single" w:color="000000" w:sz="4" w:space="0"/>
              <w:bottom w:val="nil"/>
              <w:right w:val="single" w:color="000000" w:sz="4" w:space="0"/>
            </w:tcBorders>
            <w:shd w:val="clear" w:color="auto" w:fill="auto"/>
            <w:vAlign w:val="center"/>
          </w:tcPr>
          <w:p w14:paraId="7063DD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795" w:type="dxa"/>
            <w:tcBorders>
              <w:top w:val="single" w:color="000000" w:sz="4" w:space="0"/>
              <w:left w:val="single" w:color="000000" w:sz="4" w:space="0"/>
              <w:bottom w:val="nil"/>
              <w:right w:val="single" w:color="000000" w:sz="4" w:space="0"/>
            </w:tcBorders>
            <w:shd w:val="clear" w:color="auto" w:fill="auto"/>
            <w:vAlign w:val="center"/>
          </w:tcPr>
          <w:p w14:paraId="149FF8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720" w:type="dxa"/>
            <w:tcBorders>
              <w:top w:val="single" w:color="000000" w:sz="4" w:space="0"/>
              <w:left w:val="single" w:color="000000" w:sz="4" w:space="0"/>
              <w:bottom w:val="nil"/>
              <w:right w:val="single" w:color="000000" w:sz="4" w:space="0"/>
            </w:tcBorders>
            <w:shd w:val="clear" w:color="auto" w:fill="auto"/>
            <w:vAlign w:val="center"/>
          </w:tcPr>
          <w:p w14:paraId="2AF5D575">
            <w:pPr>
              <w:jc w:val="center"/>
              <w:rPr>
                <w:rFonts w:hint="eastAsia" w:ascii="宋体" w:hAnsi="宋体" w:eastAsia="宋体" w:cs="宋体"/>
                <w:i w:val="0"/>
                <w:iCs w:val="0"/>
                <w:color w:val="000000"/>
                <w:sz w:val="18"/>
                <w:szCs w:val="18"/>
                <w:u w:val="none"/>
              </w:rPr>
            </w:pPr>
          </w:p>
        </w:tc>
      </w:tr>
      <w:tr w14:paraId="5E8DF4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705" w:type="dxa"/>
            <w:vMerge w:val="continue"/>
            <w:tcBorders>
              <w:top w:val="single" w:color="000000" w:sz="4" w:space="0"/>
              <w:left w:val="single" w:color="000000" w:sz="4" w:space="0"/>
              <w:bottom w:val="nil"/>
              <w:right w:val="single" w:color="000000" w:sz="4" w:space="0"/>
            </w:tcBorders>
            <w:shd w:val="clear" w:color="auto" w:fill="auto"/>
            <w:vAlign w:val="center"/>
          </w:tcPr>
          <w:p w14:paraId="52E1303C">
            <w:pPr>
              <w:jc w:val="center"/>
              <w:rPr>
                <w:rFonts w:hint="eastAsia" w:ascii="宋体" w:hAnsi="宋体" w:eastAsia="宋体" w:cs="宋体"/>
                <w:i w:val="0"/>
                <w:iCs w:val="0"/>
                <w:color w:val="000000"/>
                <w:sz w:val="18"/>
                <w:szCs w:val="18"/>
                <w:u w:val="none"/>
              </w:rPr>
            </w:pPr>
          </w:p>
        </w:tc>
        <w:tc>
          <w:tcPr>
            <w:tcW w:w="795" w:type="dxa"/>
            <w:tcBorders>
              <w:top w:val="single" w:color="000000" w:sz="4" w:space="0"/>
              <w:left w:val="single" w:color="000000" w:sz="4" w:space="0"/>
              <w:bottom w:val="nil"/>
              <w:right w:val="single" w:color="000000" w:sz="4" w:space="0"/>
            </w:tcBorders>
            <w:shd w:val="clear" w:color="auto" w:fill="auto"/>
            <w:vAlign w:val="center"/>
          </w:tcPr>
          <w:p w14:paraId="7420E7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w:t>
            </w:r>
          </w:p>
        </w:tc>
        <w:tc>
          <w:tcPr>
            <w:tcW w:w="780" w:type="dxa"/>
            <w:tcBorders>
              <w:top w:val="single" w:color="000000" w:sz="4" w:space="0"/>
              <w:left w:val="single" w:color="000000" w:sz="4" w:space="0"/>
              <w:bottom w:val="nil"/>
              <w:right w:val="single" w:color="000000" w:sz="4" w:space="0"/>
            </w:tcBorders>
            <w:shd w:val="clear" w:color="auto" w:fill="auto"/>
            <w:vAlign w:val="center"/>
          </w:tcPr>
          <w:p w14:paraId="61A471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735" w:type="dxa"/>
            <w:tcBorders>
              <w:top w:val="single" w:color="000000" w:sz="4" w:space="0"/>
              <w:left w:val="single" w:color="000000" w:sz="4" w:space="0"/>
              <w:bottom w:val="nil"/>
              <w:right w:val="single" w:color="000000" w:sz="4" w:space="0"/>
            </w:tcBorders>
            <w:shd w:val="clear" w:color="auto" w:fill="auto"/>
            <w:vAlign w:val="center"/>
          </w:tcPr>
          <w:p w14:paraId="370A01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单位职工满意度</w:t>
            </w:r>
          </w:p>
        </w:tc>
        <w:tc>
          <w:tcPr>
            <w:tcW w:w="750" w:type="dxa"/>
            <w:tcBorders>
              <w:top w:val="single" w:color="000000" w:sz="4" w:space="0"/>
              <w:left w:val="single" w:color="000000" w:sz="4" w:space="0"/>
              <w:bottom w:val="nil"/>
              <w:right w:val="single" w:color="000000" w:sz="4" w:space="0"/>
            </w:tcBorders>
            <w:shd w:val="clear" w:color="auto" w:fill="auto"/>
            <w:vAlign w:val="center"/>
          </w:tcPr>
          <w:p w14:paraId="1BFE18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735" w:type="dxa"/>
            <w:tcBorders>
              <w:top w:val="single" w:color="000000" w:sz="4" w:space="0"/>
              <w:left w:val="single" w:color="000000" w:sz="4" w:space="0"/>
              <w:bottom w:val="nil"/>
              <w:right w:val="single" w:color="000000" w:sz="4" w:space="0"/>
            </w:tcBorders>
            <w:shd w:val="clear" w:color="auto" w:fill="auto"/>
            <w:vAlign w:val="center"/>
          </w:tcPr>
          <w:p w14:paraId="213980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705" w:type="dxa"/>
            <w:tcBorders>
              <w:top w:val="single" w:color="000000" w:sz="4" w:space="0"/>
              <w:left w:val="single" w:color="000000" w:sz="4" w:space="0"/>
              <w:bottom w:val="nil"/>
              <w:right w:val="single" w:color="000000" w:sz="4" w:space="0"/>
            </w:tcBorders>
            <w:shd w:val="clear" w:color="auto" w:fill="auto"/>
            <w:vAlign w:val="center"/>
          </w:tcPr>
          <w:p w14:paraId="3A8C13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w:t>
            </w:r>
          </w:p>
        </w:tc>
        <w:tc>
          <w:tcPr>
            <w:tcW w:w="705" w:type="dxa"/>
            <w:tcBorders>
              <w:top w:val="single" w:color="000000" w:sz="4" w:space="0"/>
              <w:left w:val="single" w:color="000000" w:sz="4" w:space="0"/>
              <w:bottom w:val="nil"/>
              <w:right w:val="single" w:color="000000" w:sz="4" w:space="0"/>
            </w:tcBorders>
            <w:shd w:val="clear" w:color="auto" w:fill="auto"/>
            <w:vAlign w:val="center"/>
          </w:tcPr>
          <w:p w14:paraId="002837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w:t>
            </w:r>
          </w:p>
        </w:tc>
        <w:tc>
          <w:tcPr>
            <w:tcW w:w="780" w:type="dxa"/>
            <w:tcBorders>
              <w:top w:val="single" w:color="000000" w:sz="4" w:space="0"/>
              <w:left w:val="single" w:color="000000" w:sz="4" w:space="0"/>
              <w:bottom w:val="nil"/>
              <w:right w:val="single" w:color="000000" w:sz="4" w:space="0"/>
            </w:tcBorders>
            <w:shd w:val="clear" w:color="auto" w:fill="auto"/>
            <w:vAlign w:val="center"/>
          </w:tcPr>
          <w:p w14:paraId="73140F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50" w:type="dxa"/>
            <w:tcBorders>
              <w:top w:val="single" w:color="000000" w:sz="4" w:space="0"/>
              <w:left w:val="single" w:color="000000" w:sz="4" w:space="0"/>
              <w:bottom w:val="nil"/>
              <w:right w:val="single" w:color="000000" w:sz="4" w:space="0"/>
            </w:tcBorders>
            <w:shd w:val="clear" w:color="auto" w:fill="auto"/>
            <w:vAlign w:val="center"/>
          </w:tcPr>
          <w:p w14:paraId="43779D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795" w:type="dxa"/>
            <w:tcBorders>
              <w:top w:val="single" w:color="000000" w:sz="4" w:space="0"/>
              <w:left w:val="single" w:color="000000" w:sz="4" w:space="0"/>
              <w:bottom w:val="nil"/>
              <w:right w:val="single" w:color="000000" w:sz="4" w:space="0"/>
            </w:tcBorders>
            <w:shd w:val="clear" w:color="auto" w:fill="auto"/>
            <w:vAlign w:val="center"/>
          </w:tcPr>
          <w:p w14:paraId="029599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720" w:type="dxa"/>
            <w:tcBorders>
              <w:top w:val="single" w:color="000000" w:sz="4" w:space="0"/>
              <w:left w:val="single" w:color="000000" w:sz="4" w:space="0"/>
              <w:bottom w:val="nil"/>
              <w:right w:val="single" w:color="000000" w:sz="4" w:space="0"/>
            </w:tcBorders>
            <w:shd w:val="clear" w:color="auto" w:fill="auto"/>
            <w:vAlign w:val="center"/>
          </w:tcPr>
          <w:p w14:paraId="055EC66E">
            <w:pPr>
              <w:jc w:val="center"/>
              <w:rPr>
                <w:rFonts w:hint="eastAsia" w:ascii="宋体" w:hAnsi="宋体" w:eastAsia="宋体" w:cs="宋体"/>
                <w:i w:val="0"/>
                <w:iCs w:val="0"/>
                <w:color w:val="000000"/>
                <w:sz w:val="18"/>
                <w:szCs w:val="18"/>
                <w:u w:val="none"/>
              </w:rPr>
            </w:pPr>
          </w:p>
        </w:tc>
      </w:tr>
      <w:tr w14:paraId="1958B5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69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37ABB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总分</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5E5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AB6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99.99</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8249B">
            <w:pPr>
              <w:jc w:val="center"/>
              <w:rPr>
                <w:rFonts w:hint="eastAsia" w:ascii="宋体" w:hAnsi="宋体" w:eastAsia="宋体" w:cs="宋体"/>
                <w:i w:val="0"/>
                <w:iCs w:val="0"/>
                <w:color w:val="000000"/>
                <w:sz w:val="18"/>
                <w:szCs w:val="18"/>
                <w:u w:val="none"/>
              </w:rPr>
            </w:pPr>
          </w:p>
        </w:tc>
      </w:tr>
    </w:tbl>
    <w:p w14:paraId="229B7454">
      <w:pPr>
        <w:keepNext w:val="0"/>
        <w:keepLines w:val="0"/>
        <w:pageBreakBefore w:val="0"/>
        <w:widowControl w:val="0"/>
        <w:numPr>
          <w:ilvl w:val="0"/>
          <w:numId w:val="1"/>
        </w:numPr>
        <w:kinsoku/>
        <w:wordWrap/>
        <w:overflowPunct/>
        <w:topLinePunct/>
        <w:autoSpaceDE/>
        <w:autoSpaceDN/>
        <w:bidi w:val="0"/>
        <w:adjustRightInd/>
        <w:snapToGrid/>
        <w:spacing w:line="520" w:lineRule="exact"/>
        <w:ind w:left="0" w:leftChars="0" w:right="0" w:rightChars="0" w:firstLine="640" w:firstLineChars="0"/>
        <w:jc w:val="both"/>
        <w:textAlignment w:val="auto"/>
        <w:outlineLvl w:val="9"/>
        <w:rPr>
          <w:rFonts w:hint="eastAsia" w:ascii="FangSong_GB2312" w:hAnsi="FangSong_GB2312" w:eastAsia="FangSong_GB2312" w:cs="FangSong_GB2312"/>
          <w:kern w:val="0"/>
          <w:sz w:val="32"/>
          <w:szCs w:val="32"/>
        </w:rPr>
      </w:pPr>
      <w:r>
        <w:rPr>
          <w:rFonts w:hint="eastAsia" w:ascii="FangSong_GB2312" w:hAnsi="FangSong_GB2312" w:eastAsia="FangSong_GB2312" w:cs="FangSong_GB2312"/>
          <w:color w:val="auto"/>
          <w:kern w:val="0"/>
          <w:sz w:val="32"/>
          <w:szCs w:val="32"/>
          <w:lang w:val="en-US" w:eastAsia="zh-CN"/>
        </w:rPr>
        <w:t>事业单位经营支出</w:t>
      </w:r>
      <w:r>
        <w:rPr>
          <w:rFonts w:ascii="FangSong_GB2312" w:hAnsi="FangSong_GB2312" w:eastAsia="FangSong_GB2312" w:cs="FangSong_GB2312"/>
          <w:kern w:val="0"/>
          <w:sz w:val="32"/>
          <w:szCs w:val="32"/>
        </w:rPr>
        <w:t>项目自评综述：根据年初设定的绩效目标，项目自评得分</w:t>
      </w:r>
      <w:r>
        <w:rPr>
          <w:rFonts w:hint="eastAsia"/>
          <w:kern w:val="0"/>
          <w:sz w:val="32"/>
          <w:szCs w:val="32"/>
          <w:u w:val="single"/>
          <w:lang w:val="en-US" w:eastAsia="zh-CN"/>
        </w:rPr>
        <w:t>92.76</w:t>
      </w:r>
      <w:r>
        <w:rPr>
          <w:rFonts w:ascii="FangSong_GB2312" w:hAnsi="FangSong_GB2312" w:eastAsia="FangSong_GB2312" w:cs="FangSong_GB2312"/>
          <w:kern w:val="0"/>
          <w:sz w:val="32"/>
          <w:szCs w:val="32"/>
        </w:rPr>
        <w:t>分。全年预算数为</w:t>
      </w:r>
      <w:r>
        <w:rPr>
          <w:rFonts w:hint="eastAsia"/>
          <w:kern w:val="0"/>
          <w:sz w:val="32"/>
          <w:szCs w:val="32"/>
          <w:u w:val="single"/>
          <w:lang w:val="en-US" w:eastAsia="zh-CN"/>
        </w:rPr>
        <w:t>729.5</w:t>
      </w:r>
      <w:r>
        <w:rPr>
          <w:rFonts w:ascii="FangSong_GB2312" w:hAnsi="FangSong_GB2312" w:eastAsia="FangSong_GB2312" w:cs="FangSong_GB2312"/>
          <w:kern w:val="0"/>
          <w:sz w:val="32"/>
          <w:szCs w:val="32"/>
        </w:rPr>
        <w:t>万元，执行数为</w:t>
      </w:r>
      <w:r>
        <w:rPr>
          <w:rFonts w:hint="eastAsia"/>
          <w:kern w:val="0"/>
          <w:sz w:val="32"/>
          <w:szCs w:val="32"/>
          <w:u w:val="single"/>
          <w:lang w:val="en-US" w:eastAsia="zh-CN"/>
        </w:rPr>
        <w:t>668.72</w:t>
      </w:r>
      <w:r>
        <w:rPr>
          <w:rFonts w:ascii="FangSong_GB2312" w:hAnsi="FangSong_GB2312" w:eastAsia="FangSong_GB2312" w:cs="FangSong_GB2312"/>
          <w:kern w:val="0"/>
          <w:sz w:val="32"/>
          <w:szCs w:val="32"/>
        </w:rPr>
        <w:t>万元，完成预算的</w:t>
      </w:r>
      <w:r>
        <w:rPr>
          <w:rFonts w:hint="eastAsia"/>
          <w:kern w:val="0"/>
          <w:sz w:val="32"/>
          <w:szCs w:val="32"/>
          <w:u w:val="single"/>
          <w:lang w:val="en-US" w:eastAsia="zh-CN"/>
        </w:rPr>
        <w:t>91.67</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。项目绩效目标完成情况：</w:t>
      </w:r>
      <w:r>
        <w:rPr>
          <w:rFonts w:hint="eastAsia" w:ascii="FangSong_GB2312" w:hAnsi="FangSong_GB2312" w:eastAsia="FangSong_GB2312" w:cs="FangSong_GB2312"/>
          <w:kern w:val="0"/>
          <w:sz w:val="32"/>
          <w:szCs w:val="32"/>
        </w:rPr>
        <w:t>完成电梯定期检验12655台；各类气瓶检验7988台;锅炉能效测试54台；安全阀校验25817只。</w:t>
      </w:r>
    </w:p>
    <w:tbl>
      <w:tblPr>
        <w:tblStyle w:val="19"/>
        <w:tblW w:w="925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22"/>
        <w:gridCol w:w="751"/>
        <w:gridCol w:w="772"/>
        <w:gridCol w:w="819"/>
        <w:gridCol w:w="795"/>
        <w:gridCol w:w="708"/>
        <w:gridCol w:w="779"/>
        <w:gridCol w:w="846"/>
        <w:gridCol w:w="802"/>
        <w:gridCol w:w="697"/>
        <w:gridCol w:w="776"/>
        <w:gridCol w:w="788"/>
      </w:tblGrid>
      <w:tr w14:paraId="4DD8F4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9255"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5C9AEE89">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项目支出绩效自评表</w:t>
            </w:r>
            <w:r>
              <w:rPr>
                <w:rFonts w:hint="eastAsia" w:ascii="宋体" w:hAnsi="宋体" w:eastAsia="宋体" w:cs="宋体"/>
                <w:b/>
                <w:bCs/>
                <w:i w:val="0"/>
                <w:iCs w:val="0"/>
                <w:color w:val="000000"/>
                <w:kern w:val="0"/>
                <w:sz w:val="40"/>
                <w:szCs w:val="40"/>
                <w:u w:val="none"/>
                <w:lang w:val="en-US" w:eastAsia="zh-CN" w:bidi="ar"/>
              </w:rPr>
              <w:br w:type="textWrapping"/>
            </w:r>
            <w:r>
              <w:rPr>
                <w:rFonts w:hint="eastAsia" w:ascii="宋体" w:hAnsi="宋体" w:eastAsia="宋体" w:cs="宋体"/>
                <w:b/>
                <w:bCs/>
                <w:i w:val="0"/>
                <w:iCs w:val="0"/>
                <w:color w:val="000000"/>
                <w:kern w:val="0"/>
                <w:sz w:val="40"/>
                <w:szCs w:val="40"/>
                <w:u w:val="none"/>
                <w:lang w:val="en-US" w:eastAsia="zh-CN" w:bidi="ar"/>
              </w:rPr>
              <w:t>(2025年度）</w:t>
            </w:r>
          </w:p>
        </w:tc>
      </w:tr>
      <w:tr w14:paraId="781847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1F765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775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13CFB2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事业单位经营支出</w:t>
            </w:r>
          </w:p>
        </w:tc>
      </w:tr>
      <w:tr w14:paraId="4769DA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8C01C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主管部门</w:t>
            </w:r>
          </w:p>
        </w:tc>
        <w:tc>
          <w:tcPr>
            <w:tcW w:w="313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FAE8E7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内蒙古自治区市场监督管理局部门</w:t>
            </w:r>
          </w:p>
        </w:tc>
        <w:tc>
          <w:tcPr>
            <w:tcW w:w="15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95CDB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实施单位</w:t>
            </w:r>
          </w:p>
        </w:tc>
        <w:tc>
          <w:tcPr>
            <w:tcW w:w="309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5C8D43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内蒙古自治区特种设备检验研究院鄂尔多斯分院</w:t>
            </w:r>
          </w:p>
        </w:tc>
      </w:tr>
      <w:tr w14:paraId="613FE5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0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B254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项目资金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（万元）</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BE84C">
            <w:pPr>
              <w:rPr>
                <w:rFonts w:hint="eastAsia" w:ascii="宋体" w:hAnsi="宋体"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C35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年初预算数</w:t>
            </w:r>
          </w:p>
        </w:tc>
        <w:tc>
          <w:tcPr>
            <w:tcW w:w="15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11C4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全年预算数</w:t>
            </w:r>
          </w:p>
        </w:tc>
        <w:tc>
          <w:tcPr>
            <w:tcW w:w="15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62E1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全年执行数</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ED0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14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D53F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执行率（%）</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3E0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r>
      <w:tr w14:paraId="7EC07D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150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D6F408">
            <w:pPr>
              <w:jc w:val="center"/>
              <w:rPr>
                <w:rFonts w:hint="eastAsia" w:ascii="宋体" w:hAnsi="宋体" w:eastAsia="宋体" w:cs="宋体"/>
                <w:i w:val="0"/>
                <w:iCs w:val="0"/>
                <w:color w:val="000000"/>
                <w:sz w:val="18"/>
                <w:szCs w:val="18"/>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D48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年度资金总额</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C9E3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729.5</w:t>
            </w:r>
          </w:p>
        </w:tc>
        <w:tc>
          <w:tcPr>
            <w:tcW w:w="15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ABB7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729.5</w:t>
            </w:r>
          </w:p>
        </w:tc>
        <w:tc>
          <w:tcPr>
            <w:tcW w:w="15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A249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668.72 </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C08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4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123F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91.67 </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BB7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9.17 </w:t>
            </w:r>
          </w:p>
        </w:tc>
      </w:tr>
      <w:tr w14:paraId="2FA075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50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7491D9">
            <w:pPr>
              <w:jc w:val="center"/>
              <w:rPr>
                <w:rFonts w:hint="eastAsia" w:ascii="宋体" w:hAnsi="宋体" w:eastAsia="宋体" w:cs="宋体"/>
                <w:i w:val="0"/>
                <w:iCs w:val="0"/>
                <w:color w:val="000000"/>
                <w:sz w:val="18"/>
                <w:szCs w:val="18"/>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E353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其中：财政拨款</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B339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15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6946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15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A430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76963">
            <w:pPr>
              <w:keepNext w:val="0"/>
              <w:keepLines w:val="0"/>
              <w:widowControl/>
              <w:suppressLineNumbers w:val="0"/>
              <w:jc w:val="center"/>
              <w:textAlignment w:val="center"/>
              <w:rPr>
                <w:rFonts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c>
          <w:tcPr>
            <w:tcW w:w="14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A944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94993">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r>
      <w:tr w14:paraId="46FC60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50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669F9B">
            <w:pPr>
              <w:jc w:val="center"/>
              <w:rPr>
                <w:rFonts w:hint="eastAsia" w:ascii="宋体" w:hAnsi="宋体" w:eastAsia="宋体" w:cs="宋体"/>
                <w:i w:val="0"/>
                <w:iCs w:val="0"/>
                <w:color w:val="000000"/>
                <w:sz w:val="18"/>
                <w:szCs w:val="18"/>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2A8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上年结转资金</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F8F97">
            <w:pPr>
              <w:rPr>
                <w:rFonts w:hint="eastAsia" w:ascii="宋体" w:hAnsi="宋体" w:eastAsia="宋体" w:cs="宋体"/>
                <w:i w:val="0"/>
                <w:iCs w:val="0"/>
                <w:color w:val="000000"/>
                <w:sz w:val="18"/>
                <w:szCs w:val="18"/>
                <w:u w:val="none"/>
              </w:rPr>
            </w:pPr>
          </w:p>
        </w:tc>
        <w:tc>
          <w:tcPr>
            <w:tcW w:w="15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6848B0">
            <w:pPr>
              <w:jc w:val="center"/>
              <w:rPr>
                <w:rFonts w:hint="eastAsia" w:ascii="宋体" w:hAnsi="宋体" w:eastAsia="宋体" w:cs="宋体"/>
                <w:i w:val="0"/>
                <w:iCs w:val="0"/>
                <w:color w:val="000000"/>
                <w:sz w:val="18"/>
                <w:szCs w:val="18"/>
                <w:u w:val="none"/>
              </w:rPr>
            </w:pPr>
          </w:p>
        </w:tc>
        <w:tc>
          <w:tcPr>
            <w:tcW w:w="15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0B2087">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96E6E">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c>
          <w:tcPr>
            <w:tcW w:w="14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667465">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37BDB">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r>
      <w:tr w14:paraId="7351AF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0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49D20F">
            <w:pPr>
              <w:jc w:val="center"/>
              <w:rPr>
                <w:rFonts w:hint="eastAsia" w:ascii="宋体" w:hAnsi="宋体" w:eastAsia="宋体" w:cs="宋体"/>
                <w:i w:val="0"/>
                <w:iCs w:val="0"/>
                <w:color w:val="000000"/>
                <w:sz w:val="18"/>
                <w:szCs w:val="18"/>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517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其他资金</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837B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729.5</w:t>
            </w:r>
          </w:p>
        </w:tc>
        <w:tc>
          <w:tcPr>
            <w:tcW w:w="15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D0F5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729.5</w:t>
            </w:r>
          </w:p>
        </w:tc>
        <w:tc>
          <w:tcPr>
            <w:tcW w:w="15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0D42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668.72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F2B45">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c>
          <w:tcPr>
            <w:tcW w:w="14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33DC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91.67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06BE4">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r>
      <w:tr w14:paraId="5767F7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50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C99A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年度总体目标</w:t>
            </w:r>
          </w:p>
        </w:tc>
        <w:tc>
          <w:tcPr>
            <w:tcW w:w="391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87ABF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预期目标</w:t>
            </w:r>
          </w:p>
        </w:tc>
        <w:tc>
          <w:tcPr>
            <w:tcW w:w="38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3DD97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实际完成情况</w:t>
            </w:r>
          </w:p>
        </w:tc>
      </w:tr>
      <w:tr w14:paraId="6DD193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0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9901D1">
            <w:pPr>
              <w:jc w:val="center"/>
              <w:rPr>
                <w:rFonts w:hint="eastAsia" w:ascii="宋体" w:hAnsi="宋体" w:eastAsia="宋体" w:cs="宋体"/>
                <w:i w:val="0"/>
                <w:iCs w:val="0"/>
                <w:color w:val="000000"/>
                <w:sz w:val="18"/>
                <w:szCs w:val="18"/>
                <w:u w:val="none"/>
              </w:rPr>
            </w:pPr>
          </w:p>
        </w:tc>
        <w:tc>
          <w:tcPr>
            <w:tcW w:w="391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A872A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对服务对象委托的经营项目依法依规进行检测，出具数据、证书或者报告，加强特种设备检验检测服务质量，维护现有特种设备检验场所及设备正常运转，提高特种设备检验能力。</w:t>
            </w:r>
          </w:p>
        </w:tc>
        <w:tc>
          <w:tcPr>
            <w:tcW w:w="38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2DB3B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预期目标：完成全年检验任务，完成电梯定期检验及其他委托检验。</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 绩效目标实际完成情况：完成电梯定期检验12655台；各类气瓶检验7988台;锅炉能效测试54台；安全阀校验25817只。</w:t>
            </w:r>
          </w:p>
        </w:tc>
      </w:tr>
      <w:tr w14:paraId="155408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7D7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绩效指标</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A19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一级指标</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5F0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二级指标</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2EE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三级指标</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26C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指标性质</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F72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指标方向</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2F3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年度指标值</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5DF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实际完成值</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DDE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计量单位</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E04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B91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75A7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偏差原因分析及改进措施</w:t>
            </w:r>
          </w:p>
        </w:tc>
      </w:tr>
      <w:tr w14:paraId="26EE07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735" w:type="dxa"/>
            <w:vMerge w:val="restart"/>
            <w:tcBorders>
              <w:top w:val="single" w:color="000000" w:sz="4" w:space="0"/>
              <w:left w:val="single" w:color="000000" w:sz="4" w:space="0"/>
              <w:bottom w:val="nil"/>
              <w:right w:val="single" w:color="000000" w:sz="4" w:space="0"/>
            </w:tcBorders>
            <w:shd w:val="clear" w:color="auto" w:fill="auto"/>
            <w:vAlign w:val="center"/>
          </w:tcPr>
          <w:p w14:paraId="74AFCE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绩效指标</w:t>
            </w:r>
          </w:p>
        </w:tc>
        <w:tc>
          <w:tcPr>
            <w:tcW w:w="765" w:type="dxa"/>
            <w:vMerge w:val="restart"/>
            <w:tcBorders>
              <w:top w:val="single" w:color="000000" w:sz="4" w:space="0"/>
              <w:left w:val="single" w:color="000000" w:sz="4" w:space="0"/>
              <w:bottom w:val="nil"/>
              <w:right w:val="single" w:color="000000" w:sz="4" w:space="0"/>
            </w:tcBorders>
            <w:shd w:val="clear" w:color="auto" w:fill="auto"/>
            <w:vAlign w:val="center"/>
          </w:tcPr>
          <w:p w14:paraId="5C22ED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780" w:type="dxa"/>
            <w:vMerge w:val="restart"/>
            <w:tcBorders>
              <w:top w:val="single" w:color="000000" w:sz="4" w:space="0"/>
              <w:left w:val="single" w:color="000000" w:sz="4" w:space="0"/>
              <w:bottom w:val="nil"/>
              <w:right w:val="single" w:color="000000" w:sz="4" w:space="0"/>
            </w:tcBorders>
            <w:shd w:val="clear" w:color="auto" w:fill="auto"/>
            <w:vAlign w:val="center"/>
          </w:tcPr>
          <w:p w14:paraId="0320EE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1A9468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完成电梯定期检验数量</w:t>
            </w:r>
          </w:p>
        </w:tc>
        <w:tc>
          <w:tcPr>
            <w:tcW w:w="810" w:type="dxa"/>
            <w:tcBorders>
              <w:top w:val="single" w:color="000000" w:sz="4" w:space="0"/>
              <w:left w:val="single" w:color="000000" w:sz="4" w:space="0"/>
              <w:bottom w:val="nil"/>
              <w:right w:val="single" w:color="000000" w:sz="4" w:space="0"/>
            </w:tcBorders>
            <w:shd w:val="clear" w:color="auto" w:fill="auto"/>
            <w:vAlign w:val="center"/>
          </w:tcPr>
          <w:p w14:paraId="6FFF11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720" w:type="dxa"/>
            <w:tcBorders>
              <w:top w:val="single" w:color="000000" w:sz="4" w:space="0"/>
              <w:left w:val="single" w:color="000000" w:sz="4" w:space="0"/>
              <w:bottom w:val="nil"/>
              <w:right w:val="single" w:color="000000" w:sz="4" w:space="0"/>
            </w:tcBorders>
            <w:shd w:val="clear" w:color="auto" w:fill="auto"/>
            <w:vAlign w:val="center"/>
          </w:tcPr>
          <w:p w14:paraId="6C699C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780" w:type="dxa"/>
            <w:tcBorders>
              <w:top w:val="single" w:color="000000" w:sz="4" w:space="0"/>
              <w:left w:val="single" w:color="000000" w:sz="4" w:space="0"/>
              <w:bottom w:val="nil"/>
              <w:right w:val="single" w:color="000000" w:sz="4" w:space="0"/>
            </w:tcBorders>
            <w:shd w:val="clear" w:color="auto" w:fill="auto"/>
            <w:vAlign w:val="center"/>
          </w:tcPr>
          <w:p w14:paraId="3F9C1C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12000</w:t>
            </w:r>
          </w:p>
        </w:tc>
        <w:tc>
          <w:tcPr>
            <w:tcW w:w="750" w:type="dxa"/>
            <w:tcBorders>
              <w:top w:val="single" w:color="000000" w:sz="4" w:space="0"/>
              <w:left w:val="single" w:color="000000" w:sz="4" w:space="0"/>
              <w:bottom w:val="nil"/>
              <w:right w:val="single" w:color="000000" w:sz="4" w:space="0"/>
            </w:tcBorders>
            <w:shd w:val="clear" w:color="auto" w:fill="auto"/>
            <w:vAlign w:val="center"/>
          </w:tcPr>
          <w:p w14:paraId="207106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12655</w:t>
            </w:r>
          </w:p>
        </w:tc>
        <w:tc>
          <w:tcPr>
            <w:tcW w:w="810" w:type="dxa"/>
            <w:tcBorders>
              <w:top w:val="single" w:color="000000" w:sz="4" w:space="0"/>
              <w:left w:val="single" w:color="000000" w:sz="4" w:space="0"/>
              <w:bottom w:val="nil"/>
              <w:right w:val="single" w:color="000000" w:sz="4" w:space="0"/>
            </w:tcBorders>
            <w:shd w:val="clear" w:color="auto" w:fill="auto"/>
            <w:vAlign w:val="center"/>
          </w:tcPr>
          <w:p w14:paraId="2D2D49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705" w:type="dxa"/>
            <w:tcBorders>
              <w:top w:val="single" w:color="000000" w:sz="4" w:space="0"/>
              <w:left w:val="single" w:color="000000" w:sz="4" w:space="0"/>
              <w:bottom w:val="nil"/>
              <w:right w:val="single" w:color="000000" w:sz="4" w:space="0"/>
            </w:tcBorders>
            <w:shd w:val="clear" w:color="auto" w:fill="auto"/>
            <w:vAlign w:val="center"/>
          </w:tcPr>
          <w:p w14:paraId="6F6975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780" w:type="dxa"/>
            <w:tcBorders>
              <w:top w:val="single" w:color="000000" w:sz="4" w:space="0"/>
              <w:left w:val="single" w:color="000000" w:sz="4" w:space="0"/>
              <w:bottom w:val="nil"/>
              <w:right w:val="single" w:color="000000" w:sz="4" w:space="0"/>
            </w:tcBorders>
            <w:shd w:val="clear" w:color="auto" w:fill="auto"/>
            <w:vAlign w:val="center"/>
          </w:tcPr>
          <w:p w14:paraId="292C13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795" w:type="dxa"/>
            <w:tcBorders>
              <w:top w:val="single" w:color="000000" w:sz="4" w:space="0"/>
              <w:left w:val="single" w:color="000000" w:sz="4" w:space="0"/>
              <w:bottom w:val="nil"/>
              <w:right w:val="single" w:color="000000" w:sz="4" w:space="0"/>
            </w:tcBorders>
            <w:shd w:val="clear" w:color="auto" w:fill="auto"/>
            <w:vAlign w:val="center"/>
          </w:tcPr>
          <w:p w14:paraId="78D74A63">
            <w:pPr>
              <w:jc w:val="center"/>
              <w:rPr>
                <w:rFonts w:hint="eastAsia" w:ascii="宋体" w:hAnsi="宋体" w:eastAsia="宋体" w:cs="宋体"/>
                <w:i w:val="0"/>
                <w:iCs w:val="0"/>
                <w:color w:val="000000"/>
                <w:sz w:val="18"/>
                <w:szCs w:val="18"/>
                <w:u w:val="none"/>
              </w:rPr>
            </w:pPr>
          </w:p>
        </w:tc>
      </w:tr>
      <w:tr w14:paraId="465370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735" w:type="dxa"/>
            <w:vMerge w:val="continue"/>
            <w:tcBorders>
              <w:top w:val="single" w:color="000000" w:sz="4" w:space="0"/>
              <w:left w:val="single" w:color="000000" w:sz="4" w:space="0"/>
              <w:bottom w:val="nil"/>
              <w:right w:val="single" w:color="000000" w:sz="4" w:space="0"/>
            </w:tcBorders>
            <w:shd w:val="clear" w:color="auto" w:fill="auto"/>
            <w:vAlign w:val="center"/>
          </w:tcPr>
          <w:p w14:paraId="3D7EF5F1">
            <w:pPr>
              <w:jc w:val="center"/>
              <w:rPr>
                <w:rFonts w:hint="eastAsia" w:ascii="宋体" w:hAnsi="宋体" w:eastAsia="宋体" w:cs="宋体"/>
                <w:i w:val="0"/>
                <w:iCs w:val="0"/>
                <w:color w:val="000000"/>
                <w:sz w:val="18"/>
                <w:szCs w:val="18"/>
                <w:u w:val="none"/>
              </w:rPr>
            </w:pPr>
          </w:p>
        </w:tc>
        <w:tc>
          <w:tcPr>
            <w:tcW w:w="765" w:type="dxa"/>
            <w:vMerge w:val="continue"/>
            <w:tcBorders>
              <w:top w:val="single" w:color="000000" w:sz="4" w:space="0"/>
              <w:left w:val="single" w:color="000000" w:sz="4" w:space="0"/>
              <w:bottom w:val="nil"/>
              <w:right w:val="single" w:color="000000" w:sz="4" w:space="0"/>
            </w:tcBorders>
            <w:shd w:val="clear" w:color="auto" w:fill="auto"/>
            <w:vAlign w:val="center"/>
          </w:tcPr>
          <w:p w14:paraId="07A3A01F">
            <w:pPr>
              <w:jc w:val="center"/>
              <w:rPr>
                <w:rFonts w:hint="eastAsia" w:ascii="宋体" w:hAnsi="宋体" w:eastAsia="宋体" w:cs="宋体"/>
                <w:i w:val="0"/>
                <w:iCs w:val="0"/>
                <w:color w:val="000000"/>
                <w:sz w:val="18"/>
                <w:szCs w:val="18"/>
                <w:u w:val="none"/>
              </w:rPr>
            </w:pPr>
          </w:p>
        </w:tc>
        <w:tc>
          <w:tcPr>
            <w:tcW w:w="780" w:type="dxa"/>
            <w:vMerge w:val="continue"/>
            <w:tcBorders>
              <w:top w:val="single" w:color="000000" w:sz="4" w:space="0"/>
              <w:left w:val="single" w:color="000000" w:sz="4" w:space="0"/>
              <w:bottom w:val="nil"/>
              <w:right w:val="single" w:color="000000" w:sz="4" w:space="0"/>
            </w:tcBorders>
            <w:shd w:val="clear" w:color="auto" w:fill="auto"/>
            <w:vAlign w:val="center"/>
          </w:tcPr>
          <w:p w14:paraId="20DA7869">
            <w:pPr>
              <w:jc w:val="center"/>
              <w:rPr>
                <w:rFonts w:hint="eastAsia" w:ascii="宋体" w:hAnsi="宋体" w:eastAsia="宋体" w:cs="宋体"/>
                <w:i w:val="0"/>
                <w:iCs w:val="0"/>
                <w:color w:val="000000"/>
                <w:sz w:val="18"/>
                <w:szCs w:val="18"/>
                <w:u w:val="none"/>
              </w:rPr>
            </w:pPr>
          </w:p>
        </w:tc>
        <w:tc>
          <w:tcPr>
            <w:tcW w:w="825" w:type="dxa"/>
            <w:tcBorders>
              <w:top w:val="single" w:color="000000" w:sz="4" w:space="0"/>
              <w:left w:val="single" w:color="000000" w:sz="4" w:space="0"/>
              <w:bottom w:val="nil"/>
              <w:right w:val="single" w:color="000000" w:sz="4" w:space="0"/>
            </w:tcBorders>
            <w:shd w:val="clear" w:color="auto" w:fill="auto"/>
            <w:vAlign w:val="center"/>
          </w:tcPr>
          <w:p w14:paraId="1730E3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完成阀门检验数量</w:t>
            </w:r>
          </w:p>
        </w:tc>
        <w:tc>
          <w:tcPr>
            <w:tcW w:w="810" w:type="dxa"/>
            <w:tcBorders>
              <w:top w:val="single" w:color="000000" w:sz="4" w:space="0"/>
              <w:left w:val="single" w:color="000000" w:sz="4" w:space="0"/>
              <w:bottom w:val="nil"/>
              <w:right w:val="single" w:color="000000" w:sz="4" w:space="0"/>
            </w:tcBorders>
            <w:shd w:val="clear" w:color="auto" w:fill="auto"/>
            <w:vAlign w:val="center"/>
          </w:tcPr>
          <w:p w14:paraId="29420A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720" w:type="dxa"/>
            <w:tcBorders>
              <w:top w:val="single" w:color="000000" w:sz="4" w:space="0"/>
              <w:left w:val="single" w:color="000000" w:sz="4" w:space="0"/>
              <w:bottom w:val="nil"/>
              <w:right w:val="single" w:color="000000" w:sz="4" w:space="0"/>
            </w:tcBorders>
            <w:shd w:val="clear" w:color="auto" w:fill="auto"/>
            <w:vAlign w:val="center"/>
          </w:tcPr>
          <w:p w14:paraId="3A6D2E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780" w:type="dxa"/>
            <w:tcBorders>
              <w:top w:val="single" w:color="000000" w:sz="4" w:space="0"/>
              <w:left w:val="single" w:color="000000" w:sz="4" w:space="0"/>
              <w:bottom w:val="nil"/>
              <w:right w:val="single" w:color="000000" w:sz="4" w:space="0"/>
            </w:tcBorders>
            <w:shd w:val="clear" w:color="auto" w:fill="auto"/>
            <w:vAlign w:val="center"/>
          </w:tcPr>
          <w:p w14:paraId="485A56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23000</w:t>
            </w:r>
          </w:p>
        </w:tc>
        <w:tc>
          <w:tcPr>
            <w:tcW w:w="750" w:type="dxa"/>
            <w:tcBorders>
              <w:top w:val="single" w:color="000000" w:sz="4" w:space="0"/>
              <w:left w:val="single" w:color="000000" w:sz="4" w:space="0"/>
              <w:bottom w:val="nil"/>
              <w:right w:val="single" w:color="000000" w:sz="4" w:space="0"/>
            </w:tcBorders>
            <w:shd w:val="clear" w:color="auto" w:fill="auto"/>
            <w:vAlign w:val="center"/>
          </w:tcPr>
          <w:p w14:paraId="026FCA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25817</w:t>
            </w:r>
          </w:p>
        </w:tc>
        <w:tc>
          <w:tcPr>
            <w:tcW w:w="810" w:type="dxa"/>
            <w:tcBorders>
              <w:top w:val="single" w:color="000000" w:sz="4" w:space="0"/>
              <w:left w:val="single" w:color="000000" w:sz="4" w:space="0"/>
              <w:bottom w:val="nil"/>
              <w:right w:val="single" w:color="000000" w:sz="4" w:space="0"/>
            </w:tcBorders>
            <w:shd w:val="clear" w:color="auto" w:fill="auto"/>
            <w:vAlign w:val="center"/>
          </w:tcPr>
          <w:p w14:paraId="33D267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只</w:t>
            </w:r>
          </w:p>
        </w:tc>
        <w:tc>
          <w:tcPr>
            <w:tcW w:w="705" w:type="dxa"/>
            <w:tcBorders>
              <w:top w:val="single" w:color="000000" w:sz="4" w:space="0"/>
              <w:left w:val="single" w:color="000000" w:sz="4" w:space="0"/>
              <w:bottom w:val="nil"/>
              <w:right w:val="single" w:color="000000" w:sz="4" w:space="0"/>
            </w:tcBorders>
            <w:shd w:val="clear" w:color="auto" w:fill="auto"/>
            <w:vAlign w:val="center"/>
          </w:tcPr>
          <w:p w14:paraId="135058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780" w:type="dxa"/>
            <w:tcBorders>
              <w:top w:val="single" w:color="000000" w:sz="4" w:space="0"/>
              <w:left w:val="single" w:color="000000" w:sz="4" w:space="0"/>
              <w:bottom w:val="nil"/>
              <w:right w:val="single" w:color="000000" w:sz="4" w:space="0"/>
            </w:tcBorders>
            <w:shd w:val="clear" w:color="auto" w:fill="auto"/>
            <w:vAlign w:val="center"/>
          </w:tcPr>
          <w:p w14:paraId="6FD002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795" w:type="dxa"/>
            <w:tcBorders>
              <w:top w:val="single" w:color="000000" w:sz="4" w:space="0"/>
              <w:left w:val="single" w:color="000000" w:sz="4" w:space="0"/>
              <w:bottom w:val="nil"/>
              <w:right w:val="single" w:color="000000" w:sz="4" w:space="0"/>
            </w:tcBorders>
            <w:shd w:val="clear" w:color="auto" w:fill="auto"/>
            <w:vAlign w:val="center"/>
          </w:tcPr>
          <w:p w14:paraId="52BFC24D">
            <w:pPr>
              <w:jc w:val="center"/>
              <w:rPr>
                <w:rFonts w:hint="eastAsia" w:ascii="宋体" w:hAnsi="宋体" w:eastAsia="宋体" w:cs="宋体"/>
                <w:i w:val="0"/>
                <w:iCs w:val="0"/>
                <w:color w:val="000000"/>
                <w:sz w:val="18"/>
                <w:szCs w:val="18"/>
                <w:u w:val="none"/>
              </w:rPr>
            </w:pPr>
          </w:p>
        </w:tc>
      </w:tr>
      <w:tr w14:paraId="268BF3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735" w:type="dxa"/>
            <w:vMerge w:val="continue"/>
            <w:tcBorders>
              <w:top w:val="single" w:color="000000" w:sz="4" w:space="0"/>
              <w:left w:val="single" w:color="000000" w:sz="4" w:space="0"/>
              <w:bottom w:val="nil"/>
              <w:right w:val="single" w:color="000000" w:sz="4" w:space="0"/>
            </w:tcBorders>
            <w:shd w:val="clear" w:color="auto" w:fill="auto"/>
            <w:vAlign w:val="center"/>
          </w:tcPr>
          <w:p w14:paraId="70F77490">
            <w:pPr>
              <w:jc w:val="center"/>
              <w:rPr>
                <w:rFonts w:hint="eastAsia" w:ascii="宋体" w:hAnsi="宋体" w:eastAsia="宋体" w:cs="宋体"/>
                <w:i w:val="0"/>
                <w:iCs w:val="0"/>
                <w:color w:val="000000"/>
                <w:sz w:val="18"/>
                <w:szCs w:val="18"/>
                <w:u w:val="none"/>
              </w:rPr>
            </w:pPr>
          </w:p>
        </w:tc>
        <w:tc>
          <w:tcPr>
            <w:tcW w:w="765" w:type="dxa"/>
            <w:vMerge w:val="continue"/>
            <w:tcBorders>
              <w:top w:val="single" w:color="000000" w:sz="4" w:space="0"/>
              <w:left w:val="single" w:color="000000" w:sz="4" w:space="0"/>
              <w:bottom w:val="nil"/>
              <w:right w:val="single" w:color="000000" w:sz="4" w:space="0"/>
            </w:tcBorders>
            <w:shd w:val="clear" w:color="auto" w:fill="auto"/>
            <w:vAlign w:val="center"/>
          </w:tcPr>
          <w:p w14:paraId="584989ED">
            <w:pPr>
              <w:jc w:val="center"/>
              <w:rPr>
                <w:rFonts w:hint="eastAsia" w:ascii="宋体" w:hAnsi="宋体" w:eastAsia="宋体" w:cs="宋体"/>
                <w:i w:val="0"/>
                <w:iCs w:val="0"/>
                <w:color w:val="000000"/>
                <w:sz w:val="18"/>
                <w:szCs w:val="18"/>
                <w:u w:val="none"/>
              </w:rPr>
            </w:pPr>
          </w:p>
        </w:tc>
        <w:tc>
          <w:tcPr>
            <w:tcW w:w="780" w:type="dxa"/>
            <w:vMerge w:val="continue"/>
            <w:tcBorders>
              <w:top w:val="single" w:color="000000" w:sz="4" w:space="0"/>
              <w:left w:val="single" w:color="000000" w:sz="4" w:space="0"/>
              <w:bottom w:val="nil"/>
              <w:right w:val="single" w:color="000000" w:sz="4" w:space="0"/>
            </w:tcBorders>
            <w:shd w:val="clear" w:color="auto" w:fill="auto"/>
            <w:vAlign w:val="center"/>
          </w:tcPr>
          <w:p w14:paraId="5DEF58B0">
            <w:pPr>
              <w:jc w:val="center"/>
              <w:rPr>
                <w:rFonts w:hint="eastAsia" w:ascii="宋体" w:hAnsi="宋体" w:eastAsia="宋体" w:cs="宋体"/>
                <w:i w:val="0"/>
                <w:iCs w:val="0"/>
                <w:color w:val="000000"/>
                <w:sz w:val="18"/>
                <w:szCs w:val="18"/>
                <w:u w:val="none"/>
              </w:rPr>
            </w:pPr>
          </w:p>
        </w:tc>
        <w:tc>
          <w:tcPr>
            <w:tcW w:w="825" w:type="dxa"/>
            <w:tcBorders>
              <w:top w:val="single" w:color="000000" w:sz="4" w:space="0"/>
              <w:left w:val="single" w:color="000000" w:sz="4" w:space="0"/>
              <w:bottom w:val="nil"/>
              <w:right w:val="single" w:color="000000" w:sz="4" w:space="0"/>
            </w:tcBorders>
            <w:shd w:val="clear" w:color="auto" w:fill="auto"/>
            <w:vAlign w:val="center"/>
          </w:tcPr>
          <w:p w14:paraId="681378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完成锅炉能效测试</w:t>
            </w:r>
          </w:p>
        </w:tc>
        <w:tc>
          <w:tcPr>
            <w:tcW w:w="810" w:type="dxa"/>
            <w:tcBorders>
              <w:top w:val="single" w:color="000000" w:sz="4" w:space="0"/>
              <w:left w:val="single" w:color="000000" w:sz="4" w:space="0"/>
              <w:bottom w:val="nil"/>
              <w:right w:val="single" w:color="000000" w:sz="4" w:space="0"/>
            </w:tcBorders>
            <w:shd w:val="clear" w:color="auto" w:fill="auto"/>
            <w:vAlign w:val="center"/>
          </w:tcPr>
          <w:p w14:paraId="74F4E8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720" w:type="dxa"/>
            <w:tcBorders>
              <w:top w:val="single" w:color="000000" w:sz="4" w:space="0"/>
              <w:left w:val="single" w:color="000000" w:sz="4" w:space="0"/>
              <w:bottom w:val="nil"/>
              <w:right w:val="single" w:color="000000" w:sz="4" w:space="0"/>
            </w:tcBorders>
            <w:shd w:val="clear" w:color="auto" w:fill="auto"/>
            <w:vAlign w:val="center"/>
          </w:tcPr>
          <w:p w14:paraId="0C4C7A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780" w:type="dxa"/>
            <w:tcBorders>
              <w:top w:val="single" w:color="000000" w:sz="4" w:space="0"/>
              <w:left w:val="single" w:color="000000" w:sz="4" w:space="0"/>
              <w:bottom w:val="nil"/>
              <w:right w:val="single" w:color="000000" w:sz="4" w:space="0"/>
            </w:tcBorders>
            <w:shd w:val="clear" w:color="auto" w:fill="auto"/>
            <w:vAlign w:val="center"/>
          </w:tcPr>
          <w:p w14:paraId="71E070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750" w:type="dxa"/>
            <w:tcBorders>
              <w:top w:val="single" w:color="000000" w:sz="4" w:space="0"/>
              <w:left w:val="single" w:color="000000" w:sz="4" w:space="0"/>
              <w:bottom w:val="nil"/>
              <w:right w:val="single" w:color="000000" w:sz="4" w:space="0"/>
            </w:tcBorders>
            <w:shd w:val="clear" w:color="auto" w:fill="auto"/>
            <w:vAlign w:val="center"/>
          </w:tcPr>
          <w:p w14:paraId="1630D4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w:t>
            </w:r>
          </w:p>
        </w:tc>
        <w:tc>
          <w:tcPr>
            <w:tcW w:w="810" w:type="dxa"/>
            <w:tcBorders>
              <w:top w:val="single" w:color="000000" w:sz="4" w:space="0"/>
              <w:left w:val="single" w:color="000000" w:sz="4" w:space="0"/>
              <w:bottom w:val="nil"/>
              <w:right w:val="single" w:color="000000" w:sz="4" w:space="0"/>
            </w:tcBorders>
            <w:shd w:val="clear" w:color="auto" w:fill="auto"/>
            <w:vAlign w:val="center"/>
          </w:tcPr>
          <w:p w14:paraId="2041F3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705" w:type="dxa"/>
            <w:tcBorders>
              <w:top w:val="single" w:color="000000" w:sz="4" w:space="0"/>
              <w:left w:val="single" w:color="000000" w:sz="4" w:space="0"/>
              <w:bottom w:val="nil"/>
              <w:right w:val="single" w:color="000000" w:sz="4" w:space="0"/>
            </w:tcBorders>
            <w:shd w:val="clear" w:color="auto" w:fill="auto"/>
            <w:vAlign w:val="center"/>
          </w:tcPr>
          <w:p w14:paraId="20BFE2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780" w:type="dxa"/>
            <w:tcBorders>
              <w:top w:val="single" w:color="000000" w:sz="4" w:space="0"/>
              <w:left w:val="single" w:color="000000" w:sz="4" w:space="0"/>
              <w:bottom w:val="nil"/>
              <w:right w:val="single" w:color="000000" w:sz="4" w:space="0"/>
            </w:tcBorders>
            <w:shd w:val="clear" w:color="auto" w:fill="auto"/>
            <w:vAlign w:val="center"/>
          </w:tcPr>
          <w:p w14:paraId="424767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795" w:type="dxa"/>
            <w:tcBorders>
              <w:top w:val="single" w:color="000000" w:sz="4" w:space="0"/>
              <w:left w:val="single" w:color="000000" w:sz="4" w:space="0"/>
              <w:bottom w:val="nil"/>
              <w:right w:val="single" w:color="000000" w:sz="4" w:space="0"/>
            </w:tcBorders>
            <w:shd w:val="clear" w:color="auto" w:fill="auto"/>
            <w:vAlign w:val="center"/>
          </w:tcPr>
          <w:p w14:paraId="291F4B69">
            <w:pPr>
              <w:jc w:val="center"/>
              <w:rPr>
                <w:rFonts w:hint="eastAsia" w:ascii="宋体" w:hAnsi="宋体" w:eastAsia="宋体" w:cs="宋体"/>
                <w:i w:val="0"/>
                <w:iCs w:val="0"/>
                <w:color w:val="000000"/>
                <w:sz w:val="18"/>
                <w:szCs w:val="18"/>
                <w:u w:val="none"/>
              </w:rPr>
            </w:pPr>
          </w:p>
        </w:tc>
      </w:tr>
      <w:tr w14:paraId="761EAF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735" w:type="dxa"/>
            <w:vMerge w:val="continue"/>
            <w:tcBorders>
              <w:top w:val="single" w:color="000000" w:sz="4" w:space="0"/>
              <w:left w:val="single" w:color="000000" w:sz="4" w:space="0"/>
              <w:bottom w:val="nil"/>
              <w:right w:val="single" w:color="000000" w:sz="4" w:space="0"/>
            </w:tcBorders>
            <w:shd w:val="clear" w:color="auto" w:fill="auto"/>
            <w:vAlign w:val="center"/>
          </w:tcPr>
          <w:p w14:paraId="010D63E8">
            <w:pPr>
              <w:jc w:val="center"/>
              <w:rPr>
                <w:rFonts w:hint="eastAsia" w:ascii="宋体" w:hAnsi="宋体" w:eastAsia="宋体" w:cs="宋体"/>
                <w:i w:val="0"/>
                <w:iCs w:val="0"/>
                <w:color w:val="000000"/>
                <w:sz w:val="18"/>
                <w:szCs w:val="18"/>
                <w:u w:val="none"/>
              </w:rPr>
            </w:pPr>
          </w:p>
        </w:tc>
        <w:tc>
          <w:tcPr>
            <w:tcW w:w="765" w:type="dxa"/>
            <w:vMerge w:val="continue"/>
            <w:tcBorders>
              <w:top w:val="single" w:color="000000" w:sz="4" w:space="0"/>
              <w:left w:val="single" w:color="000000" w:sz="4" w:space="0"/>
              <w:bottom w:val="nil"/>
              <w:right w:val="single" w:color="000000" w:sz="4" w:space="0"/>
            </w:tcBorders>
            <w:shd w:val="clear" w:color="auto" w:fill="auto"/>
            <w:vAlign w:val="center"/>
          </w:tcPr>
          <w:p w14:paraId="291349C9">
            <w:pPr>
              <w:jc w:val="center"/>
              <w:rPr>
                <w:rFonts w:hint="eastAsia" w:ascii="宋体" w:hAnsi="宋体" w:eastAsia="宋体" w:cs="宋体"/>
                <w:i w:val="0"/>
                <w:iCs w:val="0"/>
                <w:color w:val="000000"/>
                <w:sz w:val="18"/>
                <w:szCs w:val="18"/>
                <w:u w:val="none"/>
              </w:rPr>
            </w:pPr>
          </w:p>
        </w:tc>
        <w:tc>
          <w:tcPr>
            <w:tcW w:w="780" w:type="dxa"/>
            <w:vMerge w:val="continue"/>
            <w:tcBorders>
              <w:top w:val="single" w:color="000000" w:sz="4" w:space="0"/>
              <w:left w:val="single" w:color="000000" w:sz="4" w:space="0"/>
              <w:bottom w:val="nil"/>
              <w:right w:val="single" w:color="000000" w:sz="4" w:space="0"/>
            </w:tcBorders>
            <w:shd w:val="clear" w:color="auto" w:fill="auto"/>
            <w:vAlign w:val="center"/>
          </w:tcPr>
          <w:p w14:paraId="1A69E954">
            <w:pPr>
              <w:jc w:val="center"/>
              <w:rPr>
                <w:rFonts w:hint="eastAsia" w:ascii="宋体" w:hAnsi="宋体" w:eastAsia="宋体" w:cs="宋体"/>
                <w:i w:val="0"/>
                <w:iCs w:val="0"/>
                <w:color w:val="000000"/>
                <w:sz w:val="18"/>
                <w:szCs w:val="18"/>
                <w:u w:val="none"/>
              </w:rPr>
            </w:pPr>
          </w:p>
        </w:tc>
        <w:tc>
          <w:tcPr>
            <w:tcW w:w="825" w:type="dxa"/>
            <w:tcBorders>
              <w:top w:val="single" w:color="000000" w:sz="4" w:space="0"/>
              <w:left w:val="single" w:color="000000" w:sz="4" w:space="0"/>
              <w:bottom w:val="nil"/>
              <w:right w:val="single" w:color="000000" w:sz="4" w:space="0"/>
            </w:tcBorders>
            <w:shd w:val="clear" w:color="auto" w:fill="auto"/>
            <w:vAlign w:val="center"/>
          </w:tcPr>
          <w:p w14:paraId="163283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完成气瓶检验数量</w:t>
            </w:r>
          </w:p>
        </w:tc>
        <w:tc>
          <w:tcPr>
            <w:tcW w:w="810" w:type="dxa"/>
            <w:tcBorders>
              <w:top w:val="single" w:color="000000" w:sz="4" w:space="0"/>
              <w:left w:val="single" w:color="000000" w:sz="4" w:space="0"/>
              <w:bottom w:val="nil"/>
              <w:right w:val="single" w:color="000000" w:sz="4" w:space="0"/>
            </w:tcBorders>
            <w:shd w:val="clear" w:color="auto" w:fill="auto"/>
            <w:vAlign w:val="center"/>
          </w:tcPr>
          <w:p w14:paraId="657343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720" w:type="dxa"/>
            <w:tcBorders>
              <w:top w:val="single" w:color="000000" w:sz="4" w:space="0"/>
              <w:left w:val="single" w:color="000000" w:sz="4" w:space="0"/>
              <w:bottom w:val="nil"/>
              <w:right w:val="single" w:color="000000" w:sz="4" w:space="0"/>
            </w:tcBorders>
            <w:shd w:val="clear" w:color="auto" w:fill="auto"/>
            <w:vAlign w:val="center"/>
          </w:tcPr>
          <w:p w14:paraId="54282A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780" w:type="dxa"/>
            <w:tcBorders>
              <w:top w:val="single" w:color="000000" w:sz="4" w:space="0"/>
              <w:left w:val="single" w:color="000000" w:sz="4" w:space="0"/>
              <w:bottom w:val="nil"/>
              <w:right w:val="single" w:color="000000" w:sz="4" w:space="0"/>
            </w:tcBorders>
            <w:shd w:val="clear" w:color="auto" w:fill="auto"/>
            <w:vAlign w:val="center"/>
          </w:tcPr>
          <w:p w14:paraId="12C1D7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26000</w:t>
            </w:r>
          </w:p>
        </w:tc>
        <w:tc>
          <w:tcPr>
            <w:tcW w:w="750" w:type="dxa"/>
            <w:tcBorders>
              <w:top w:val="single" w:color="000000" w:sz="4" w:space="0"/>
              <w:left w:val="single" w:color="000000" w:sz="4" w:space="0"/>
              <w:bottom w:val="nil"/>
              <w:right w:val="single" w:color="000000" w:sz="4" w:space="0"/>
            </w:tcBorders>
            <w:shd w:val="clear" w:color="auto" w:fill="auto"/>
            <w:vAlign w:val="center"/>
          </w:tcPr>
          <w:p w14:paraId="680FEA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7988</w:t>
            </w:r>
          </w:p>
        </w:tc>
        <w:tc>
          <w:tcPr>
            <w:tcW w:w="810" w:type="dxa"/>
            <w:tcBorders>
              <w:top w:val="single" w:color="000000" w:sz="4" w:space="0"/>
              <w:left w:val="single" w:color="000000" w:sz="4" w:space="0"/>
              <w:bottom w:val="nil"/>
              <w:right w:val="single" w:color="000000" w:sz="4" w:space="0"/>
            </w:tcBorders>
            <w:shd w:val="clear" w:color="auto" w:fill="auto"/>
            <w:vAlign w:val="center"/>
          </w:tcPr>
          <w:p w14:paraId="20C9A6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只</w:t>
            </w:r>
          </w:p>
        </w:tc>
        <w:tc>
          <w:tcPr>
            <w:tcW w:w="705" w:type="dxa"/>
            <w:tcBorders>
              <w:top w:val="single" w:color="000000" w:sz="4" w:space="0"/>
              <w:left w:val="single" w:color="000000" w:sz="4" w:space="0"/>
              <w:bottom w:val="nil"/>
              <w:right w:val="single" w:color="000000" w:sz="4" w:space="0"/>
            </w:tcBorders>
            <w:shd w:val="clear" w:color="auto" w:fill="auto"/>
            <w:vAlign w:val="center"/>
          </w:tcPr>
          <w:p w14:paraId="4DB1AC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780" w:type="dxa"/>
            <w:tcBorders>
              <w:top w:val="single" w:color="000000" w:sz="4" w:space="0"/>
              <w:left w:val="single" w:color="000000" w:sz="4" w:space="0"/>
              <w:bottom w:val="nil"/>
              <w:right w:val="single" w:color="000000" w:sz="4" w:space="0"/>
            </w:tcBorders>
            <w:shd w:val="clear" w:color="auto" w:fill="auto"/>
            <w:vAlign w:val="center"/>
          </w:tcPr>
          <w:p w14:paraId="539AA8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1.23</w:t>
            </w:r>
          </w:p>
        </w:tc>
        <w:tc>
          <w:tcPr>
            <w:tcW w:w="795" w:type="dxa"/>
            <w:tcBorders>
              <w:top w:val="single" w:color="000000" w:sz="4" w:space="0"/>
              <w:left w:val="single" w:color="000000" w:sz="4" w:space="0"/>
              <w:bottom w:val="nil"/>
              <w:right w:val="single" w:color="000000" w:sz="4" w:space="0"/>
            </w:tcBorders>
            <w:shd w:val="clear" w:color="auto" w:fill="auto"/>
            <w:vAlign w:val="center"/>
          </w:tcPr>
          <w:p w14:paraId="1F32947D">
            <w:pPr>
              <w:jc w:val="center"/>
              <w:rPr>
                <w:rFonts w:hint="eastAsia" w:ascii="宋体" w:hAnsi="宋体" w:eastAsia="宋体" w:cs="宋体"/>
                <w:i w:val="0"/>
                <w:iCs w:val="0"/>
                <w:color w:val="000000"/>
                <w:sz w:val="18"/>
                <w:szCs w:val="18"/>
                <w:u w:val="none"/>
              </w:rPr>
            </w:pPr>
          </w:p>
        </w:tc>
      </w:tr>
      <w:tr w14:paraId="00ADB4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735" w:type="dxa"/>
            <w:vMerge w:val="continue"/>
            <w:tcBorders>
              <w:top w:val="single" w:color="000000" w:sz="4" w:space="0"/>
              <w:left w:val="single" w:color="000000" w:sz="4" w:space="0"/>
              <w:bottom w:val="nil"/>
              <w:right w:val="single" w:color="000000" w:sz="4" w:space="0"/>
            </w:tcBorders>
            <w:shd w:val="clear" w:color="auto" w:fill="auto"/>
            <w:vAlign w:val="center"/>
          </w:tcPr>
          <w:p w14:paraId="6636B2D5">
            <w:pPr>
              <w:jc w:val="center"/>
              <w:rPr>
                <w:rFonts w:hint="eastAsia" w:ascii="宋体" w:hAnsi="宋体" w:eastAsia="宋体" w:cs="宋体"/>
                <w:i w:val="0"/>
                <w:iCs w:val="0"/>
                <w:color w:val="000000"/>
                <w:sz w:val="18"/>
                <w:szCs w:val="18"/>
                <w:u w:val="none"/>
              </w:rPr>
            </w:pPr>
          </w:p>
        </w:tc>
        <w:tc>
          <w:tcPr>
            <w:tcW w:w="765" w:type="dxa"/>
            <w:vMerge w:val="continue"/>
            <w:tcBorders>
              <w:top w:val="single" w:color="000000" w:sz="4" w:space="0"/>
              <w:left w:val="single" w:color="000000" w:sz="4" w:space="0"/>
              <w:bottom w:val="nil"/>
              <w:right w:val="single" w:color="000000" w:sz="4" w:space="0"/>
            </w:tcBorders>
            <w:shd w:val="clear" w:color="auto" w:fill="auto"/>
            <w:vAlign w:val="center"/>
          </w:tcPr>
          <w:p w14:paraId="485A1BD3">
            <w:pPr>
              <w:jc w:val="center"/>
              <w:rPr>
                <w:rFonts w:hint="eastAsia" w:ascii="宋体" w:hAnsi="宋体" w:eastAsia="宋体" w:cs="宋体"/>
                <w:i w:val="0"/>
                <w:iCs w:val="0"/>
                <w:color w:val="000000"/>
                <w:sz w:val="18"/>
                <w:szCs w:val="18"/>
                <w:u w:val="none"/>
              </w:rPr>
            </w:pPr>
          </w:p>
        </w:tc>
        <w:tc>
          <w:tcPr>
            <w:tcW w:w="780" w:type="dxa"/>
            <w:vMerge w:val="restart"/>
            <w:tcBorders>
              <w:top w:val="single" w:color="000000" w:sz="4" w:space="0"/>
              <w:left w:val="single" w:color="000000" w:sz="4" w:space="0"/>
              <w:bottom w:val="nil"/>
              <w:right w:val="single" w:color="000000" w:sz="4" w:space="0"/>
            </w:tcBorders>
            <w:shd w:val="clear" w:color="auto" w:fill="auto"/>
            <w:vAlign w:val="center"/>
          </w:tcPr>
          <w:p w14:paraId="146674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23B1BB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检验报告签发率及合格率</w:t>
            </w:r>
          </w:p>
        </w:tc>
        <w:tc>
          <w:tcPr>
            <w:tcW w:w="810" w:type="dxa"/>
            <w:tcBorders>
              <w:top w:val="single" w:color="000000" w:sz="4" w:space="0"/>
              <w:left w:val="single" w:color="000000" w:sz="4" w:space="0"/>
              <w:bottom w:val="nil"/>
              <w:right w:val="single" w:color="000000" w:sz="4" w:space="0"/>
            </w:tcBorders>
            <w:shd w:val="clear" w:color="auto" w:fill="auto"/>
            <w:vAlign w:val="center"/>
          </w:tcPr>
          <w:p w14:paraId="036F89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720" w:type="dxa"/>
            <w:tcBorders>
              <w:top w:val="single" w:color="000000" w:sz="4" w:space="0"/>
              <w:left w:val="single" w:color="000000" w:sz="4" w:space="0"/>
              <w:bottom w:val="nil"/>
              <w:right w:val="single" w:color="000000" w:sz="4" w:space="0"/>
            </w:tcBorders>
            <w:shd w:val="clear" w:color="auto" w:fill="auto"/>
            <w:vAlign w:val="center"/>
          </w:tcPr>
          <w:p w14:paraId="2D9AC9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780" w:type="dxa"/>
            <w:tcBorders>
              <w:top w:val="single" w:color="000000" w:sz="4" w:space="0"/>
              <w:left w:val="single" w:color="000000" w:sz="4" w:space="0"/>
              <w:bottom w:val="nil"/>
              <w:right w:val="single" w:color="000000" w:sz="4" w:space="0"/>
            </w:tcBorders>
            <w:shd w:val="clear" w:color="auto" w:fill="auto"/>
            <w:vAlign w:val="center"/>
          </w:tcPr>
          <w:p w14:paraId="03B36E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99.50</w:t>
            </w:r>
          </w:p>
        </w:tc>
        <w:tc>
          <w:tcPr>
            <w:tcW w:w="750" w:type="dxa"/>
            <w:tcBorders>
              <w:top w:val="single" w:color="000000" w:sz="4" w:space="0"/>
              <w:left w:val="single" w:color="000000" w:sz="4" w:space="0"/>
              <w:bottom w:val="nil"/>
              <w:right w:val="single" w:color="000000" w:sz="4" w:space="0"/>
            </w:tcBorders>
            <w:shd w:val="clear" w:color="auto" w:fill="auto"/>
            <w:vAlign w:val="center"/>
          </w:tcPr>
          <w:p w14:paraId="31B18F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99.5</w:t>
            </w:r>
          </w:p>
        </w:tc>
        <w:tc>
          <w:tcPr>
            <w:tcW w:w="810" w:type="dxa"/>
            <w:tcBorders>
              <w:top w:val="single" w:color="000000" w:sz="4" w:space="0"/>
              <w:left w:val="single" w:color="000000" w:sz="4" w:space="0"/>
              <w:bottom w:val="nil"/>
              <w:right w:val="single" w:color="000000" w:sz="4" w:space="0"/>
            </w:tcBorders>
            <w:shd w:val="clear" w:color="auto" w:fill="auto"/>
            <w:vAlign w:val="center"/>
          </w:tcPr>
          <w:p w14:paraId="7D51D3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05" w:type="dxa"/>
            <w:tcBorders>
              <w:top w:val="single" w:color="000000" w:sz="4" w:space="0"/>
              <w:left w:val="single" w:color="000000" w:sz="4" w:space="0"/>
              <w:bottom w:val="nil"/>
              <w:right w:val="single" w:color="000000" w:sz="4" w:space="0"/>
            </w:tcBorders>
            <w:shd w:val="clear" w:color="auto" w:fill="auto"/>
            <w:vAlign w:val="center"/>
          </w:tcPr>
          <w:p w14:paraId="079D2B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780" w:type="dxa"/>
            <w:tcBorders>
              <w:top w:val="single" w:color="000000" w:sz="4" w:space="0"/>
              <w:left w:val="single" w:color="000000" w:sz="4" w:space="0"/>
              <w:bottom w:val="nil"/>
              <w:right w:val="single" w:color="000000" w:sz="4" w:space="0"/>
            </w:tcBorders>
            <w:shd w:val="clear" w:color="auto" w:fill="auto"/>
            <w:vAlign w:val="center"/>
          </w:tcPr>
          <w:p w14:paraId="330AB6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795" w:type="dxa"/>
            <w:tcBorders>
              <w:top w:val="single" w:color="000000" w:sz="4" w:space="0"/>
              <w:left w:val="single" w:color="000000" w:sz="4" w:space="0"/>
              <w:bottom w:val="nil"/>
              <w:right w:val="single" w:color="000000" w:sz="4" w:space="0"/>
            </w:tcBorders>
            <w:shd w:val="clear" w:color="auto" w:fill="auto"/>
            <w:vAlign w:val="center"/>
          </w:tcPr>
          <w:p w14:paraId="3877D25D">
            <w:pPr>
              <w:jc w:val="center"/>
              <w:rPr>
                <w:rFonts w:hint="eastAsia" w:ascii="宋体" w:hAnsi="宋体" w:eastAsia="宋体" w:cs="宋体"/>
                <w:i w:val="0"/>
                <w:iCs w:val="0"/>
                <w:color w:val="000000"/>
                <w:sz w:val="18"/>
                <w:szCs w:val="18"/>
                <w:u w:val="none"/>
              </w:rPr>
            </w:pPr>
          </w:p>
        </w:tc>
      </w:tr>
      <w:tr w14:paraId="059D96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735" w:type="dxa"/>
            <w:vMerge w:val="continue"/>
            <w:tcBorders>
              <w:top w:val="single" w:color="000000" w:sz="4" w:space="0"/>
              <w:left w:val="single" w:color="000000" w:sz="4" w:space="0"/>
              <w:bottom w:val="nil"/>
              <w:right w:val="single" w:color="000000" w:sz="4" w:space="0"/>
            </w:tcBorders>
            <w:shd w:val="clear" w:color="auto" w:fill="auto"/>
            <w:vAlign w:val="center"/>
          </w:tcPr>
          <w:p w14:paraId="6DECCD2E">
            <w:pPr>
              <w:jc w:val="center"/>
              <w:rPr>
                <w:rFonts w:hint="eastAsia" w:ascii="宋体" w:hAnsi="宋体" w:eastAsia="宋体" w:cs="宋体"/>
                <w:i w:val="0"/>
                <w:iCs w:val="0"/>
                <w:color w:val="000000"/>
                <w:sz w:val="18"/>
                <w:szCs w:val="18"/>
                <w:u w:val="none"/>
              </w:rPr>
            </w:pPr>
          </w:p>
        </w:tc>
        <w:tc>
          <w:tcPr>
            <w:tcW w:w="765" w:type="dxa"/>
            <w:vMerge w:val="continue"/>
            <w:tcBorders>
              <w:top w:val="single" w:color="000000" w:sz="4" w:space="0"/>
              <w:left w:val="single" w:color="000000" w:sz="4" w:space="0"/>
              <w:bottom w:val="nil"/>
              <w:right w:val="single" w:color="000000" w:sz="4" w:space="0"/>
            </w:tcBorders>
            <w:shd w:val="clear" w:color="auto" w:fill="auto"/>
            <w:vAlign w:val="center"/>
          </w:tcPr>
          <w:p w14:paraId="721DEB25">
            <w:pPr>
              <w:jc w:val="center"/>
              <w:rPr>
                <w:rFonts w:hint="eastAsia" w:ascii="宋体" w:hAnsi="宋体" w:eastAsia="宋体" w:cs="宋体"/>
                <w:i w:val="0"/>
                <w:iCs w:val="0"/>
                <w:color w:val="000000"/>
                <w:sz w:val="18"/>
                <w:szCs w:val="18"/>
                <w:u w:val="none"/>
              </w:rPr>
            </w:pPr>
          </w:p>
        </w:tc>
        <w:tc>
          <w:tcPr>
            <w:tcW w:w="780" w:type="dxa"/>
            <w:vMerge w:val="continue"/>
            <w:tcBorders>
              <w:top w:val="single" w:color="000000" w:sz="4" w:space="0"/>
              <w:left w:val="single" w:color="000000" w:sz="4" w:space="0"/>
              <w:bottom w:val="nil"/>
              <w:right w:val="single" w:color="000000" w:sz="4" w:space="0"/>
            </w:tcBorders>
            <w:shd w:val="clear" w:color="auto" w:fill="auto"/>
            <w:vAlign w:val="center"/>
          </w:tcPr>
          <w:p w14:paraId="6122BF5D">
            <w:pPr>
              <w:jc w:val="center"/>
              <w:rPr>
                <w:rFonts w:hint="eastAsia" w:ascii="宋体" w:hAnsi="宋体" w:eastAsia="宋体" w:cs="宋体"/>
                <w:i w:val="0"/>
                <w:iCs w:val="0"/>
                <w:color w:val="000000"/>
                <w:sz w:val="18"/>
                <w:szCs w:val="18"/>
                <w:u w:val="none"/>
              </w:rPr>
            </w:pPr>
          </w:p>
        </w:tc>
        <w:tc>
          <w:tcPr>
            <w:tcW w:w="825" w:type="dxa"/>
            <w:tcBorders>
              <w:top w:val="single" w:color="000000" w:sz="4" w:space="0"/>
              <w:left w:val="single" w:color="000000" w:sz="4" w:space="0"/>
              <w:bottom w:val="nil"/>
              <w:right w:val="single" w:color="000000" w:sz="4" w:space="0"/>
            </w:tcBorders>
            <w:shd w:val="clear" w:color="auto" w:fill="auto"/>
            <w:vAlign w:val="center"/>
          </w:tcPr>
          <w:p w14:paraId="24A0DA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政府采购执行率</w:t>
            </w:r>
          </w:p>
        </w:tc>
        <w:tc>
          <w:tcPr>
            <w:tcW w:w="810" w:type="dxa"/>
            <w:tcBorders>
              <w:top w:val="single" w:color="000000" w:sz="4" w:space="0"/>
              <w:left w:val="single" w:color="000000" w:sz="4" w:space="0"/>
              <w:bottom w:val="nil"/>
              <w:right w:val="single" w:color="000000" w:sz="4" w:space="0"/>
            </w:tcBorders>
            <w:shd w:val="clear" w:color="auto" w:fill="auto"/>
            <w:vAlign w:val="center"/>
          </w:tcPr>
          <w:p w14:paraId="5FAF2D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720" w:type="dxa"/>
            <w:tcBorders>
              <w:top w:val="single" w:color="000000" w:sz="4" w:space="0"/>
              <w:left w:val="single" w:color="000000" w:sz="4" w:space="0"/>
              <w:bottom w:val="nil"/>
              <w:right w:val="single" w:color="000000" w:sz="4" w:space="0"/>
            </w:tcBorders>
            <w:shd w:val="clear" w:color="auto" w:fill="auto"/>
            <w:vAlign w:val="center"/>
          </w:tcPr>
          <w:p w14:paraId="53BB78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780" w:type="dxa"/>
            <w:tcBorders>
              <w:top w:val="single" w:color="000000" w:sz="4" w:space="0"/>
              <w:left w:val="single" w:color="000000" w:sz="4" w:space="0"/>
              <w:bottom w:val="nil"/>
              <w:right w:val="single" w:color="000000" w:sz="4" w:space="0"/>
            </w:tcBorders>
            <w:shd w:val="clear" w:color="auto" w:fill="auto"/>
            <w:vAlign w:val="center"/>
          </w:tcPr>
          <w:p w14:paraId="21DD3B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750" w:type="dxa"/>
            <w:tcBorders>
              <w:top w:val="single" w:color="000000" w:sz="4" w:space="0"/>
              <w:left w:val="single" w:color="000000" w:sz="4" w:space="0"/>
              <w:bottom w:val="nil"/>
              <w:right w:val="single" w:color="000000" w:sz="4" w:space="0"/>
            </w:tcBorders>
            <w:shd w:val="clear" w:color="auto" w:fill="auto"/>
            <w:vAlign w:val="center"/>
          </w:tcPr>
          <w:p w14:paraId="4F8D17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810" w:type="dxa"/>
            <w:tcBorders>
              <w:top w:val="single" w:color="000000" w:sz="4" w:space="0"/>
              <w:left w:val="single" w:color="000000" w:sz="4" w:space="0"/>
              <w:bottom w:val="nil"/>
              <w:right w:val="single" w:color="000000" w:sz="4" w:space="0"/>
            </w:tcBorders>
            <w:shd w:val="clear" w:color="auto" w:fill="auto"/>
            <w:vAlign w:val="center"/>
          </w:tcPr>
          <w:p w14:paraId="76C2A2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05" w:type="dxa"/>
            <w:tcBorders>
              <w:top w:val="single" w:color="000000" w:sz="4" w:space="0"/>
              <w:left w:val="single" w:color="000000" w:sz="4" w:space="0"/>
              <w:bottom w:val="nil"/>
              <w:right w:val="single" w:color="000000" w:sz="4" w:space="0"/>
            </w:tcBorders>
            <w:shd w:val="clear" w:color="auto" w:fill="auto"/>
            <w:vAlign w:val="center"/>
          </w:tcPr>
          <w:p w14:paraId="6ED919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780" w:type="dxa"/>
            <w:tcBorders>
              <w:top w:val="single" w:color="000000" w:sz="4" w:space="0"/>
              <w:left w:val="single" w:color="000000" w:sz="4" w:space="0"/>
              <w:bottom w:val="nil"/>
              <w:right w:val="single" w:color="000000" w:sz="4" w:space="0"/>
            </w:tcBorders>
            <w:shd w:val="clear" w:color="auto" w:fill="auto"/>
            <w:vAlign w:val="center"/>
          </w:tcPr>
          <w:p w14:paraId="69353E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795" w:type="dxa"/>
            <w:tcBorders>
              <w:top w:val="single" w:color="000000" w:sz="4" w:space="0"/>
              <w:left w:val="single" w:color="000000" w:sz="4" w:space="0"/>
              <w:bottom w:val="nil"/>
              <w:right w:val="single" w:color="000000" w:sz="4" w:space="0"/>
            </w:tcBorders>
            <w:shd w:val="clear" w:color="auto" w:fill="auto"/>
            <w:vAlign w:val="center"/>
          </w:tcPr>
          <w:p w14:paraId="491D01B7">
            <w:pPr>
              <w:jc w:val="center"/>
              <w:rPr>
                <w:rFonts w:hint="eastAsia" w:ascii="宋体" w:hAnsi="宋体" w:eastAsia="宋体" w:cs="宋体"/>
                <w:i w:val="0"/>
                <w:iCs w:val="0"/>
                <w:color w:val="000000"/>
                <w:sz w:val="18"/>
                <w:szCs w:val="18"/>
                <w:u w:val="none"/>
              </w:rPr>
            </w:pPr>
          </w:p>
        </w:tc>
      </w:tr>
      <w:tr w14:paraId="05D469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735" w:type="dxa"/>
            <w:vMerge w:val="continue"/>
            <w:tcBorders>
              <w:top w:val="single" w:color="000000" w:sz="4" w:space="0"/>
              <w:left w:val="single" w:color="000000" w:sz="4" w:space="0"/>
              <w:bottom w:val="nil"/>
              <w:right w:val="single" w:color="000000" w:sz="4" w:space="0"/>
            </w:tcBorders>
            <w:shd w:val="clear" w:color="auto" w:fill="auto"/>
            <w:vAlign w:val="center"/>
          </w:tcPr>
          <w:p w14:paraId="0263F212">
            <w:pPr>
              <w:jc w:val="center"/>
              <w:rPr>
                <w:rFonts w:hint="eastAsia" w:ascii="宋体" w:hAnsi="宋体" w:eastAsia="宋体" w:cs="宋体"/>
                <w:i w:val="0"/>
                <w:iCs w:val="0"/>
                <w:color w:val="000000"/>
                <w:sz w:val="18"/>
                <w:szCs w:val="18"/>
                <w:u w:val="none"/>
              </w:rPr>
            </w:pPr>
          </w:p>
        </w:tc>
        <w:tc>
          <w:tcPr>
            <w:tcW w:w="765" w:type="dxa"/>
            <w:vMerge w:val="continue"/>
            <w:tcBorders>
              <w:top w:val="single" w:color="000000" w:sz="4" w:space="0"/>
              <w:left w:val="single" w:color="000000" w:sz="4" w:space="0"/>
              <w:bottom w:val="nil"/>
              <w:right w:val="single" w:color="000000" w:sz="4" w:space="0"/>
            </w:tcBorders>
            <w:shd w:val="clear" w:color="auto" w:fill="auto"/>
            <w:vAlign w:val="center"/>
          </w:tcPr>
          <w:p w14:paraId="60A63167">
            <w:pPr>
              <w:jc w:val="center"/>
              <w:rPr>
                <w:rFonts w:hint="eastAsia" w:ascii="宋体" w:hAnsi="宋体" w:eastAsia="宋体" w:cs="宋体"/>
                <w:i w:val="0"/>
                <w:iCs w:val="0"/>
                <w:color w:val="000000"/>
                <w:sz w:val="18"/>
                <w:szCs w:val="18"/>
                <w:u w:val="none"/>
              </w:rPr>
            </w:pPr>
          </w:p>
        </w:tc>
        <w:tc>
          <w:tcPr>
            <w:tcW w:w="780" w:type="dxa"/>
            <w:vMerge w:val="restart"/>
            <w:tcBorders>
              <w:top w:val="single" w:color="000000" w:sz="4" w:space="0"/>
              <w:left w:val="single" w:color="000000" w:sz="4" w:space="0"/>
              <w:bottom w:val="nil"/>
              <w:right w:val="single" w:color="000000" w:sz="4" w:space="0"/>
            </w:tcBorders>
            <w:shd w:val="clear" w:color="auto" w:fill="auto"/>
            <w:vAlign w:val="center"/>
          </w:tcPr>
          <w:p w14:paraId="4E27AD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728601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检验报告出具时间</w:t>
            </w:r>
          </w:p>
        </w:tc>
        <w:tc>
          <w:tcPr>
            <w:tcW w:w="810" w:type="dxa"/>
            <w:tcBorders>
              <w:top w:val="single" w:color="000000" w:sz="4" w:space="0"/>
              <w:left w:val="single" w:color="000000" w:sz="4" w:space="0"/>
              <w:bottom w:val="nil"/>
              <w:right w:val="single" w:color="000000" w:sz="4" w:space="0"/>
            </w:tcBorders>
            <w:shd w:val="clear" w:color="auto" w:fill="auto"/>
            <w:vAlign w:val="center"/>
          </w:tcPr>
          <w:p w14:paraId="32157C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w:t>
            </w:r>
          </w:p>
        </w:tc>
        <w:tc>
          <w:tcPr>
            <w:tcW w:w="720" w:type="dxa"/>
            <w:tcBorders>
              <w:top w:val="single" w:color="000000" w:sz="4" w:space="0"/>
              <w:left w:val="single" w:color="000000" w:sz="4" w:space="0"/>
              <w:bottom w:val="nil"/>
              <w:right w:val="single" w:color="000000" w:sz="4" w:space="0"/>
            </w:tcBorders>
            <w:shd w:val="clear" w:color="auto" w:fill="auto"/>
            <w:vAlign w:val="center"/>
          </w:tcPr>
          <w:p w14:paraId="14B986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小于等于</w:t>
            </w:r>
          </w:p>
        </w:tc>
        <w:tc>
          <w:tcPr>
            <w:tcW w:w="780" w:type="dxa"/>
            <w:tcBorders>
              <w:top w:val="single" w:color="000000" w:sz="4" w:space="0"/>
              <w:left w:val="single" w:color="000000" w:sz="4" w:space="0"/>
              <w:bottom w:val="nil"/>
              <w:right w:val="single" w:color="000000" w:sz="4" w:space="0"/>
            </w:tcBorders>
            <w:shd w:val="clear" w:color="auto" w:fill="auto"/>
            <w:vAlign w:val="center"/>
          </w:tcPr>
          <w:p w14:paraId="08BF2F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750" w:type="dxa"/>
            <w:tcBorders>
              <w:top w:val="single" w:color="000000" w:sz="4" w:space="0"/>
              <w:left w:val="single" w:color="000000" w:sz="4" w:space="0"/>
              <w:bottom w:val="nil"/>
              <w:right w:val="single" w:color="000000" w:sz="4" w:space="0"/>
            </w:tcBorders>
            <w:shd w:val="clear" w:color="auto" w:fill="auto"/>
            <w:vAlign w:val="center"/>
          </w:tcPr>
          <w:p w14:paraId="0713F3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810" w:type="dxa"/>
            <w:tcBorders>
              <w:top w:val="single" w:color="000000" w:sz="4" w:space="0"/>
              <w:left w:val="single" w:color="000000" w:sz="4" w:space="0"/>
              <w:bottom w:val="nil"/>
              <w:right w:val="single" w:color="000000" w:sz="4" w:space="0"/>
            </w:tcBorders>
            <w:shd w:val="clear" w:color="auto" w:fill="auto"/>
            <w:vAlign w:val="center"/>
          </w:tcPr>
          <w:p w14:paraId="12201B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w:t>
            </w:r>
          </w:p>
        </w:tc>
        <w:tc>
          <w:tcPr>
            <w:tcW w:w="705" w:type="dxa"/>
            <w:tcBorders>
              <w:top w:val="single" w:color="000000" w:sz="4" w:space="0"/>
              <w:left w:val="single" w:color="000000" w:sz="4" w:space="0"/>
              <w:bottom w:val="nil"/>
              <w:right w:val="single" w:color="000000" w:sz="4" w:space="0"/>
            </w:tcBorders>
            <w:shd w:val="clear" w:color="auto" w:fill="auto"/>
            <w:vAlign w:val="center"/>
          </w:tcPr>
          <w:p w14:paraId="5957F4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780" w:type="dxa"/>
            <w:tcBorders>
              <w:top w:val="single" w:color="000000" w:sz="4" w:space="0"/>
              <w:left w:val="single" w:color="000000" w:sz="4" w:space="0"/>
              <w:bottom w:val="nil"/>
              <w:right w:val="single" w:color="000000" w:sz="4" w:space="0"/>
            </w:tcBorders>
            <w:shd w:val="clear" w:color="auto" w:fill="auto"/>
            <w:vAlign w:val="center"/>
          </w:tcPr>
          <w:p w14:paraId="4F35C2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795" w:type="dxa"/>
            <w:tcBorders>
              <w:top w:val="single" w:color="000000" w:sz="4" w:space="0"/>
              <w:left w:val="single" w:color="000000" w:sz="4" w:space="0"/>
              <w:bottom w:val="nil"/>
              <w:right w:val="single" w:color="000000" w:sz="4" w:space="0"/>
            </w:tcBorders>
            <w:shd w:val="clear" w:color="auto" w:fill="auto"/>
            <w:vAlign w:val="center"/>
          </w:tcPr>
          <w:p w14:paraId="3C671518">
            <w:pPr>
              <w:jc w:val="center"/>
              <w:rPr>
                <w:rFonts w:hint="eastAsia" w:ascii="宋体" w:hAnsi="宋体" w:eastAsia="宋体" w:cs="宋体"/>
                <w:i w:val="0"/>
                <w:iCs w:val="0"/>
                <w:color w:val="000000"/>
                <w:sz w:val="18"/>
                <w:szCs w:val="18"/>
                <w:u w:val="none"/>
              </w:rPr>
            </w:pPr>
          </w:p>
        </w:tc>
      </w:tr>
      <w:tr w14:paraId="7CA9FF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735" w:type="dxa"/>
            <w:vMerge w:val="continue"/>
            <w:tcBorders>
              <w:top w:val="single" w:color="000000" w:sz="4" w:space="0"/>
              <w:left w:val="single" w:color="000000" w:sz="4" w:space="0"/>
              <w:bottom w:val="nil"/>
              <w:right w:val="single" w:color="000000" w:sz="4" w:space="0"/>
            </w:tcBorders>
            <w:shd w:val="clear" w:color="auto" w:fill="auto"/>
            <w:vAlign w:val="center"/>
          </w:tcPr>
          <w:p w14:paraId="144D54BE">
            <w:pPr>
              <w:jc w:val="center"/>
              <w:rPr>
                <w:rFonts w:hint="eastAsia" w:ascii="宋体" w:hAnsi="宋体" w:eastAsia="宋体" w:cs="宋体"/>
                <w:i w:val="0"/>
                <w:iCs w:val="0"/>
                <w:color w:val="000000"/>
                <w:sz w:val="18"/>
                <w:szCs w:val="18"/>
                <w:u w:val="none"/>
              </w:rPr>
            </w:pPr>
          </w:p>
        </w:tc>
        <w:tc>
          <w:tcPr>
            <w:tcW w:w="765" w:type="dxa"/>
            <w:vMerge w:val="continue"/>
            <w:tcBorders>
              <w:top w:val="single" w:color="000000" w:sz="4" w:space="0"/>
              <w:left w:val="single" w:color="000000" w:sz="4" w:space="0"/>
              <w:bottom w:val="nil"/>
              <w:right w:val="single" w:color="000000" w:sz="4" w:space="0"/>
            </w:tcBorders>
            <w:shd w:val="clear" w:color="auto" w:fill="auto"/>
            <w:vAlign w:val="center"/>
          </w:tcPr>
          <w:p w14:paraId="354C2D04">
            <w:pPr>
              <w:jc w:val="center"/>
              <w:rPr>
                <w:rFonts w:hint="eastAsia" w:ascii="宋体" w:hAnsi="宋体" w:eastAsia="宋体" w:cs="宋体"/>
                <w:i w:val="0"/>
                <w:iCs w:val="0"/>
                <w:color w:val="000000"/>
                <w:sz w:val="18"/>
                <w:szCs w:val="18"/>
                <w:u w:val="none"/>
              </w:rPr>
            </w:pPr>
          </w:p>
        </w:tc>
        <w:tc>
          <w:tcPr>
            <w:tcW w:w="780" w:type="dxa"/>
            <w:vMerge w:val="continue"/>
            <w:tcBorders>
              <w:top w:val="single" w:color="000000" w:sz="4" w:space="0"/>
              <w:left w:val="single" w:color="000000" w:sz="4" w:space="0"/>
              <w:bottom w:val="nil"/>
              <w:right w:val="single" w:color="000000" w:sz="4" w:space="0"/>
            </w:tcBorders>
            <w:shd w:val="clear" w:color="auto" w:fill="auto"/>
            <w:vAlign w:val="center"/>
          </w:tcPr>
          <w:p w14:paraId="583FA1C2">
            <w:pPr>
              <w:jc w:val="center"/>
              <w:rPr>
                <w:rFonts w:hint="eastAsia" w:ascii="宋体" w:hAnsi="宋体" w:eastAsia="宋体" w:cs="宋体"/>
                <w:i w:val="0"/>
                <w:iCs w:val="0"/>
                <w:color w:val="000000"/>
                <w:sz w:val="18"/>
                <w:szCs w:val="18"/>
                <w:u w:val="none"/>
              </w:rPr>
            </w:pPr>
          </w:p>
        </w:tc>
        <w:tc>
          <w:tcPr>
            <w:tcW w:w="825" w:type="dxa"/>
            <w:tcBorders>
              <w:top w:val="single" w:color="000000" w:sz="4" w:space="0"/>
              <w:left w:val="single" w:color="000000" w:sz="4" w:space="0"/>
              <w:bottom w:val="nil"/>
              <w:right w:val="single" w:color="000000" w:sz="4" w:space="0"/>
            </w:tcBorders>
            <w:shd w:val="clear" w:color="auto" w:fill="auto"/>
            <w:vAlign w:val="center"/>
          </w:tcPr>
          <w:p w14:paraId="78FED7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检验受理时间</w:t>
            </w:r>
          </w:p>
        </w:tc>
        <w:tc>
          <w:tcPr>
            <w:tcW w:w="810" w:type="dxa"/>
            <w:tcBorders>
              <w:top w:val="single" w:color="000000" w:sz="4" w:space="0"/>
              <w:left w:val="single" w:color="000000" w:sz="4" w:space="0"/>
              <w:bottom w:val="nil"/>
              <w:right w:val="single" w:color="000000" w:sz="4" w:space="0"/>
            </w:tcBorders>
            <w:shd w:val="clear" w:color="auto" w:fill="auto"/>
            <w:vAlign w:val="center"/>
          </w:tcPr>
          <w:p w14:paraId="3CFD9C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w:t>
            </w:r>
          </w:p>
        </w:tc>
        <w:tc>
          <w:tcPr>
            <w:tcW w:w="720" w:type="dxa"/>
            <w:tcBorders>
              <w:top w:val="single" w:color="000000" w:sz="4" w:space="0"/>
              <w:left w:val="single" w:color="000000" w:sz="4" w:space="0"/>
              <w:bottom w:val="nil"/>
              <w:right w:val="single" w:color="000000" w:sz="4" w:space="0"/>
            </w:tcBorders>
            <w:shd w:val="clear" w:color="auto" w:fill="auto"/>
            <w:vAlign w:val="center"/>
          </w:tcPr>
          <w:p w14:paraId="0685D0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小于等于</w:t>
            </w:r>
          </w:p>
        </w:tc>
        <w:tc>
          <w:tcPr>
            <w:tcW w:w="780" w:type="dxa"/>
            <w:tcBorders>
              <w:top w:val="single" w:color="000000" w:sz="4" w:space="0"/>
              <w:left w:val="single" w:color="000000" w:sz="4" w:space="0"/>
              <w:bottom w:val="nil"/>
              <w:right w:val="single" w:color="000000" w:sz="4" w:space="0"/>
            </w:tcBorders>
            <w:shd w:val="clear" w:color="auto" w:fill="auto"/>
            <w:vAlign w:val="center"/>
          </w:tcPr>
          <w:p w14:paraId="20CE24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750" w:type="dxa"/>
            <w:tcBorders>
              <w:top w:val="single" w:color="000000" w:sz="4" w:space="0"/>
              <w:left w:val="single" w:color="000000" w:sz="4" w:space="0"/>
              <w:bottom w:val="nil"/>
              <w:right w:val="single" w:color="000000" w:sz="4" w:space="0"/>
            </w:tcBorders>
            <w:shd w:val="clear" w:color="auto" w:fill="auto"/>
            <w:vAlign w:val="center"/>
          </w:tcPr>
          <w:p w14:paraId="3BD954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810" w:type="dxa"/>
            <w:tcBorders>
              <w:top w:val="single" w:color="000000" w:sz="4" w:space="0"/>
              <w:left w:val="single" w:color="000000" w:sz="4" w:space="0"/>
              <w:bottom w:val="nil"/>
              <w:right w:val="single" w:color="000000" w:sz="4" w:space="0"/>
            </w:tcBorders>
            <w:shd w:val="clear" w:color="auto" w:fill="auto"/>
            <w:vAlign w:val="center"/>
          </w:tcPr>
          <w:p w14:paraId="7FACA4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w:t>
            </w:r>
          </w:p>
        </w:tc>
        <w:tc>
          <w:tcPr>
            <w:tcW w:w="705" w:type="dxa"/>
            <w:tcBorders>
              <w:top w:val="single" w:color="000000" w:sz="4" w:space="0"/>
              <w:left w:val="single" w:color="000000" w:sz="4" w:space="0"/>
              <w:bottom w:val="nil"/>
              <w:right w:val="single" w:color="000000" w:sz="4" w:space="0"/>
            </w:tcBorders>
            <w:shd w:val="clear" w:color="auto" w:fill="auto"/>
            <w:vAlign w:val="center"/>
          </w:tcPr>
          <w:p w14:paraId="17EC6F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780" w:type="dxa"/>
            <w:tcBorders>
              <w:top w:val="single" w:color="000000" w:sz="4" w:space="0"/>
              <w:left w:val="single" w:color="000000" w:sz="4" w:space="0"/>
              <w:bottom w:val="nil"/>
              <w:right w:val="single" w:color="000000" w:sz="4" w:space="0"/>
            </w:tcBorders>
            <w:shd w:val="clear" w:color="auto" w:fill="auto"/>
            <w:vAlign w:val="center"/>
          </w:tcPr>
          <w:p w14:paraId="19DC6A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795" w:type="dxa"/>
            <w:tcBorders>
              <w:top w:val="single" w:color="000000" w:sz="4" w:space="0"/>
              <w:left w:val="single" w:color="000000" w:sz="4" w:space="0"/>
              <w:bottom w:val="nil"/>
              <w:right w:val="single" w:color="000000" w:sz="4" w:space="0"/>
            </w:tcBorders>
            <w:shd w:val="clear" w:color="auto" w:fill="auto"/>
            <w:vAlign w:val="center"/>
          </w:tcPr>
          <w:p w14:paraId="24E0BB07">
            <w:pPr>
              <w:jc w:val="center"/>
              <w:rPr>
                <w:rFonts w:hint="eastAsia" w:ascii="宋体" w:hAnsi="宋体" w:eastAsia="宋体" w:cs="宋体"/>
                <w:i w:val="0"/>
                <w:iCs w:val="0"/>
                <w:color w:val="000000"/>
                <w:sz w:val="18"/>
                <w:szCs w:val="18"/>
                <w:u w:val="none"/>
              </w:rPr>
            </w:pPr>
          </w:p>
        </w:tc>
      </w:tr>
      <w:tr w14:paraId="040575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735" w:type="dxa"/>
            <w:vMerge w:val="continue"/>
            <w:tcBorders>
              <w:top w:val="single" w:color="000000" w:sz="4" w:space="0"/>
              <w:left w:val="single" w:color="000000" w:sz="4" w:space="0"/>
              <w:bottom w:val="nil"/>
              <w:right w:val="single" w:color="000000" w:sz="4" w:space="0"/>
            </w:tcBorders>
            <w:shd w:val="clear" w:color="auto" w:fill="auto"/>
            <w:vAlign w:val="center"/>
          </w:tcPr>
          <w:p w14:paraId="05A9A854">
            <w:pPr>
              <w:jc w:val="center"/>
              <w:rPr>
                <w:rFonts w:hint="eastAsia" w:ascii="宋体" w:hAnsi="宋体" w:eastAsia="宋体" w:cs="宋体"/>
                <w:i w:val="0"/>
                <w:iCs w:val="0"/>
                <w:color w:val="000000"/>
                <w:sz w:val="18"/>
                <w:szCs w:val="18"/>
                <w:u w:val="none"/>
              </w:rPr>
            </w:pPr>
          </w:p>
        </w:tc>
        <w:tc>
          <w:tcPr>
            <w:tcW w:w="765" w:type="dxa"/>
            <w:vMerge w:val="continue"/>
            <w:tcBorders>
              <w:top w:val="single" w:color="000000" w:sz="4" w:space="0"/>
              <w:left w:val="single" w:color="000000" w:sz="4" w:space="0"/>
              <w:bottom w:val="nil"/>
              <w:right w:val="single" w:color="000000" w:sz="4" w:space="0"/>
            </w:tcBorders>
            <w:shd w:val="clear" w:color="auto" w:fill="auto"/>
            <w:vAlign w:val="center"/>
          </w:tcPr>
          <w:p w14:paraId="2630928F">
            <w:pPr>
              <w:jc w:val="center"/>
              <w:rPr>
                <w:rFonts w:hint="eastAsia" w:ascii="宋体" w:hAnsi="宋体" w:eastAsia="宋体" w:cs="宋体"/>
                <w:i w:val="0"/>
                <w:iCs w:val="0"/>
                <w:color w:val="000000"/>
                <w:sz w:val="18"/>
                <w:szCs w:val="18"/>
                <w:u w:val="none"/>
              </w:rPr>
            </w:pPr>
          </w:p>
        </w:tc>
        <w:tc>
          <w:tcPr>
            <w:tcW w:w="780" w:type="dxa"/>
            <w:vMerge w:val="restart"/>
            <w:tcBorders>
              <w:top w:val="single" w:color="000000" w:sz="4" w:space="0"/>
              <w:left w:val="single" w:color="000000" w:sz="4" w:space="0"/>
              <w:bottom w:val="nil"/>
              <w:right w:val="single" w:color="000000" w:sz="4" w:space="0"/>
            </w:tcBorders>
            <w:shd w:val="clear" w:color="auto" w:fill="auto"/>
            <w:vAlign w:val="center"/>
          </w:tcPr>
          <w:p w14:paraId="342D4E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393AF8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机电类特种设备检验成本</w:t>
            </w:r>
          </w:p>
        </w:tc>
        <w:tc>
          <w:tcPr>
            <w:tcW w:w="810" w:type="dxa"/>
            <w:tcBorders>
              <w:top w:val="single" w:color="000000" w:sz="4" w:space="0"/>
              <w:left w:val="single" w:color="000000" w:sz="4" w:space="0"/>
              <w:bottom w:val="nil"/>
              <w:right w:val="single" w:color="000000" w:sz="4" w:space="0"/>
            </w:tcBorders>
            <w:shd w:val="clear" w:color="auto" w:fill="auto"/>
            <w:vAlign w:val="center"/>
          </w:tcPr>
          <w:p w14:paraId="4B0E84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w:t>
            </w:r>
          </w:p>
        </w:tc>
        <w:tc>
          <w:tcPr>
            <w:tcW w:w="720" w:type="dxa"/>
            <w:tcBorders>
              <w:top w:val="single" w:color="000000" w:sz="4" w:space="0"/>
              <w:left w:val="single" w:color="000000" w:sz="4" w:space="0"/>
              <w:bottom w:val="nil"/>
              <w:right w:val="single" w:color="000000" w:sz="4" w:space="0"/>
            </w:tcBorders>
            <w:shd w:val="clear" w:color="auto" w:fill="auto"/>
            <w:vAlign w:val="center"/>
          </w:tcPr>
          <w:p w14:paraId="3ED777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小于等于</w:t>
            </w:r>
          </w:p>
        </w:tc>
        <w:tc>
          <w:tcPr>
            <w:tcW w:w="780" w:type="dxa"/>
            <w:tcBorders>
              <w:top w:val="single" w:color="000000" w:sz="4" w:space="0"/>
              <w:left w:val="single" w:color="000000" w:sz="4" w:space="0"/>
              <w:bottom w:val="nil"/>
              <w:right w:val="single" w:color="000000" w:sz="4" w:space="0"/>
            </w:tcBorders>
            <w:shd w:val="clear" w:color="auto" w:fill="auto"/>
            <w:vAlign w:val="center"/>
          </w:tcPr>
          <w:p w14:paraId="3B10EC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329.50</w:t>
            </w:r>
          </w:p>
        </w:tc>
        <w:tc>
          <w:tcPr>
            <w:tcW w:w="750" w:type="dxa"/>
            <w:tcBorders>
              <w:top w:val="single" w:color="000000" w:sz="4" w:space="0"/>
              <w:left w:val="single" w:color="000000" w:sz="4" w:space="0"/>
              <w:bottom w:val="nil"/>
              <w:right w:val="single" w:color="000000" w:sz="4" w:space="0"/>
            </w:tcBorders>
            <w:shd w:val="clear" w:color="auto" w:fill="auto"/>
            <w:vAlign w:val="center"/>
          </w:tcPr>
          <w:p w14:paraId="1BD338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302.05</w:t>
            </w:r>
          </w:p>
        </w:tc>
        <w:tc>
          <w:tcPr>
            <w:tcW w:w="810" w:type="dxa"/>
            <w:tcBorders>
              <w:top w:val="single" w:color="000000" w:sz="4" w:space="0"/>
              <w:left w:val="single" w:color="000000" w:sz="4" w:space="0"/>
              <w:bottom w:val="nil"/>
              <w:right w:val="single" w:color="000000" w:sz="4" w:space="0"/>
            </w:tcBorders>
            <w:shd w:val="clear" w:color="auto" w:fill="auto"/>
            <w:vAlign w:val="center"/>
          </w:tcPr>
          <w:p w14:paraId="538DB2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万元</w:t>
            </w:r>
          </w:p>
        </w:tc>
        <w:tc>
          <w:tcPr>
            <w:tcW w:w="705" w:type="dxa"/>
            <w:tcBorders>
              <w:top w:val="single" w:color="000000" w:sz="4" w:space="0"/>
              <w:left w:val="single" w:color="000000" w:sz="4" w:space="0"/>
              <w:bottom w:val="nil"/>
              <w:right w:val="single" w:color="000000" w:sz="4" w:space="0"/>
            </w:tcBorders>
            <w:shd w:val="clear" w:color="auto" w:fill="auto"/>
            <w:vAlign w:val="center"/>
          </w:tcPr>
          <w:p w14:paraId="15FA39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780" w:type="dxa"/>
            <w:tcBorders>
              <w:top w:val="single" w:color="000000" w:sz="4" w:space="0"/>
              <w:left w:val="single" w:color="000000" w:sz="4" w:space="0"/>
              <w:bottom w:val="nil"/>
              <w:right w:val="single" w:color="000000" w:sz="4" w:space="0"/>
            </w:tcBorders>
            <w:shd w:val="clear" w:color="auto" w:fill="auto"/>
            <w:vAlign w:val="center"/>
          </w:tcPr>
          <w:p w14:paraId="2A1E20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795" w:type="dxa"/>
            <w:tcBorders>
              <w:top w:val="single" w:color="000000" w:sz="4" w:space="0"/>
              <w:left w:val="single" w:color="000000" w:sz="4" w:space="0"/>
              <w:bottom w:val="nil"/>
              <w:right w:val="single" w:color="000000" w:sz="4" w:space="0"/>
            </w:tcBorders>
            <w:shd w:val="clear" w:color="auto" w:fill="auto"/>
            <w:vAlign w:val="center"/>
          </w:tcPr>
          <w:p w14:paraId="64575780">
            <w:pPr>
              <w:jc w:val="center"/>
              <w:rPr>
                <w:rFonts w:hint="eastAsia" w:ascii="宋体" w:hAnsi="宋体" w:eastAsia="宋体" w:cs="宋体"/>
                <w:i w:val="0"/>
                <w:iCs w:val="0"/>
                <w:color w:val="000000"/>
                <w:sz w:val="18"/>
                <w:szCs w:val="18"/>
                <w:u w:val="none"/>
              </w:rPr>
            </w:pPr>
          </w:p>
        </w:tc>
      </w:tr>
      <w:tr w14:paraId="7E27D0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735" w:type="dxa"/>
            <w:vMerge w:val="continue"/>
            <w:tcBorders>
              <w:top w:val="single" w:color="000000" w:sz="4" w:space="0"/>
              <w:left w:val="single" w:color="000000" w:sz="4" w:space="0"/>
              <w:bottom w:val="nil"/>
              <w:right w:val="single" w:color="000000" w:sz="4" w:space="0"/>
            </w:tcBorders>
            <w:shd w:val="clear" w:color="auto" w:fill="auto"/>
            <w:vAlign w:val="center"/>
          </w:tcPr>
          <w:p w14:paraId="5FE92486">
            <w:pPr>
              <w:jc w:val="center"/>
              <w:rPr>
                <w:rFonts w:hint="eastAsia" w:ascii="宋体" w:hAnsi="宋体" w:eastAsia="宋体" w:cs="宋体"/>
                <w:i w:val="0"/>
                <w:iCs w:val="0"/>
                <w:color w:val="000000"/>
                <w:sz w:val="18"/>
                <w:szCs w:val="18"/>
                <w:u w:val="none"/>
              </w:rPr>
            </w:pPr>
          </w:p>
        </w:tc>
        <w:tc>
          <w:tcPr>
            <w:tcW w:w="765" w:type="dxa"/>
            <w:vMerge w:val="continue"/>
            <w:tcBorders>
              <w:top w:val="single" w:color="000000" w:sz="4" w:space="0"/>
              <w:left w:val="single" w:color="000000" w:sz="4" w:space="0"/>
              <w:bottom w:val="nil"/>
              <w:right w:val="single" w:color="000000" w:sz="4" w:space="0"/>
            </w:tcBorders>
            <w:shd w:val="clear" w:color="auto" w:fill="auto"/>
            <w:vAlign w:val="center"/>
          </w:tcPr>
          <w:p w14:paraId="09B9A062">
            <w:pPr>
              <w:jc w:val="center"/>
              <w:rPr>
                <w:rFonts w:hint="eastAsia" w:ascii="宋体" w:hAnsi="宋体" w:eastAsia="宋体" w:cs="宋体"/>
                <w:i w:val="0"/>
                <w:iCs w:val="0"/>
                <w:color w:val="000000"/>
                <w:sz w:val="18"/>
                <w:szCs w:val="18"/>
                <w:u w:val="none"/>
              </w:rPr>
            </w:pPr>
          </w:p>
        </w:tc>
        <w:tc>
          <w:tcPr>
            <w:tcW w:w="780" w:type="dxa"/>
            <w:vMerge w:val="continue"/>
            <w:tcBorders>
              <w:top w:val="single" w:color="000000" w:sz="4" w:space="0"/>
              <w:left w:val="single" w:color="000000" w:sz="4" w:space="0"/>
              <w:bottom w:val="nil"/>
              <w:right w:val="single" w:color="000000" w:sz="4" w:space="0"/>
            </w:tcBorders>
            <w:shd w:val="clear" w:color="auto" w:fill="auto"/>
            <w:vAlign w:val="center"/>
          </w:tcPr>
          <w:p w14:paraId="744E194B">
            <w:pPr>
              <w:jc w:val="center"/>
              <w:rPr>
                <w:rFonts w:hint="eastAsia" w:ascii="宋体" w:hAnsi="宋体" w:eastAsia="宋体" w:cs="宋体"/>
                <w:i w:val="0"/>
                <w:iCs w:val="0"/>
                <w:color w:val="000000"/>
                <w:sz w:val="18"/>
                <w:szCs w:val="18"/>
                <w:u w:val="none"/>
              </w:rPr>
            </w:pPr>
          </w:p>
        </w:tc>
        <w:tc>
          <w:tcPr>
            <w:tcW w:w="825" w:type="dxa"/>
            <w:tcBorders>
              <w:top w:val="single" w:color="000000" w:sz="4" w:space="0"/>
              <w:left w:val="single" w:color="000000" w:sz="4" w:space="0"/>
              <w:bottom w:val="nil"/>
              <w:right w:val="single" w:color="000000" w:sz="4" w:space="0"/>
            </w:tcBorders>
            <w:shd w:val="clear" w:color="auto" w:fill="auto"/>
            <w:vAlign w:val="center"/>
          </w:tcPr>
          <w:p w14:paraId="0C0586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承压类特种设备检验成本</w:t>
            </w:r>
          </w:p>
        </w:tc>
        <w:tc>
          <w:tcPr>
            <w:tcW w:w="810" w:type="dxa"/>
            <w:tcBorders>
              <w:top w:val="single" w:color="000000" w:sz="4" w:space="0"/>
              <w:left w:val="single" w:color="000000" w:sz="4" w:space="0"/>
              <w:bottom w:val="nil"/>
              <w:right w:val="single" w:color="000000" w:sz="4" w:space="0"/>
            </w:tcBorders>
            <w:shd w:val="clear" w:color="auto" w:fill="auto"/>
            <w:vAlign w:val="center"/>
          </w:tcPr>
          <w:p w14:paraId="7E5789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w:t>
            </w:r>
          </w:p>
        </w:tc>
        <w:tc>
          <w:tcPr>
            <w:tcW w:w="720" w:type="dxa"/>
            <w:tcBorders>
              <w:top w:val="single" w:color="000000" w:sz="4" w:space="0"/>
              <w:left w:val="single" w:color="000000" w:sz="4" w:space="0"/>
              <w:bottom w:val="nil"/>
              <w:right w:val="single" w:color="000000" w:sz="4" w:space="0"/>
            </w:tcBorders>
            <w:shd w:val="clear" w:color="auto" w:fill="auto"/>
            <w:vAlign w:val="center"/>
          </w:tcPr>
          <w:p w14:paraId="2588E4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小于等于</w:t>
            </w:r>
          </w:p>
        </w:tc>
        <w:tc>
          <w:tcPr>
            <w:tcW w:w="780" w:type="dxa"/>
            <w:tcBorders>
              <w:top w:val="single" w:color="000000" w:sz="4" w:space="0"/>
              <w:left w:val="single" w:color="000000" w:sz="4" w:space="0"/>
              <w:bottom w:val="nil"/>
              <w:right w:val="single" w:color="000000" w:sz="4" w:space="0"/>
            </w:tcBorders>
            <w:shd w:val="clear" w:color="auto" w:fill="auto"/>
            <w:vAlign w:val="center"/>
          </w:tcPr>
          <w:p w14:paraId="3C0001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w:t>
            </w:r>
          </w:p>
        </w:tc>
        <w:tc>
          <w:tcPr>
            <w:tcW w:w="750" w:type="dxa"/>
            <w:tcBorders>
              <w:top w:val="single" w:color="000000" w:sz="4" w:space="0"/>
              <w:left w:val="single" w:color="000000" w:sz="4" w:space="0"/>
              <w:bottom w:val="nil"/>
              <w:right w:val="single" w:color="000000" w:sz="4" w:space="0"/>
            </w:tcBorders>
            <w:shd w:val="clear" w:color="auto" w:fill="auto"/>
            <w:vAlign w:val="center"/>
          </w:tcPr>
          <w:p w14:paraId="54F9F7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366.67</w:t>
            </w:r>
          </w:p>
        </w:tc>
        <w:tc>
          <w:tcPr>
            <w:tcW w:w="810" w:type="dxa"/>
            <w:tcBorders>
              <w:top w:val="single" w:color="000000" w:sz="4" w:space="0"/>
              <w:left w:val="single" w:color="000000" w:sz="4" w:space="0"/>
              <w:bottom w:val="nil"/>
              <w:right w:val="single" w:color="000000" w:sz="4" w:space="0"/>
            </w:tcBorders>
            <w:shd w:val="clear" w:color="auto" w:fill="auto"/>
            <w:vAlign w:val="center"/>
          </w:tcPr>
          <w:p w14:paraId="436666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万元</w:t>
            </w:r>
          </w:p>
        </w:tc>
        <w:tc>
          <w:tcPr>
            <w:tcW w:w="705" w:type="dxa"/>
            <w:tcBorders>
              <w:top w:val="single" w:color="000000" w:sz="4" w:space="0"/>
              <w:left w:val="single" w:color="000000" w:sz="4" w:space="0"/>
              <w:bottom w:val="nil"/>
              <w:right w:val="single" w:color="000000" w:sz="4" w:space="0"/>
            </w:tcBorders>
            <w:shd w:val="clear" w:color="auto" w:fill="auto"/>
            <w:vAlign w:val="center"/>
          </w:tcPr>
          <w:p w14:paraId="5E6C6B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780" w:type="dxa"/>
            <w:tcBorders>
              <w:top w:val="single" w:color="000000" w:sz="4" w:space="0"/>
              <w:left w:val="single" w:color="000000" w:sz="4" w:space="0"/>
              <w:bottom w:val="nil"/>
              <w:right w:val="single" w:color="000000" w:sz="4" w:space="0"/>
            </w:tcBorders>
            <w:shd w:val="clear" w:color="auto" w:fill="auto"/>
            <w:vAlign w:val="center"/>
          </w:tcPr>
          <w:p w14:paraId="4F737A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795" w:type="dxa"/>
            <w:tcBorders>
              <w:top w:val="single" w:color="000000" w:sz="4" w:space="0"/>
              <w:left w:val="single" w:color="000000" w:sz="4" w:space="0"/>
              <w:bottom w:val="nil"/>
              <w:right w:val="single" w:color="000000" w:sz="4" w:space="0"/>
            </w:tcBorders>
            <w:shd w:val="clear" w:color="auto" w:fill="auto"/>
            <w:vAlign w:val="center"/>
          </w:tcPr>
          <w:p w14:paraId="5458D060">
            <w:pPr>
              <w:jc w:val="center"/>
              <w:rPr>
                <w:rFonts w:hint="eastAsia" w:ascii="宋体" w:hAnsi="宋体" w:eastAsia="宋体" w:cs="宋体"/>
                <w:i w:val="0"/>
                <w:iCs w:val="0"/>
                <w:color w:val="000000"/>
                <w:sz w:val="18"/>
                <w:szCs w:val="18"/>
                <w:u w:val="none"/>
              </w:rPr>
            </w:pPr>
          </w:p>
        </w:tc>
      </w:tr>
      <w:tr w14:paraId="071A83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735" w:type="dxa"/>
            <w:vMerge w:val="continue"/>
            <w:tcBorders>
              <w:top w:val="single" w:color="000000" w:sz="4" w:space="0"/>
              <w:left w:val="single" w:color="000000" w:sz="4" w:space="0"/>
              <w:bottom w:val="nil"/>
              <w:right w:val="single" w:color="000000" w:sz="4" w:space="0"/>
            </w:tcBorders>
            <w:shd w:val="clear" w:color="auto" w:fill="auto"/>
            <w:vAlign w:val="center"/>
          </w:tcPr>
          <w:p w14:paraId="55C1A7D9">
            <w:pPr>
              <w:jc w:val="center"/>
              <w:rPr>
                <w:rFonts w:hint="eastAsia" w:ascii="宋体" w:hAnsi="宋体" w:eastAsia="宋体" w:cs="宋体"/>
                <w:i w:val="0"/>
                <w:iCs w:val="0"/>
                <w:color w:val="000000"/>
                <w:sz w:val="18"/>
                <w:szCs w:val="18"/>
                <w:u w:val="none"/>
              </w:rPr>
            </w:pPr>
          </w:p>
        </w:tc>
        <w:tc>
          <w:tcPr>
            <w:tcW w:w="765" w:type="dxa"/>
            <w:vMerge w:val="restart"/>
            <w:tcBorders>
              <w:top w:val="single" w:color="000000" w:sz="4" w:space="0"/>
              <w:left w:val="single" w:color="000000" w:sz="4" w:space="0"/>
              <w:bottom w:val="nil"/>
              <w:right w:val="single" w:color="000000" w:sz="4" w:space="0"/>
            </w:tcBorders>
            <w:shd w:val="clear" w:color="auto" w:fill="auto"/>
            <w:vAlign w:val="center"/>
          </w:tcPr>
          <w:p w14:paraId="216D80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780" w:type="dxa"/>
            <w:tcBorders>
              <w:top w:val="single" w:color="000000" w:sz="4" w:space="0"/>
              <w:left w:val="single" w:color="000000" w:sz="4" w:space="0"/>
              <w:bottom w:val="nil"/>
              <w:right w:val="single" w:color="000000" w:sz="4" w:space="0"/>
            </w:tcBorders>
            <w:shd w:val="clear" w:color="auto" w:fill="auto"/>
            <w:vAlign w:val="center"/>
          </w:tcPr>
          <w:p w14:paraId="531569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0BA08F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完成年经营收入</w:t>
            </w:r>
          </w:p>
        </w:tc>
        <w:tc>
          <w:tcPr>
            <w:tcW w:w="810" w:type="dxa"/>
            <w:tcBorders>
              <w:top w:val="single" w:color="000000" w:sz="4" w:space="0"/>
              <w:left w:val="single" w:color="000000" w:sz="4" w:space="0"/>
              <w:bottom w:val="nil"/>
              <w:right w:val="single" w:color="000000" w:sz="4" w:space="0"/>
            </w:tcBorders>
            <w:shd w:val="clear" w:color="auto" w:fill="auto"/>
            <w:vAlign w:val="center"/>
          </w:tcPr>
          <w:p w14:paraId="6832CD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720" w:type="dxa"/>
            <w:tcBorders>
              <w:top w:val="single" w:color="000000" w:sz="4" w:space="0"/>
              <w:left w:val="single" w:color="000000" w:sz="4" w:space="0"/>
              <w:bottom w:val="nil"/>
              <w:right w:val="single" w:color="000000" w:sz="4" w:space="0"/>
            </w:tcBorders>
            <w:shd w:val="clear" w:color="auto" w:fill="auto"/>
            <w:vAlign w:val="center"/>
          </w:tcPr>
          <w:p w14:paraId="0A29A5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780" w:type="dxa"/>
            <w:tcBorders>
              <w:top w:val="single" w:color="000000" w:sz="4" w:space="0"/>
              <w:left w:val="single" w:color="000000" w:sz="4" w:space="0"/>
              <w:bottom w:val="nil"/>
              <w:right w:val="single" w:color="000000" w:sz="4" w:space="0"/>
            </w:tcBorders>
            <w:shd w:val="clear" w:color="auto" w:fill="auto"/>
            <w:vAlign w:val="center"/>
          </w:tcPr>
          <w:p w14:paraId="07B63C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2300</w:t>
            </w:r>
          </w:p>
        </w:tc>
        <w:tc>
          <w:tcPr>
            <w:tcW w:w="750" w:type="dxa"/>
            <w:tcBorders>
              <w:top w:val="single" w:color="000000" w:sz="4" w:space="0"/>
              <w:left w:val="single" w:color="000000" w:sz="4" w:space="0"/>
              <w:bottom w:val="nil"/>
              <w:right w:val="single" w:color="000000" w:sz="4" w:space="0"/>
            </w:tcBorders>
            <w:shd w:val="clear" w:color="auto" w:fill="auto"/>
            <w:vAlign w:val="center"/>
          </w:tcPr>
          <w:p w14:paraId="4D4CAF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2334.15</w:t>
            </w:r>
          </w:p>
        </w:tc>
        <w:tc>
          <w:tcPr>
            <w:tcW w:w="810" w:type="dxa"/>
            <w:tcBorders>
              <w:top w:val="single" w:color="000000" w:sz="4" w:space="0"/>
              <w:left w:val="single" w:color="000000" w:sz="4" w:space="0"/>
              <w:bottom w:val="nil"/>
              <w:right w:val="single" w:color="000000" w:sz="4" w:space="0"/>
            </w:tcBorders>
            <w:shd w:val="clear" w:color="auto" w:fill="auto"/>
            <w:vAlign w:val="center"/>
          </w:tcPr>
          <w:p w14:paraId="1822E8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万元</w:t>
            </w:r>
          </w:p>
        </w:tc>
        <w:tc>
          <w:tcPr>
            <w:tcW w:w="705" w:type="dxa"/>
            <w:tcBorders>
              <w:top w:val="single" w:color="000000" w:sz="4" w:space="0"/>
              <w:left w:val="single" w:color="000000" w:sz="4" w:space="0"/>
              <w:bottom w:val="nil"/>
              <w:right w:val="single" w:color="000000" w:sz="4" w:space="0"/>
            </w:tcBorders>
            <w:shd w:val="clear" w:color="auto" w:fill="auto"/>
            <w:vAlign w:val="center"/>
          </w:tcPr>
          <w:p w14:paraId="321A5B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780" w:type="dxa"/>
            <w:tcBorders>
              <w:top w:val="single" w:color="000000" w:sz="4" w:space="0"/>
              <w:left w:val="single" w:color="000000" w:sz="4" w:space="0"/>
              <w:bottom w:val="nil"/>
              <w:right w:val="single" w:color="000000" w:sz="4" w:space="0"/>
            </w:tcBorders>
            <w:shd w:val="clear" w:color="auto" w:fill="auto"/>
            <w:vAlign w:val="center"/>
          </w:tcPr>
          <w:p w14:paraId="712566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795" w:type="dxa"/>
            <w:tcBorders>
              <w:top w:val="single" w:color="000000" w:sz="4" w:space="0"/>
              <w:left w:val="single" w:color="000000" w:sz="4" w:space="0"/>
              <w:bottom w:val="nil"/>
              <w:right w:val="single" w:color="000000" w:sz="4" w:space="0"/>
            </w:tcBorders>
            <w:shd w:val="clear" w:color="auto" w:fill="auto"/>
            <w:vAlign w:val="center"/>
          </w:tcPr>
          <w:p w14:paraId="1AFF7C44">
            <w:pPr>
              <w:jc w:val="center"/>
              <w:rPr>
                <w:rFonts w:hint="eastAsia" w:ascii="宋体" w:hAnsi="宋体" w:eastAsia="宋体" w:cs="宋体"/>
                <w:i w:val="0"/>
                <w:iCs w:val="0"/>
                <w:color w:val="000000"/>
                <w:sz w:val="18"/>
                <w:szCs w:val="18"/>
                <w:u w:val="none"/>
              </w:rPr>
            </w:pPr>
          </w:p>
        </w:tc>
      </w:tr>
      <w:tr w14:paraId="38D309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735" w:type="dxa"/>
            <w:vMerge w:val="continue"/>
            <w:tcBorders>
              <w:top w:val="single" w:color="000000" w:sz="4" w:space="0"/>
              <w:left w:val="single" w:color="000000" w:sz="4" w:space="0"/>
              <w:bottom w:val="nil"/>
              <w:right w:val="single" w:color="000000" w:sz="4" w:space="0"/>
            </w:tcBorders>
            <w:shd w:val="clear" w:color="auto" w:fill="auto"/>
            <w:vAlign w:val="center"/>
          </w:tcPr>
          <w:p w14:paraId="532EF8FB">
            <w:pPr>
              <w:jc w:val="center"/>
              <w:rPr>
                <w:rFonts w:hint="eastAsia" w:ascii="宋体" w:hAnsi="宋体" w:eastAsia="宋体" w:cs="宋体"/>
                <w:i w:val="0"/>
                <w:iCs w:val="0"/>
                <w:color w:val="000000"/>
                <w:sz w:val="18"/>
                <w:szCs w:val="18"/>
                <w:u w:val="none"/>
              </w:rPr>
            </w:pPr>
          </w:p>
        </w:tc>
        <w:tc>
          <w:tcPr>
            <w:tcW w:w="765" w:type="dxa"/>
            <w:vMerge w:val="continue"/>
            <w:tcBorders>
              <w:top w:val="single" w:color="000000" w:sz="4" w:space="0"/>
              <w:left w:val="single" w:color="000000" w:sz="4" w:space="0"/>
              <w:bottom w:val="nil"/>
              <w:right w:val="single" w:color="000000" w:sz="4" w:space="0"/>
            </w:tcBorders>
            <w:shd w:val="clear" w:color="auto" w:fill="auto"/>
            <w:vAlign w:val="center"/>
          </w:tcPr>
          <w:p w14:paraId="7F1159C6">
            <w:pPr>
              <w:jc w:val="center"/>
              <w:rPr>
                <w:rFonts w:hint="eastAsia" w:ascii="宋体" w:hAnsi="宋体" w:eastAsia="宋体" w:cs="宋体"/>
                <w:i w:val="0"/>
                <w:iCs w:val="0"/>
                <w:color w:val="000000"/>
                <w:sz w:val="18"/>
                <w:szCs w:val="18"/>
                <w:u w:val="none"/>
              </w:rPr>
            </w:pPr>
          </w:p>
        </w:tc>
        <w:tc>
          <w:tcPr>
            <w:tcW w:w="780" w:type="dxa"/>
            <w:tcBorders>
              <w:top w:val="single" w:color="000000" w:sz="4" w:space="0"/>
              <w:left w:val="single" w:color="000000" w:sz="4" w:space="0"/>
              <w:bottom w:val="nil"/>
              <w:right w:val="single" w:color="000000" w:sz="4" w:space="0"/>
            </w:tcBorders>
            <w:shd w:val="clear" w:color="auto" w:fill="auto"/>
            <w:vAlign w:val="center"/>
          </w:tcPr>
          <w:p w14:paraId="1DA666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6FCB24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检测后设备安全事故发生数量</w:t>
            </w:r>
          </w:p>
        </w:tc>
        <w:tc>
          <w:tcPr>
            <w:tcW w:w="810" w:type="dxa"/>
            <w:tcBorders>
              <w:top w:val="single" w:color="000000" w:sz="4" w:space="0"/>
              <w:left w:val="single" w:color="000000" w:sz="4" w:space="0"/>
              <w:bottom w:val="nil"/>
              <w:right w:val="single" w:color="000000" w:sz="4" w:space="0"/>
            </w:tcBorders>
            <w:shd w:val="clear" w:color="auto" w:fill="auto"/>
            <w:vAlign w:val="center"/>
          </w:tcPr>
          <w:p w14:paraId="3EBDD0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720" w:type="dxa"/>
            <w:tcBorders>
              <w:top w:val="single" w:color="000000" w:sz="4" w:space="0"/>
              <w:left w:val="single" w:color="000000" w:sz="4" w:space="0"/>
              <w:bottom w:val="nil"/>
              <w:right w:val="single" w:color="000000" w:sz="4" w:space="0"/>
            </w:tcBorders>
            <w:shd w:val="clear" w:color="auto" w:fill="auto"/>
            <w:vAlign w:val="center"/>
          </w:tcPr>
          <w:p w14:paraId="6FC2B4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等于</w:t>
            </w:r>
          </w:p>
        </w:tc>
        <w:tc>
          <w:tcPr>
            <w:tcW w:w="780" w:type="dxa"/>
            <w:tcBorders>
              <w:top w:val="single" w:color="000000" w:sz="4" w:space="0"/>
              <w:left w:val="single" w:color="000000" w:sz="4" w:space="0"/>
              <w:bottom w:val="nil"/>
              <w:right w:val="single" w:color="000000" w:sz="4" w:space="0"/>
            </w:tcBorders>
            <w:shd w:val="clear" w:color="auto" w:fill="auto"/>
            <w:vAlign w:val="center"/>
          </w:tcPr>
          <w:p w14:paraId="2ECAAA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750" w:type="dxa"/>
            <w:tcBorders>
              <w:top w:val="single" w:color="000000" w:sz="4" w:space="0"/>
              <w:left w:val="single" w:color="000000" w:sz="4" w:space="0"/>
              <w:bottom w:val="nil"/>
              <w:right w:val="single" w:color="000000" w:sz="4" w:space="0"/>
            </w:tcBorders>
            <w:shd w:val="clear" w:color="auto" w:fill="auto"/>
            <w:vAlign w:val="center"/>
          </w:tcPr>
          <w:p w14:paraId="713E52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810" w:type="dxa"/>
            <w:tcBorders>
              <w:top w:val="single" w:color="000000" w:sz="4" w:space="0"/>
              <w:left w:val="single" w:color="000000" w:sz="4" w:space="0"/>
              <w:bottom w:val="nil"/>
              <w:right w:val="single" w:color="000000" w:sz="4" w:space="0"/>
            </w:tcBorders>
            <w:shd w:val="clear" w:color="auto" w:fill="auto"/>
            <w:vAlign w:val="center"/>
          </w:tcPr>
          <w:p w14:paraId="773288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起</w:t>
            </w:r>
          </w:p>
        </w:tc>
        <w:tc>
          <w:tcPr>
            <w:tcW w:w="705" w:type="dxa"/>
            <w:tcBorders>
              <w:top w:val="single" w:color="000000" w:sz="4" w:space="0"/>
              <w:left w:val="single" w:color="000000" w:sz="4" w:space="0"/>
              <w:bottom w:val="nil"/>
              <w:right w:val="single" w:color="000000" w:sz="4" w:space="0"/>
            </w:tcBorders>
            <w:shd w:val="clear" w:color="auto" w:fill="auto"/>
            <w:vAlign w:val="center"/>
          </w:tcPr>
          <w:p w14:paraId="550082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780" w:type="dxa"/>
            <w:tcBorders>
              <w:top w:val="single" w:color="000000" w:sz="4" w:space="0"/>
              <w:left w:val="single" w:color="000000" w:sz="4" w:space="0"/>
              <w:bottom w:val="nil"/>
              <w:right w:val="single" w:color="000000" w:sz="4" w:space="0"/>
            </w:tcBorders>
            <w:shd w:val="clear" w:color="auto" w:fill="auto"/>
            <w:vAlign w:val="center"/>
          </w:tcPr>
          <w:p w14:paraId="7DB800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795" w:type="dxa"/>
            <w:tcBorders>
              <w:top w:val="single" w:color="000000" w:sz="4" w:space="0"/>
              <w:left w:val="single" w:color="000000" w:sz="4" w:space="0"/>
              <w:bottom w:val="nil"/>
              <w:right w:val="single" w:color="000000" w:sz="4" w:space="0"/>
            </w:tcBorders>
            <w:shd w:val="clear" w:color="auto" w:fill="auto"/>
            <w:vAlign w:val="center"/>
          </w:tcPr>
          <w:p w14:paraId="49227059">
            <w:pPr>
              <w:jc w:val="center"/>
              <w:rPr>
                <w:rFonts w:hint="eastAsia" w:ascii="宋体" w:hAnsi="宋体" w:eastAsia="宋体" w:cs="宋体"/>
                <w:i w:val="0"/>
                <w:iCs w:val="0"/>
                <w:color w:val="000000"/>
                <w:sz w:val="18"/>
                <w:szCs w:val="18"/>
                <w:u w:val="none"/>
              </w:rPr>
            </w:pPr>
          </w:p>
        </w:tc>
      </w:tr>
      <w:tr w14:paraId="3BCD7F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735" w:type="dxa"/>
            <w:vMerge w:val="continue"/>
            <w:tcBorders>
              <w:top w:val="single" w:color="000000" w:sz="4" w:space="0"/>
              <w:left w:val="single" w:color="000000" w:sz="4" w:space="0"/>
              <w:bottom w:val="nil"/>
              <w:right w:val="single" w:color="000000" w:sz="4" w:space="0"/>
            </w:tcBorders>
            <w:shd w:val="clear" w:color="auto" w:fill="auto"/>
            <w:vAlign w:val="center"/>
          </w:tcPr>
          <w:p w14:paraId="1FB836D3">
            <w:pPr>
              <w:jc w:val="center"/>
              <w:rPr>
                <w:rFonts w:hint="eastAsia" w:ascii="宋体" w:hAnsi="宋体" w:eastAsia="宋体" w:cs="宋体"/>
                <w:i w:val="0"/>
                <w:iCs w:val="0"/>
                <w:color w:val="000000"/>
                <w:sz w:val="18"/>
                <w:szCs w:val="18"/>
                <w:u w:val="none"/>
              </w:rPr>
            </w:pPr>
          </w:p>
        </w:tc>
        <w:tc>
          <w:tcPr>
            <w:tcW w:w="765" w:type="dxa"/>
            <w:vMerge w:val="continue"/>
            <w:tcBorders>
              <w:top w:val="single" w:color="000000" w:sz="4" w:space="0"/>
              <w:left w:val="single" w:color="000000" w:sz="4" w:space="0"/>
              <w:bottom w:val="nil"/>
              <w:right w:val="single" w:color="000000" w:sz="4" w:space="0"/>
            </w:tcBorders>
            <w:shd w:val="clear" w:color="auto" w:fill="auto"/>
            <w:vAlign w:val="center"/>
          </w:tcPr>
          <w:p w14:paraId="77583EB5">
            <w:pPr>
              <w:jc w:val="center"/>
              <w:rPr>
                <w:rFonts w:hint="eastAsia" w:ascii="宋体" w:hAnsi="宋体" w:eastAsia="宋体" w:cs="宋体"/>
                <w:i w:val="0"/>
                <w:iCs w:val="0"/>
                <w:color w:val="000000"/>
                <w:sz w:val="18"/>
                <w:szCs w:val="18"/>
                <w:u w:val="none"/>
              </w:rPr>
            </w:pPr>
          </w:p>
        </w:tc>
        <w:tc>
          <w:tcPr>
            <w:tcW w:w="780" w:type="dxa"/>
            <w:tcBorders>
              <w:top w:val="single" w:color="000000" w:sz="4" w:space="0"/>
              <w:left w:val="single" w:color="000000" w:sz="4" w:space="0"/>
              <w:bottom w:val="nil"/>
              <w:right w:val="single" w:color="000000" w:sz="4" w:space="0"/>
            </w:tcBorders>
            <w:shd w:val="clear" w:color="auto" w:fill="auto"/>
            <w:vAlign w:val="center"/>
          </w:tcPr>
          <w:p w14:paraId="21C623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4C4FCE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特种设备使用单位安全意识</w:t>
            </w:r>
          </w:p>
        </w:tc>
        <w:tc>
          <w:tcPr>
            <w:tcW w:w="810" w:type="dxa"/>
            <w:tcBorders>
              <w:top w:val="single" w:color="000000" w:sz="4" w:space="0"/>
              <w:left w:val="single" w:color="000000" w:sz="4" w:space="0"/>
              <w:bottom w:val="nil"/>
              <w:right w:val="single" w:color="000000" w:sz="4" w:space="0"/>
            </w:tcBorders>
            <w:shd w:val="clear" w:color="auto" w:fill="auto"/>
            <w:vAlign w:val="center"/>
          </w:tcPr>
          <w:p w14:paraId="51BD0E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w:t>
            </w:r>
          </w:p>
        </w:tc>
        <w:tc>
          <w:tcPr>
            <w:tcW w:w="720" w:type="dxa"/>
            <w:tcBorders>
              <w:top w:val="single" w:color="000000" w:sz="4" w:space="0"/>
              <w:left w:val="single" w:color="000000" w:sz="4" w:space="0"/>
              <w:bottom w:val="nil"/>
              <w:right w:val="single" w:color="000000" w:sz="4" w:space="0"/>
            </w:tcBorders>
            <w:shd w:val="clear" w:color="auto" w:fill="auto"/>
            <w:vAlign w:val="center"/>
          </w:tcPr>
          <w:p w14:paraId="3756701D">
            <w:pPr>
              <w:jc w:val="center"/>
              <w:rPr>
                <w:rFonts w:hint="eastAsia" w:ascii="宋体" w:hAnsi="宋体" w:eastAsia="宋体" w:cs="宋体"/>
                <w:i w:val="0"/>
                <w:iCs w:val="0"/>
                <w:color w:val="000000"/>
                <w:sz w:val="18"/>
                <w:szCs w:val="18"/>
                <w:u w:val="none"/>
              </w:rPr>
            </w:pPr>
          </w:p>
        </w:tc>
        <w:tc>
          <w:tcPr>
            <w:tcW w:w="780" w:type="dxa"/>
            <w:tcBorders>
              <w:top w:val="single" w:color="000000" w:sz="4" w:space="0"/>
              <w:left w:val="single" w:color="000000" w:sz="4" w:space="0"/>
              <w:bottom w:val="nil"/>
              <w:right w:val="single" w:color="000000" w:sz="4" w:space="0"/>
            </w:tcBorders>
            <w:shd w:val="clear" w:color="auto" w:fill="auto"/>
            <w:vAlign w:val="center"/>
          </w:tcPr>
          <w:p w14:paraId="517B86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稳步提高</w:t>
            </w:r>
          </w:p>
        </w:tc>
        <w:tc>
          <w:tcPr>
            <w:tcW w:w="750" w:type="dxa"/>
            <w:tcBorders>
              <w:top w:val="single" w:color="000000" w:sz="4" w:space="0"/>
              <w:left w:val="single" w:color="000000" w:sz="4" w:space="0"/>
              <w:bottom w:val="nil"/>
              <w:right w:val="single" w:color="000000" w:sz="4" w:space="0"/>
            </w:tcBorders>
            <w:shd w:val="clear" w:color="auto" w:fill="auto"/>
            <w:vAlign w:val="center"/>
          </w:tcPr>
          <w:p w14:paraId="4F7826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稳步提高</w:t>
            </w:r>
          </w:p>
        </w:tc>
        <w:tc>
          <w:tcPr>
            <w:tcW w:w="810" w:type="dxa"/>
            <w:tcBorders>
              <w:top w:val="single" w:color="000000" w:sz="4" w:space="0"/>
              <w:left w:val="single" w:color="000000" w:sz="4" w:space="0"/>
              <w:bottom w:val="nil"/>
              <w:right w:val="single" w:color="000000" w:sz="4" w:space="0"/>
            </w:tcBorders>
            <w:shd w:val="clear" w:color="auto" w:fill="auto"/>
            <w:vAlign w:val="center"/>
          </w:tcPr>
          <w:p w14:paraId="1F0E913D">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nil"/>
              <w:right w:val="single" w:color="000000" w:sz="4" w:space="0"/>
            </w:tcBorders>
            <w:shd w:val="clear" w:color="auto" w:fill="auto"/>
            <w:vAlign w:val="center"/>
          </w:tcPr>
          <w:p w14:paraId="7624A5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780" w:type="dxa"/>
            <w:tcBorders>
              <w:top w:val="single" w:color="000000" w:sz="4" w:space="0"/>
              <w:left w:val="single" w:color="000000" w:sz="4" w:space="0"/>
              <w:bottom w:val="nil"/>
              <w:right w:val="single" w:color="000000" w:sz="4" w:space="0"/>
            </w:tcBorders>
            <w:shd w:val="clear" w:color="auto" w:fill="auto"/>
            <w:vAlign w:val="center"/>
          </w:tcPr>
          <w:p w14:paraId="70883D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795" w:type="dxa"/>
            <w:tcBorders>
              <w:top w:val="single" w:color="000000" w:sz="4" w:space="0"/>
              <w:left w:val="single" w:color="000000" w:sz="4" w:space="0"/>
              <w:bottom w:val="nil"/>
              <w:right w:val="single" w:color="000000" w:sz="4" w:space="0"/>
            </w:tcBorders>
            <w:shd w:val="clear" w:color="auto" w:fill="auto"/>
            <w:vAlign w:val="center"/>
          </w:tcPr>
          <w:p w14:paraId="688EB7FD">
            <w:pPr>
              <w:jc w:val="center"/>
              <w:rPr>
                <w:rFonts w:hint="eastAsia" w:ascii="宋体" w:hAnsi="宋体" w:eastAsia="宋体" w:cs="宋体"/>
                <w:i w:val="0"/>
                <w:iCs w:val="0"/>
                <w:color w:val="000000"/>
                <w:sz w:val="18"/>
                <w:szCs w:val="18"/>
                <w:u w:val="none"/>
              </w:rPr>
            </w:pPr>
          </w:p>
        </w:tc>
      </w:tr>
      <w:tr w14:paraId="31FC8A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735" w:type="dxa"/>
            <w:vMerge w:val="continue"/>
            <w:tcBorders>
              <w:top w:val="single" w:color="000000" w:sz="4" w:space="0"/>
              <w:left w:val="single" w:color="000000" w:sz="4" w:space="0"/>
              <w:bottom w:val="nil"/>
              <w:right w:val="single" w:color="000000" w:sz="4" w:space="0"/>
            </w:tcBorders>
            <w:shd w:val="clear" w:color="auto" w:fill="auto"/>
            <w:vAlign w:val="center"/>
          </w:tcPr>
          <w:p w14:paraId="5EA3B346">
            <w:pPr>
              <w:jc w:val="center"/>
              <w:rPr>
                <w:rFonts w:hint="eastAsia" w:ascii="宋体" w:hAnsi="宋体" w:eastAsia="宋体" w:cs="宋体"/>
                <w:i w:val="0"/>
                <w:iCs w:val="0"/>
                <w:color w:val="000000"/>
                <w:sz w:val="18"/>
                <w:szCs w:val="18"/>
                <w:u w:val="none"/>
              </w:rPr>
            </w:pPr>
          </w:p>
        </w:tc>
        <w:tc>
          <w:tcPr>
            <w:tcW w:w="765" w:type="dxa"/>
            <w:tcBorders>
              <w:top w:val="single" w:color="000000" w:sz="4" w:space="0"/>
              <w:left w:val="single" w:color="000000" w:sz="4" w:space="0"/>
              <w:bottom w:val="nil"/>
              <w:right w:val="single" w:color="000000" w:sz="4" w:space="0"/>
            </w:tcBorders>
            <w:shd w:val="clear" w:color="auto" w:fill="auto"/>
            <w:vAlign w:val="center"/>
          </w:tcPr>
          <w:p w14:paraId="0B0DEF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w:t>
            </w:r>
          </w:p>
        </w:tc>
        <w:tc>
          <w:tcPr>
            <w:tcW w:w="780" w:type="dxa"/>
            <w:tcBorders>
              <w:top w:val="single" w:color="000000" w:sz="4" w:space="0"/>
              <w:left w:val="single" w:color="000000" w:sz="4" w:space="0"/>
              <w:bottom w:val="nil"/>
              <w:right w:val="single" w:color="000000" w:sz="4" w:space="0"/>
            </w:tcBorders>
            <w:shd w:val="clear" w:color="auto" w:fill="auto"/>
            <w:vAlign w:val="center"/>
          </w:tcPr>
          <w:p w14:paraId="28FACF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4F5F25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服务企业满意度</w:t>
            </w:r>
          </w:p>
        </w:tc>
        <w:tc>
          <w:tcPr>
            <w:tcW w:w="810" w:type="dxa"/>
            <w:tcBorders>
              <w:top w:val="single" w:color="000000" w:sz="4" w:space="0"/>
              <w:left w:val="single" w:color="000000" w:sz="4" w:space="0"/>
              <w:bottom w:val="nil"/>
              <w:right w:val="single" w:color="000000" w:sz="4" w:space="0"/>
            </w:tcBorders>
            <w:shd w:val="clear" w:color="auto" w:fill="auto"/>
            <w:vAlign w:val="center"/>
          </w:tcPr>
          <w:p w14:paraId="142E9A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720" w:type="dxa"/>
            <w:tcBorders>
              <w:top w:val="single" w:color="000000" w:sz="4" w:space="0"/>
              <w:left w:val="single" w:color="000000" w:sz="4" w:space="0"/>
              <w:bottom w:val="nil"/>
              <w:right w:val="single" w:color="000000" w:sz="4" w:space="0"/>
            </w:tcBorders>
            <w:shd w:val="clear" w:color="auto" w:fill="auto"/>
            <w:vAlign w:val="center"/>
          </w:tcPr>
          <w:p w14:paraId="03A538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780" w:type="dxa"/>
            <w:tcBorders>
              <w:top w:val="single" w:color="000000" w:sz="4" w:space="0"/>
              <w:left w:val="single" w:color="000000" w:sz="4" w:space="0"/>
              <w:bottom w:val="nil"/>
              <w:right w:val="single" w:color="000000" w:sz="4" w:space="0"/>
            </w:tcBorders>
            <w:shd w:val="clear" w:color="auto" w:fill="auto"/>
            <w:vAlign w:val="center"/>
          </w:tcPr>
          <w:p w14:paraId="43CEE5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750" w:type="dxa"/>
            <w:tcBorders>
              <w:top w:val="single" w:color="000000" w:sz="4" w:space="0"/>
              <w:left w:val="single" w:color="000000" w:sz="4" w:space="0"/>
              <w:bottom w:val="nil"/>
              <w:right w:val="single" w:color="000000" w:sz="4" w:space="0"/>
            </w:tcBorders>
            <w:shd w:val="clear" w:color="auto" w:fill="auto"/>
            <w:vAlign w:val="center"/>
          </w:tcPr>
          <w:p w14:paraId="2D6CF1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810" w:type="dxa"/>
            <w:tcBorders>
              <w:top w:val="single" w:color="000000" w:sz="4" w:space="0"/>
              <w:left w:val="single" w:color="000000" w:sz="4" w:space="0"/>
              <w:bottom w:val="nil"/>
              <w:right w:val="single" w:color="000000" w:sz="4" w:space="0"/>
            </w:tcBorders>
            <w:shd w:val="clear" w:color="auto" w:fill="auto"/>
            <w:vAlign w:val="center"/>
          </w:tcPr>
          <w:p w14:paraId="043C88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05" w:type="dxa"/>
            <w:tcBorders>
              <w:top w:val="single" w:color="000000" w:sz="4" w:space="0"/>
              <w:left w:val="single" w:color="000000" w:sz="4" w:space="0"/>
              <w:bottom w:val="nil"/>
              <w:right w:val="single" w:color="000000" w:sz="4" w:space="0"/>
            </w:tcBorders>
            <w:shd w:val="clear" w:color="auto" w:fill="auto"/>
            <w:vAlign w:val="center"/>
          </w:tcPr>
          <w:p w14:paraId="0327F2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780" w:type="dxa"/>
            <w:tcBorders>
              <w:top w:val="single" w:color="000000" w:sz="4" w:space="0"/>
              <w:left w:val="single" w:color="000000" w:sz="4" w:space="0"/>
              <w:bottom w:val="nil"/>
              <w:right w:val="single" w:color="000000" w:sz="4" w:space="0"/>
            </w:tcBorders>
            <w:shd w:val="clear" w:color="auto" w:fill="auto"/>
            <w:vAlign w:val="center"/>
          </w:tcPr>
          <w:p w14:paraId="6B6BFC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795" w:type="dxa"/>
            <w:tcBorders>
              <w:top w:val="single" w:color="000000" w:sz="4" w:space="0"/>
              <w:left w:val="single" w:color="000000" w:sz="4" w:space="0"/>
              <w:bottom w:val="nil"/>
              <w:right w:val="single" w:color="000000" w:sz="4" w:space="0"/>
            </w:tcBorders>
            <w:shd w:val="clear" w:color="auto" w:fill="auto"/>
            <w:vAlign w:val="center"/>
          </w:tcPr>
          <w:p w14:paraId="2142BBB8">
            <w:pPr>
              <w:jc w:val="center"/>
              <w:rPr>
                <w:rFonts w:hint="eastAsia" w:ascii="宋体" w:hAnsi="宋体" w:eastAsia="宋体" w:cs="宋体"/>
                <w:i w:val="0"/>
                <w:iCs w:val="0"/>
                <w:color w:val="000000"/>
                <w:sz w:val="18"/>
                <w:szCs w:val="18"/>
                <w:u w:val="none"/>
              </w:rPr>
            </w:pPr>
          </w:p>
        </w:tc>
      </w:tr>
      <w:tr w14:paraId="1654BC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97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0607B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总分</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CEB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4EE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92.76</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4B7B1">
            <w:pPr>
              <w:jc w:val="center"/>
              <w:rPr>
                <w:rFonts w:hint="eastAsia" w:ascii="宋体" w:hAnsi="宋体" w:eastAsia="宋体" w:cs="宋体"/>
                <w:i w:val="0"/>
                <w:iCs w:val="0"/>
                <w:color w:val="000000"/>
                <w:sz w:val="18"/>
                <w:szCs w:val="18"/>
                <w:u w:val="none"/>
              </w:rPr>
            </w:pPr>
          </w:p>
        </w:tc>
      </w:tr>
    </w:tbl>
    <w:p w14:paraId="2E06C94B">
      <w:pPr>
        <w:pStyle w:val="29"/>
        <w:widowControl/>
        <w:numPr>
          <w:ilvl w:val="0"/>
          <w:numId w:val="2"/>
        </w:numPr>
        <w:spacing w:before="240" w:after="240"/>
        <w:ind w:firstLine="643" w:firstLineChars="200"/>
        <w:jc w:val="left"/>
        <w:rPr>
          <w:rFonts w:ascii="楷体" w:hAnsi="楷体" w:eastAsia="楷体" w:cs="楷体"/>
          <w:b/>
          <w:bCs/>
          <w:kern w:val="0"/>
          <w:sz w:val="32"/>
          <w:szCs w:val="32"/>
        </w:rPr>
      </w:pPr>
      <w:r>
        <w:rPr>
          <w:rFonts w:ascii="楷体" w:hAnsi="楷体" w:eastAsia="楷体" w:cs="楷体"/>
          <w:b/>
          <w:bCs/>
          <w:kern w:val="0"/>
          <w:sz w:val="32"/>
          <w:szCs w:val="32"/>
        </w:rPr>
        <w:t>部门项目绩效评价结果。</w:t>
      </w:r>
    </w:p>
    <w:p w14:paraId="7B0301CA">
      <w:pPr>
        <w:pStyle w:val="29"/>
        <w:widowControl/>
        <w:numPr>
          <w:ilvl w:val="0"/>
          <w:numId w:val="0"/>
        </w:numPr>
        <w:spacing w:before="240" w:after="240"/>
        <w:jc w:val="left"/>
        <w:rPr>
          <w:rFonts w:hint="default" w:ascii="FangSong_GB2312" w:hAnsi="FangSong_GB2312" w:eastAsia="FangSong_GB2312" w:cs="FangSong_GB2312"/>
          <w:kern w:val="0"/>
          <w:sz w:val="32"/>
          <w:szCs w:val="32"/>
          <w:lang w:val="en-US" w:eastAsia="zh-CN" w:bidi="ar-SA"/>
        </w:rPr>
      </w:pPr>
      <w:r>
        <w:rPr>
          <w:rFonts w:hint="eastAsia" w:ascii="楷体" w:hAnsi="楷体" w:eastAsia="楷体" w:cs="楷体"/>
          <w:b/>
          <w:bCs/>
          <w:kern w:val="0"/>
          <w:sz w:val="32"/>
          <w:szCs w:val="32"/>
          <w:lang w:val="en-US" w:eastAsia="zh-CN"/>
        </w:rPr>
        <w:t xml:space="preserve">    </w:t>
      </w:r>
      <w:r>
        <w:rPr>
          <w:rFonts w:hint="eastAsia" w:ascii="FangSong_GB2312" w:hAnsi="FangSong_GB2312" w:eastAsia="FangSong_GB2312" w:cs="FangSong_GB2312"/>
          <w:kern w:val="0"/>
          <w:sz w:val="32"/>
          <w:szCs w:val="32"/>
          <w:lang w:val="en-US" w:eastAsia="zh-CN" w:bidi="ar-SA"/>
        </w:rPr>
        <w:t>2025年我单位未开展部门项目绩效评价工作。</w:t>
      </w:r>
    </w:p>
    <w:p w14:paraId="0936A920">
      <w:pPr>
        <w:pStyle w:val="29"/>
        <w:widowControl/>
        <w:numPr>
          <w:ilvl w:val="0"/>
          <w:numId w:val="3"/>
        </w:numPr>
        <w:spacing w:before="240" w:after="240"/>
        <w:ind w:firstLine="643"/>
        <w:jc w:val="left"/>
        <w:rPr>
          <w:rFonts w:ascii="楷体" w:hAnsi="楷体" w:eastAsia="楷体" w:cs="楷体"/>
          <w:b/>
          <w:bCs/>
          <w:kern w:val="0"/>
          <w:sz w:val="32"/>
          <w:szCs w:val="32"/>
        </w:rPr>
      </w:pPr>
      <w:r>
        <w:rPr>
          <w:rFonts w:ascii="楷体" w:hAnsi="楷体" w:eastAsia="楷体" w:cs="楷体"/>
          <w:b/>
          <w:bCs/>
          <w:kern w:val="0"/>
          <w:sz w:val="32"/>
          <w:szCs w:val="32"/>
        </w:rPr>
        <w:t>部门（单位）预算绩效管理制度和核心绩效指标标准体系建设情况。</w:t>
      </w:r>
    </w:p>
    <w:p w14:paraId="5E13C3E8">
      <w:pPr>
        <w:pStyle w:val="29"/>
        <w:widowControl/>
        <w:numPr>
          <w:ilvl w:val="0"/>
          <w:numId w:val="0"/>
        </w:numPr>
        <w:spacing w:before="240" w:after="240"/>
        <w:ind w:firstLine="640" w:firstLineChars="200"/>
        <w:jc w:val="left"/>
        <w:rPr>
          <w:rFonts w:hint="default" w:ascii="FangSong_GB2312" w:hAnsi="FangSong_GB2312" w:eastAsia="FangSong_GB2312" w:cs="FangSong_GB2312"/>
          <w:kern w:val="0"/>
          <w:sz w:val="32"/>
          <w:szCs w:val="32"/>
          <w:lang w:val="en-US" w:eastAsia="zh-CN" w:bidi="ar-SA"/>
        </w:rPr>
      </w:pPr>
      <w:r>
        <w:rPr>
          <w:rFonts w:hint="eastAsia" w:ascii="FangSong_GB2312" w:hAnsi="FangSong_GB2312" w:eastAsia="FangSong_GB2312" w:cs="FangSong_GB2312"/>
          <w:kern w:val="0"/>
          <w:sz w:val="32"/>
          <w:szCs w:val="32"/>
          <w:lang w:val="en-US" w:eastAsia="zh-CN" w:bidi="ar-SA"/>
        </w:rPr>
        <w:t>我单位不断健全预算绩效管理制度体系，制定绩效管理相关工作规范，明晰财务、业务科室职责，落实绩效目标申报、运行监控、绩效自评、结果应用全流程管理，坚持预算与绩效同步编制、同步审核，推动绩效评价结果与预算安排挂钩。稳步推进核心绩效指标标准体系建设，按照产出、效益、满意度分类搭建项目绩效指标库，持续优化指标设置，尽量做到量化可考核。下一步，持续完善配套制度，开展业务培训；提升指标标准化水平；强化绩效全过程管控，充分发挥绩效评价作用，提升财政资金使用效益。</w:t>
      </w:r>
    </w:p>
    <w:p w14:paraId="08EAF5DA">
      <w:pPr>
        <w:widowControl/>
        <w:spacing w:before="240" w:after="240"/>
        <w:jc w:val="left"/>
        <w:rPr>
          <w:rFonts w:ascii="Times New Roman" w:hAnsi="Times New Roman" w:eastAsia="Times New Roman" w:cs="Times New Roman"/>
          <w:kern w:val="0"/>
          <w:sz w:val="24"/>
        </w:rPr>
      </w:pPr>
    </w:p>
    <w:p w14:paraId="20D3D957">
      <w:pPr>
        <w:pStyle w:val="3"/>
        <w:keepNext w:val="0"/>
        <w:keepLines w:val="0"/>
        <w:widowControl/>
        <w:spacing w:before="0" w:after="0" w:line="360" w:lineRule="auto"/>
        <w:ind w:left="0" w:right="0"/>
        <w:jc w:val="center"/>
        <w:rPr>
          <w:rFonts w:ascii="Times New Roman" w:hAnsi="Times New Roman" w:eastAsia="Times New Roman" w:cs="Times New Roman"/>
          <w:b/>
          <w:bCs/>
          <w:kern w:val="0"/>
          <w:sz w:val="36"/>
          <w:szCs w:val="36"/>
        </w:rPr>
      </w:pPr>
      <w:r>
        <w:rPr>
          <w:rFonts w:ascii="方正小标宋简体" w:hAnsi="方正小标宋简体" w:eastAsia="方正小标宋简体" w:cs="方正小标宋简体"/>
          <w:kern w:val="0"/>
          <w:sz w:val="36"/>
          <w:szCs w:val="36"/>
        </w:rPr>
        <w:t>第三部分</w:t>
      </w:r>
      <w:r>
        <w:rPr>
          <w:rFonts w:ascii="Times New Roman" w:hAnsi="Times New Roman" w:eastAsia="Times New Roman" w:cs="Times New Roman"/>
          <w:kern w:val="0"/>
          <w:sz w:val="36"/>
          <w:szCs w:val="36"/>
        </w:rPr>
        <w:t> </w:t>
      </w:r>
      <w:r>
        <w:rPr>
          <w:rFonts w:ascii="方正小标宋简体" w:hAnsi="方正小标宋简体" w:eastAsia="方正小标宋简体" w:cs="方正小标宋简体"/>
          <w:b w:val="0"/>
          <w:bCs w:val="0"/>
          <w:kern w:val="0"/>
          <w:sz w:val="36"/>
          <w:szCs w:val="36"/>
        </w:rPr>
        <w:t xml:space="preserve"> </w:t>
      </w:r>
      <w:r>
        <w:rPr>
          <w:rFonts w:ascii="方正小标宋简体" w:hAnsi="方正小标宋简体" w:eastAsia="方正小标宋简体" w:cs="方正小标宋简体"/>
          <w:kern w:val="0"/>
          <w:sz w:val="36"/>
          <w:szCs w:val="36"/>
        </w:rPr>
        <w:t>名词解释</w:t>
      </w:r>
    </w:p>
    <w:p w14:paraId="2B5FECA9">
      <w:pPr>
        <w:pStyle w:val="29"/>
        <w:widowControl/>
        <w:spacing w:before="240" w:after="240" w:line="560" w:lineRule="atLeast"/>
        <w:ind w:firstLine="643"/>
        <w:jc w:val="left"/>
        <w:rPr>
          <w:rFonts w:ascii="Times New Roman" w:hAnsi="Times New Roman" w:eastAsia="Times New Roman" w:cs="Times New Roman"/>
          <w:kern w:val="0"/>
          <w:sz w:val="24"/>
        </w:rPr>
      </w:pPr>
      <w:r>
        <w:rPr>
          <w:rFonts w:ascii="FangSong_GB2312" w:hAnsi="FangSong_GB2312" w:eastAsia="FangSong_GB2312" w:cs="FangSong_GB2312"/>
          <w:b/>
          <w:bCs/>
          <w:kern w:val="0"/>
          <w:sz w:val="32"/>
          <w:szCs w:val="32"/>
        </w:rPr>
        <w:t>一、财政拨款收入：</w:t>
      </w:r>
      <w:r>
        <w:rPr>
          <w:rFonts w:ascii="FangSong_GB2312" w:hAnsi="FangSong_GB2312" w:eastAsia="FangSong_GB2312" w:cs="FangSong_GB2312"/>
          <w:kern w:val="0"/>
          <w:sz w:val="32"/>
          <w:szCs w:val="32"/>
        </w:rPr>
        <w:t>从同级财政部门取得的各类财政拨款，包括一般公共预算财政拨款、政府性基金预算财政拨款、国有资本经营预算财政拨款。</w:t>
      </w:r>
    </w:p>
    <w:p w14:paraId="6A5A4FFF">
      <w:pPr>
        <w:pStyle w:val="29"/>
        <w:widowControl/>
        <w:spacing w:before="240" w:after="240" w:line="560" w:lineRule="atLeast"/>
        <w:ind w:firstLine="643"/>
        <w:jc w:val="left"/>
        <w:rPr>
          <w:rFonts w:ascii="Times New Roman" w:hAnsi="Times New Roman" w:eastAsia="Times New Roman" w:cs="Times New Roman"/>
          <w:kern w:val="0"/>
          <w:sz w:val="24"/>
        </w:rPr>
      </w:pPr>
      <w:r>
        <w:rPr>
          <w:rFonts w:ascii="FangSong_GB2312" w:hAnsi="FangSong_GB2312" w:eastAsia="FangSong_GB2312" w:cs="FangSong_GB2312"/>
          <w:b/>
          <w:bCs/>
          <w:kern w:val="0"/>
          <w:sz w:val="32"/>
          <w:szCs w:val="32"/>
        </w:rPr>
        <w:t>二、上级补助收入：</w:t>
      </w:r>
      <w:r>
        <w:rPr>
          <w:rFonts w:ascii="FangSong_GB2312" w:hAnsi="FangSong_GB2312" w:eastAsia="FangSong_GB2312" w:cs="FangSong_GB2312"/>
          <w:kern w:val="0"/>
          <w:sz w:val="32"/>
          <w:szCs w:val="32"/>
        </w:rPr>
        <w:t>指事业单位从主管部门和上级单位取得的非财政补助收入。</w:t>
      </w:r>
    </w:p>
    <w:p w14:paraId="4069DBDE">
      <w:pPr>
        <w:pStyle w:val="29"/>
        <w:widowControl/>
        <w:spacing w:before="240" w:after="240" w:line="560" w:lineRule="atLeast"/>
        <w:ind w:firstLine="643"/>
        <w:jc w:val="left"/>
        <w:rPr>
          <w:rFonts w:ascii="Times New Roman" w:hAnsi="Times New Roman" w:eastAsia="Times New Roman" w:cs="Times New Roman"/>
          <w:kern w:val="0"/>
          <w:sz w:val="24"/>
        </w:rPr>
      </w:pPr>
      <w:r>
        <w:rPr>
          <w:rFonts w:ascii="FangSong_GB2312" w:hAnsi="FangSong_GB2312" w:eastAsia="FangSong_GB2312" w:cs="FangSong_GB2312"/>
          <w:b/>
          <w:bCs/>
          <w:kern w:val="0"/>
          <w:sz w:val="32"/>
          <w:szCs w:val="32"/>
        </w:rPr>
        <w:t>三、事业收入：</w:t>
      </w:r>
      <w:r>
        <w:rPr>
          <w:rFonts w:ascii="FangSong_GB2312" w:hAnsi="FangSong_GB2312" w:eastAsia="FangSong_GB2312" w:cs="FangSong_GB2312"/>
          <w:kern w:val="0"/>
          <w:sz w:val="32"/>
          <w:szCs w:val="32"/>
        </w:rPr>
        <w:t>指事业单位开展专业业务活动及其辅助活动取得的收入。</w:t>
      </w:r>
    </w:p>
    <w:p w14:paraId="6075A6B4">
      <w:pPr>
        <w:pStyle w:val="29"/>
        <w:widowControl/>
        <w:spacing w:before="240" w:after="240" w:line="560" w:lineRule="atLeast"/>
        <w:ind w:firstLine="643"/>
        <w:jc w:val="left"/>
        <w:rPr>
          <w:rFonts w:ascii="Times New Roman" w:hAnsi="Times New Roman" w:eastAsia="Times New Roman" w:cs="Times New Roman"/>
          <w:kern w:val="0"/>
          <w:sz w:val="24"/>
        </w:rPr>
      </w:pPr>
      <w:r>
        <w:rPr>
          <w:rFonts w:ascii="FangSong_GB2312" w:hAnsi="FangSong_GB2312" w:eastAsia="FangSong_GB2312" w:cs="FangSong_GB2312"/>
          <w:b/>
          <w:bCs/>
          <w:kern w:val="0"/>
          <w:sz w:val="32"/>
          <w:szCs w:val="32"/>
        </w:rPr>
        <w:t>四、经营收入：</w:t>
      </w:r>
      <w:r>
        <w:rPr>
          <w:rFonts w:ascii="FangSong_GB2312" w:hAnsi="FangSong_GB2312" w:eastAsia="FangSong_GB2312" w:cs="FangSong_GB2312"/>
          <w:kern w:val="0"/>
          <w:sz w:val="32"/>
          <w:szCs w:val="32"/>
        </w:rPr>
        <w:t>指事业单位在专业业务活动及其辅助活动之外开展非独立核算经营活动取得的收入。</w:t>
      </w:r>
    </w:p>
    <w:p w14:paraId="23AD119F">
      <w:pPr>
        <w:pStyle w:val="29"/>
        <w:widowControl/>
        <w:spacing w:before="240" w:after="240" w:line="560" w:lineRule="atLeast"/>
        <w:ind w:firstLine="643"/>
        <w:jc w:val="left"/>
        <w:rPr>
          <w:rFonts w:ascii="Times New Roman" w:hAnsi="Times New Roman" w:eastAsia="Times New Roman" w:cs="Times New Roman"/>
          <w:kern w:val="0"/>
          <w:sz w:val="24"/>
        </w:rPr>
      </w:pPr>
      <w:r>
        <w:rPr>
          <w:rFonts w:ascii="FangSong_GB2312" w:hAnsi="FangSong_GB2312" w:eastAsia="FangSong_GB2312" w:cs="FangSong_GB2312"/>
          <w:b/>
          <w:bCs/>
          <w:kern w:val="0"/>
          <w:sz w:val="32"/>
          <w:szCs w:val="32"/>
        </w:rPr>
        <w:t>五、附属单位上缴收入：</w:t>
      </w:r>
      <w:r>
        <w:rPr>
          <w:rFonts w:ascii="FangSong_GB2312" w:hAnsi="FangSong_GB2312" w:eastAsia="FangSong_GB2312" w:cs="FangSong_GB2312"/>
          <w:kern w:val="0"/>
          <w:sz w:val="32"/>
          <w:szCs w:val="32"/>
        </w:rPr>
        <w:t>指事业单位取得附属独立核算单位按照有关规定上缴的收入。</w:t>
      </w:r>
    </w:p>
    <w:p w14:paraId="5487F9BD">
      <w:pPr>
        <w:pStyle w:val="29"/>
        <w:widowControl/>
        <w:spacing w:before="240" w:after="240" w:line="560" w:lineRule="atLeast"/>
        <w:ind w:firstLine="643"/>
        <w:jc w:val="left"/>
        <w:rPr>
          <w:rFonts w:ascii="Times New Roman" w:hAnsi="Times New Roman" w:eastAsia="Times New Roman" w:cs="Times New Roman"/>
          <w:kern w:val="0"/>
          <w:sz w:val="24"/>
        </w:rPr>
      </w:pPr>
      <w:r>
        <w:rPr>
          <w:rFonts w:ascii="FangSong_GB2312" w:hAnsi="FangSong_GB2312" w:eastAsia="FangSong_GB2312" w:cs="FangSong_GB2312"/>
          <w:b/>
          <w:bCs/>
          <w:kern w:val="0"/>
          <w:sz w:val="32"/>
          <w:szCs w:val="32"/>
        </w:rPr>
        <w:t>六、其他收入：</w:t>
      </w:r>
      <w:r>
        <w:rPr>
          <w:rFonts w:ascii="FangSong_GB2312" w:hAnsi="FangSong_GB2312" w:eastAsia="FangSong_GB2312" w:cs="FangSong_GB2312"/>
          <w:kern w:val="0"/>
          <w:sz w:val="32"/>
          <w:szCs w:val="32"/>
        </w:rPr>
        <w:t>取得的除上述财政拨款收入、上级补助收入、事业收入、经营收入、附属单位上缴收入等以外的各项收入。</w:t>
      </w:r>
    </w:p>
    <w:p w14:paraId="4F336E44">
      <w:pPr>
        <w:pStyle w:val="29"/>
        <w:widowControl/>
        <w:spacing w:before="240" w:after="240" w:line="560" w:lineRule="atLeast"/>
        <w:ind w:firstLine="643"/>
        <w:jc w:val="left"/>
        <w:rPr>
          <w:rFonts w:ascii="Times New Roman" w:hAnsi="Times New Roman" w:eastAsia="Times New Roman" w:cs="Times New Roman"/>
          <w:kern w:val="0"/>
          <w:sz w:val="24"/>
        </w:rPr>
      </w:pPr>
      <w:r>
        <w:rPr>
          <w:rFonts w:ascii="FangSong_GB2312" w:hAnsi="FangSong_GB2312" w:eastAsia="FangSong_GB2312" w:cs="FangSong_GB2312"/>
          <w:b/>
          <w:bCs/>
          <w:kern w:val="0"/>
          <w:sz w:val="32"/>
          <w:szCs w:val="32"/>
        </w:rPr>
        <w:t>七、使用非财政拨款结余（含专用结余）：</w:t>
      </w:r>
      <w:r>
        <w:rPr>
          <w:rFonts w:ascii="FangSong_GB2312" w:hAnsi="FangSong_GB2312" w:eastAsia="FangSong_GB2312" w:cs="FangSong_GB2312"/>
          <w:kern w:val="0"/>
          <w:sz w:val="32"/>
          <w:szCs w:val="32"/>
        </w:rPr>
        <w:t>指事业单位按照预算管理要求使用非财政拨款结余弥补收支差额的金额，以及使用专用结余安排支出的金额。</w:t>
      </w:r>
    </w:p>
    <w:p w14:paraId="2AEC4DD3">
      <w:pPr>
        <w:pStyle w:val="29"/>
        <w:widowControl/>
        <w:spacing w:before="240" w:after="240" w:line="560" w:lineRule="atLeast"/>
        <w:ind w:firstLine="643"/>
        <w:jc w:val="left"/>
        <w:rPr>
          <w:rFonts w:ascii="Times New Roman" w:hAnsi="Times New Roman" w:eastAsia="Times New Roman" w:cs="Times New Roman"/>
          <w:kern w:val="0"/>
          <w:sz w:val="24"/>
        </w:rPr>
      </w:pPr>
      <w:r>
        <w:rPr>
          <w:rFonts w:ascii="FangSong_GB2312" w:hAnsi="FangSong_GB2312" w:eastAsia="FangSong_GB2312" w:cs="FangSong_GB2312"/>
          <w:b/>
          <w:bCs/>
          <w:kern w:val="0"/>
          <w:sz w:val="32"/>
          <w:szCs w:val="32"/>
        </w:rPr>
        <w:t>八、年初结转和结余：</w:t>
      </w:r>
      <w:r>
        <w:rPr>
          <w:rFonts w:ascii="FangSong_GB2312" w:hAnsi="FangSong_GB2312" w:eastAsia="FangSong_GB2312" w:cs="FangSong_GB2312"/>
          <w:kern w:val="0"/>
          <w:sz w:val="32"/>
          <w:szCs w:val="32"/>
        </w:rPr>
        <w:t>指单位上年结转本年使用的基本支出结转、项目支出结转和结余、经营结余。</w:t>
      </w:r>
    </w:p>
    <w:p w14:paraId="5148A3C1">
      <w:pPr>
        <w:pStyle w:val="29"/>
        <w:widowControl/>
        <w:spacing w:before="240" w:after="240" w:line="560" w:lineRule="atLeast"/>
        <w:ind w:firstLine="643"/>
        <w:jc w:val="left"/>
        <w:rPr>
          <w:rFonts w:ascii="Times New Roman" w:hAnsi="Times New Roman" w:eastAsia="Times New Roman" w:cs="Times New Roman"/>
          <w:kern w:val="0"/>
          <w:sz w:val="24"/>
        </w:rPr>
      </w:pPr>
      <w:r>
        <w:rPr>
          <w:rFonts w:ascii="FangSong_GB2312" w:hAnsi="FangSong_GB2312" w:eastAsia="FangSong_GB2312" w:cs="FangSong_GB2312"/>
          <w:b/>
          <w:bCs/>
          <w:kern w:val="0"/>
          <w:sz w:val="32"/>
          <w:szCs w:val="32"/>
        </w:rPr>
        <w:t>九、结余分配：</w:t>
      </w:r>
      <w:r>
        <w:rPr>
          <w:rFonts w:ascii="FangSong_GB2312" w:hAnsi="FangSong_GB2312" w:eastAsia="FangSong_GB2312" w:cs="FangSong_GB2312"/>
          <w:kern w:val="0"/>
          <w:sz w:val="32"/>
          <w:szCs w:val="32"/>
        </w:rPr>
        <w:t>指单位按规定缴纳企业所得税以及从非财政拨款结余或经营结余中提取各类结余的情况。</w:t>
      </w:r>
    </w:p>
    <w:p w14:paraId="536CE7DD">
      <w:pPr>
        <w:pStyle w:val="29"/>
        <w:widowControl/>
        <w:spacing w:before="240" w:after="240" w:line="560" w:lineRule="atLeast"/>
        <w:ind w:firstLine="643"/>
        <w:jc w:val="left"/>
        <w:rPr>
          <w:rFonts w:ascii="Times New Roman" w:hAnsi="Times New Roman" w:eastAsia="Times New Roman" w:cs="Times New Roman"/>
          <w:kern w:val="0"/>
          <w:sz w:val="24"/>
        </w:rPr>
      </w:pPr>
      <w:r>
        <w:rPr>
          <w:rFonts w:ascii="FangSong_GB2312" w:hAnsi="FangSong_GB2312" w:eastAsia="FangSong_GB2312" w:cs="FangSong_GB2312"/>
          <w:b/>
          <w:bCs/>
          <w:kern w:val="0"/>
          <w:sz w:val="32"/>
          <w:szCs w:val="32"/>
        </w:rPr>
        <w:t>十、年末结转和结余资金：</w:t>
      </w:r>
      <w:r>
        <w:rPr>
          <w:rFonts w:ascii="FangSong_GB2312" w:hAnsi="FangSong_GB2312" w:eastAsia="FangSong_GB2312" w:cs="FangSong_GB2312"/>
          <w:kern w:val="0"/>
          <w:sz w:val="32"/>
          <w:szCs w:val="32"/>
        </w:rPr>
        <w:t>指单位结转下年的基本支出结转、项目支出结转和结余、经营结余。</w:t>
      </w:r>
    </w:p>
    <w:p w14:paraId="4C87E087">
      <w:pPr>
        <w:pStyle w:val="29"/>
        <w:widowControl/>
        <w:spacing w:before="240" w:after="240" w:line="560" w:lineRule="atLeast"/>
        <w:ind w:firstLine="643"/>
        <w:jc w:val="left"/>
        <w:rPr>
          <w:rFonts w:ascii="Times New Roman" w:hAnsi="Times New Roman" w:eastAsia="Times New Roman" w:cs="Times New Roman"/>
          <w:kern w:val="0"/>
          <w:sz w:val="24"/>
        </w:rPr>
      </w:pPr>
      <w:r>
        <w:rPr>
          <w:rFonts w:ascii="FangSong_GB2312" w:hAnsi="FangSong_GB2312" w:eastAsia="FangSong_GB2312" w:cs="FangSong_GB2312"/>
          <w:b/>
          <w:bCs/>
          <w:kern w:val="0"/>
          <w:sz w:val="32"/>
          <w:szCs w:val="32"/>
        </w:rPr>
        <w:t>十一、基本支出：</w:t>
      </w:r>
      <w:r>
        <w:rPr>
          <w:rFonts w:ascii="FangSong_GB2312" w:hAnsi="FangSong_GB2312" w:eastAsia="FangSong_GB2312" w:cs="FangSong_GB2312"/>
          <w:kern w:val="0"/>
          <w:sz w:val="32"/>
          <w:szCs w:val="32"/>
        </w:rPr>
        <w:t>指为保障机构正常运转、完成日常工作任务所发生的支出，包括人员经费和公用经费。</w:t>
      </w:r>
    </w:p>
    <w:p w14:paraId="0F28D4F5">
      <w:pPr>
        <w:pStyle w:val="29"/>
        <w:widowControl/>
        <w:spacing w:before="240" w:after="240" w:line="560" w:lineRule="atLeast"/>
        <w:ind w:firstLine="643"/>
        <w:jc w:val="left"/>
        <w:rPr>
          <w:rFonts w:ascii="Times New Roman" w:hAnsi="Times New Roman" w:eastAsia="Times New Roman" w:cs="Times New Roman"/>
          <w:kern w:val="0"/>
          <w:sz w:val="24"/>
        </w:rPr>
      </w:pPr>
      <w:r>
        <w:rPr>
          <w:rFonts w:ascii="FangSong_GB2312" w:hAnsi="FangSong_GB2312" w:eastAsia="FangSong_GB2312" w:cs="FangSong_GB2312"/>
          <w:b/>
          <w:bCs/>
          <w:color w:val="000000"/>
          <w:kern w:val="0"/>
          <w:sz w:val="32"/>
          <w:szCs w:val="32"/>
        </w:rPr>
        <w:t>十二、项目支出：</w:t>
      </w:r>
      <w:r>
        <w:rPr>
          <w:rFonts w:ascii="FangSong_GB2312" w:hAnsi="FangSong_GB2312" w:eastAsia="FangSong_GB2312" w:cs="FangSong_GB2312"/>
          <w:color w:val="000000"/>
          <w:kern w:val="0"/>
          <w:sz w:val="32"/>
          <w:szCs w:val="32"/>
        </w:rPr>
        <w:t>指单位为完成特定的行政工作任务或事业发展目标，在基本支出之外发生的各项支出。</w:t>
      </w:r>
    </w:p>
    <w:p w14:paraId="28DB89EE">
      <w:pPr>
        <w:pStyle w:val="29"/>
        <w:widowControl/>
        <w:spacing w:before="240" w:after="240" w:line="560" w:lineRule="atLeast"/>
        <w:ind w:firstLine="643"/>
        <w:jc w:val="left"/>
        <w:rPr>
          <w:rFonts w:ascii="Times New Roman" w:hAnsi="Times New Roman" w:eastAsia="Times New Roman" w:cs="Times New Roman"/>
          <w:kern w:val="0"/>
          <w:sz w:val="24"/>
        </w:rPr>
      </w:pPr>
      <w:r>
        <w:rPr>
          <w:rFonts w:ascii="FangSong_GB2312" w:hAnsi="FangSong_GB2312" w:eastAsia="FangSong_GB2312" w:cs="FangSong_GB2312"/>
          <w:b/>
          <w:bCs/>
          <w:kern w:val="0"/>
          <w:sz w:val="32"/>
          <w:szCs w:val="32"/>
        </w:rPr>
        <w:t>十三、上缴上级支出：</w:t>
      </w:r>
      <w:r>
        <w:rPr>
          <w:rFonts w:ascii="FangSong_GB2312" w:hAnsi="FangSong_GB2312" w:eastAsia="FangSong_GB2312" w:cs="FangSong_GB2312"/>
          <w:kern w:val="0"/>
          <w:sz w:val="32"/>
          <w:szCs w:val="32"/>
        </w:rPr>
        <w:t>指事业单位按照财政部门和主管部门的规定上缴上级单位的支出。</w:t>
      </w:r>
    </w:p>
    <w:p w14:paraId="597A99B0">
      <w:pPr>
        <w:pStyle w:val="29"/>
        <w:widowControl/>
        <w:spacing w:before="240" w:after="240" w:line="560" w:lineRule="atLeast"/>
        <w:ind w:firstLine="643"/>
        <w:jc w:val="left"/>
        <w:rPr>
          <w:rFonts w:ascii="Times New Roman" w:hAnsi="Times New Roman" w:eastAsia="Times New Roman" w:cs="Times New Roman"/>
          <w:kern w:val="0"/>
          <w:sz w:val="24"/>
        </w:rPr>
      </w:pPr>
      <w:r>
        <w:rPr>
          <w:rFonts w:ascii="FangSong_GB2312" w:hAnsi="FangSong_GB2312" w:eastAsia="FangSong_GB2312" w:cs="FangSong_GB2312"/>
          <w:b/>
          <w:bCs/>
          <w:kern w:val="0"/>
          <w:sz w:val="32"/>
          <w:szCs w:val="32"/>
        </w:rPr>
        <w:t>十四、经营支出：</w:t>
      </w:r>
      <w:r>
        <w:rPr>
          <w:rFonts w:ascii="FangSong_GB2312" w:hAnsi="FangSong_GB2312" w:eastAsia="FangSong_GB2312" w:cs="FangSong_GB2312"/>
          <w:kern w:val="0"/>
          <w:sz w:val="32"/>
          <w:szCs w:val="32"/>
        </w:rPr>
        <w:t>指事业单位在专业业务活动及其辅助活动之外开展非独立核算经营活动发生的支出。</w:t>
      </w:r>
    </w:p>
    <w:p w14:paraId="5AF6C0C4">
      <w:pPr>
        <w:pStyle w:val="29"/>
        <w:widowControl/>
        <w:spacing w:before="240" w:after="240" w:line="560" w:lineRule="atLeast"/>
        <w:ind w:firstLine="643"/>
        <w:jc w:val="left"/>
        <w:rPr>
          <w:rFonts w:ascii="Times New Roman" w:hAnsi="Times New Roman" w:eastAsia="Times New Roman" w:cs="Times New Roman"/>
          <w:kern w:val="0"/>
          <w:sz w:val="24"/>
        </w:rPr>
      </w:pPr>
      <w:r>
        <w:rPr>
          <w:rFonts w:ascii="FangSong_GB2312" w:hAnsi="FangSong_GB2312" w:eastAsia="FangSong_GB2312" w:cs="FangSong_GB2312"/>
          <w:b/>
          <w:bCs/>
          <w:kern w:val="0"/>
          <w:sz w:val="32"/>
          <w:szCs w:val="32"/>
        </w:rPr>
        <w:t>十五、对附属单位补助支出：</w:t>
      </w:r>
      <w:r>
        <w:rPr>
          <w:rFonts w:ascii="FangSong_GB2312" w:hAnsi="FangSong_GB2312" w:eastAsia="FangSong_GB2312" w:cs="FangSong_GB2312"/>
          <w:kern w:val="0"/>
          <w:sz w:val="32"/>
          <w:szCs w:val="32"/>
        </w:rPr>
        <w:t>指事业单位用财政拨款收入之外的收入对附属单位补助发生的支出。</w:t>
      </w:r>
    </w:p>
    <w:p w14:paraId="650321F3">
      <w:pPr>
        <w:pStyle w:val="29"/>
        <w:widowControl/>
        <w:spacing w:before="240" w:after="240" w:line="560" w:lineRule="atLeast"/>
        <w:ind w:firstLine="643"/>
        <w:jc w:val="left"/>
        <w:rPr>
          <w:rFonts w:ascii="Times New Roman" w:hAnsi="Times New Roman" w:eastAsia="Times New Roman" w:cs="Times New Roman"/>
          <w:kern w:val="0"/>
          <w:sz w:val="24"/>
        </w:rPr>
      </w:pPr>
      <w:r>
        <w:rPr>
          <w:rFonts w:ascii="FangSong_GB2312" w:hAnsi="FangSong_GB2312" w:eastAsia="FangSong_GB2312" w:cs="FangSong_GB2312"/>
          <w:b/>
          <w:bCs/>
          <w:kern w:val="0"/>
          <w:sz w:val="32"/>
          <w:szCs w:val="32"/>
        </w:rPr>
        <w:t>十六、“三公”经费：</w:t>
      </w:r>
      <w:r>
        <w:rPr>
          <w:rFonts w:ascii="FangSong_GB2312" w:hAnsi="FangSong_GB2312" w:eastAsia="FangSong_GB2312" w:cs="FangSong_GB2312"/>
          <w:kern w:val="0"/>
          <w:sz w:val="32"/>
          <w:szCs w:val="32"/>
        </w:rPr>
        <w:t>指部门（单位）用财政拨款安排的因公出国（境）费、公务用车购置及运行维护费和公务接待费。其中，因公出国（境）费反映部门（单位）公务出国（境）的国际旅费、国外城市间交通费、住宿费、伙食费、培训费、公杂费等支出；公务用车购置及运行维护费反映部门（单位）公务用车购置支出（含车辆购置税、牌照费）以及按规定保留的公务用车燃料费、</w:t>
      </w:r>
      <w:r>
        <w:rPr>
          <w:rFonts w:ascii="FangSong_GB2312" w:hAnsi="FangSong_GB2312" w:eastAsia="FangSong_GB2312" w:cs="FangSong_GB2312"/>
          <w:color w:val="000000"/>
          <w:kern w:val="0"/>
          <w:sz w:val="32"/>
          <w:szCs w:val="32"/>
        </w:rPr>
        <w:t>新能源汽车充电费、</w:t>
      </w:r>
      <w:r>
        <w:rPr>
          <w:rFonts w:ascii="FangSong_GB2312" w:hAnsi="FangSong_GB2312" w:eastAsia="FangSong_GB2312" w:cs="FangSong_GB2312"/>
          <w:kern w:val="0"/>
          <w:sz w:val="32"/>
          <w:szCs w:val="32"/>
        </w:rPr>
        <w:t>维修费、过路过桥费、保险费、安全奖励费用等支出；公务接待费反映部门（单位）按规定开支的各类公务接待（含外宾接待）费用。</w:t>
      </w:r>
    </w:p>
    <w:p w14:paraId="3B1449D4">
      <w:pPr>
        <w:pStyle w:val="29"/>
        <w:widowControl/>
        <w:spacing w:before="240" w:after="240" w:line="560" w:lineRule="atLeast"/>
        <w:ind w:firstLine="643"/>
        <w:jc w:val="left"/>
        <w:rPr>
          <w:rFonts w:ascii="Times New Roman" w:hAnsi="Times New Roman" w:eastAsia="Times New Roman" w:cs="Times New Roman"/>
          <w:kern w:val="0"/>
          <w:sz w:val="24"/>
        </w:rPr>
      </w:pPr>
      <w:r>
        <w:rPr>
          <w:rFonts w:ascii="FangSong_GB2312" w:hAnsi="FangSong_GB2312" w:eastAsia="FangSong_GB2312" w:cs="FangSong_GB2312"/>
          <w:b/>
          <w:bCs/>
          <w:kern w:val="0"/>
          <w:sz w:val="32"/>
          <w:szCs w:val="32"/>
        </w:rPr>
        <w:t>十七、机关运行经费：</w:t>
      </w:r>
      <w:r>
        <w:rPr>
          <w:rFonts w:ascii="FangSong_GB2312" w:hAnsi="FangSong_GB2312" w:eastAsia="FangSong_GB2312" w:cs="FangSong_GB2312"/>
          <w:kern w:val="0"/>
          <w:sz w:val="32"/>
          <w:szCs w:val="32"/>
        </w:rPr>
        <w:t>指行政单位和参照公务员法管理的事业单位财政拨款基本支出中的公用经费支出。</w:t>
      </w:r>
    </w:p>
    <w:p w14:paraId="6CF94B42">
      <w:pPr>
        <w:pStyle w:val="3"/>
        <w:keepNext w:val="0"/>
        <w:keepLines w:val="0"/>
        <w:widowControl/>
        <w:spacing w:before="299" w:after="299" w:line="240" w:lineRule="auto"/>
        <w:jc w:val="center"/>
        <w:rPr>
          <w:rFonts w:ascii="Times New Roman" w:hAnsi="Times New Roman" w:eastAsia="Times New Roman" w:cs="Times New Roman"/>
          <w:kern w:val="0"/>
          <w:sz w:val="24"/>
        </w:rPr>
      </w:pPr>
      <w:r>
        <w:rPr>
          <w:rFonts w:ascii="fang_zheng_xiao_biao_song_ti" w:hAnsi="fang_zheng_xiao_biao_song_ti" w:eastAsia="fang_zheng_xiao_biao_song_ti" w:cs="fang_zheng_xiao_biao_song_ti"/>
          <w:kern w:val="0"/>
          <w:sz w:val="36"/>
          <w:szCs w:val="36"/>
        </w:rPr>
        <w:t>第四部分</w:t>
      </w:r>
      <w:r>
        <w:rPr>
          <w:rFonts w:ascii="Times New Roman" w:hAnsi="Times New Roman" w:eastAsia="Times New Roman" w:cs="Times New Roman"/>
          <w:kern w:val="0"/>
          <w:sz w:val="36"/>
          <w:szCs w:val="36"/>
        </w:rPr>
        <w:t> </w:t>
      </w:r>
      <w:r>
        <w:rPr>
          <w:rFonts w:ascii="fang_zheng_xiao_biao_song_ti" w:hAnsi="fang_zheng_xiao_biao_song_ti" w:eastAsia="fang_zheng_xiao_biao_song_ti" w:cs="fang_zheng_xiao_biao_song_ti"/>
          <w:b w:val="0"/>
          <w:bCs w:val="0"/>
          <w:kern w:val="0"/>
          <w:sz w:val="36"/>
          <w:szCs w:val="36"/>
        </w:rPr>
        <w:t xml:space="preserve"> </w:t>
      </w:r>
      <w:r>
        <w:rPr>
          <w:rFonts w:ascii="fang_zheng_xiao_biao_song_ti" w:hAnsi="fang_zheng_xiao_biao_song_ti" w:eastAsia="fang_zheng_xiao_biao_song_ti" w:cs="fang_zheng_xiao_biao_song_ti"/>
          <w:kern w:val="0"/>
          <w:sz w:val="36"/>
          <w:szCs w:val="36"/>
        </w:rPr>
        <w:t>决算公开联系方式及信息反馈渠道</w:t>
      </w:r>
    </w:p>
    <w:p w14:paraId="57603F23">
      <w:pPr>
        <w:pStyle w:val="29"/>
        <w:widowControl/>
        <w:spacing w:before="240" w:after="240" w:line="560" w:lineRule="atLeast"/>
        <w:ind w:firstLine="640"/>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本部门（单位）决算公开信息反馈和联系方式：</w:t>
      </w:r>
    </w:p>
    <w:p w14:paraId="6AE78AF1">
      <w:pPr>
        <w:pStyle w:val="29"/>
        <w:widowControl/>
        <w:spacing w:before="240" w:after="240" w:line="560" w:lineRule="atLeast"/>
        <w:ind w:firstLine="640"/>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联系人：</w:t>
      </w:r>
      <w:r>
        <w:rPr>
          <w:rFonts w:hint="eastAsia" w:ascii="FangSong_GB2312" w:hAnsi="FangSong_GB2312" w:eastAsia="FangSong_GB2312" w:cs="FangSong_GB2312"/>
          <w:kern w:val="0"/>
          <w:sz w:val="32"/>
          <w:szCs w:val="32"/>
          <w:lang w:val="en-US" w:eastAsia="zh-CN"/>
        </w:rPr>
        <w:t>冯帅</w:t>
      </w:r>
      <w:r>
        <w:rPr>
          <w:rFonts w:ascii="Times New Roman" w:hAnsi="Times New Roman" w:eastAsia="Times New Roman" w:cs="Times New Roman"/>
          <w:kern w:val="0"/>
          <w:sz w:val="32"/>
          <w:szCs w:val="32"/>
          <w:lang w:eastAsia="en-US"/>
        </w:rPr>
        <w:t xml:space="preserve">              </w:t>
      </w:r>
      <w:r>
        <w:rPr>
          <w:rFonts w:ascii="FangSong_GB2312" w:hAnsi="FangSong_GB2312" w:eastAsia="FangSong_GB2312" w:cs="FangSong_GB2312"/>
          <w:kern w:val="0"/>
          <w:sz w:val="32"/>
          <w:szCs w:val="32"/>
        </w:rPr>
        <w:t>联系电话：</w:t>
      </w:r>
      <w:r>
        <w:rPr>
          <w:rFonts w:ascii="FangSong_GB2312" w:hAnsi="FangSong_GB2312" w:eastAsia="FangSong_GB2312" w:cs="FangSong_GB2312"/>
          <w:kern w:val="0"/>
          <w:sz w:val="32"/>
          <w:szCs w:val="32"/>
          <w:lang w:eastAsia="en-US"/>
        </w:rPr>
        <w:t>0477-8342520</w:t>
      </w:r>
      <w:r>
        <w:rPr>
          <w:rFonts w:ascii="Calibri" w:hAnsi="Calibri" w:eastAsia="Calibri" w:cs="Calibri"/>
          <w:kern w:val="0"/>
          <w:sz w:val="32"/>
          <w:szCs w:val="32"/>
          <w:lang w:eastAsia="en-US"/>
        </w:rPr>
        <w:t> </w:t>
      </w:r>
    </w:p>
    <w:p w14:paraId="39C3D839">
      <w:pPr>
        <w:widowControl/>
        <w:spacing w:before="240" w:after="240"/>
        <w:jc w:val="left"/>
        <w:rPr>
          <w:rFonts w:ascii="Times New Roman" w:hAnsi="Times New Roman" w:eastAsia="Times New Roman" w:cs="Times New Roman"/>
          <w:kern w:val="0"/>
          <w:sz w:val="24"/>
        </w:rPr>
      </w:pPr>
    </w:p>
    <w:p w14:paraId="70A19C0D">
      <w:pPr>
        <w:pStyle w:val="3"/>
        <w:keepNext w:val="0"/>
        <w:keepLines w:val="0"/>
        <w:widowControl/>
        <w:spacing w:before="299" w:after="299" w:line="240" w:lineRule="auto"/>
        <w:jc w:val="center"/>
        <w:rPr>
          <w:rFonts w:ascii="Times New Roman" w:hAnsi="Times New Roman" w:eastAsia="Times New Roman" w:cs="Times New Roman"/>
          <w:kern w:val="0"/>
          <w:sz w:val="24"/>
        </w:rPr>
      </w:pPr>
      <w:r>
        <w:rPr>
          <w:rFonts w:ascii="fang_zheng_xiao_biao_song_ti" w:hAnsi="fang_zheng_xiao_biao_song_ti" w:eastAsia="fang_zheng_xiao_biao_song_ti" w:cs="fang_zheng_xiao_biao_song_ti"/>
          <w:kern w:val="0"/>
          <w:sz w:val="36"/>
          <w:szCs w:val="36"/>
        </w:rPr>
        <w:t>第五部分</w:t>
      </w:r>
      <w:r>
        <w:rPr>
          <w:rFonts w:ascii="Times New Roman" w:hAnsi="Times New Roman" w:eastAsia="Times New Roman" w:cs="Times New Roman"/>
          <w:kern w:val="0"/>
          <w:sz w:val="36"/>
          <w:szCs w:val="36"/>
        </w:rPr>
        <w:t> </w:t>
      </w:r>
      <w:r>
        <w:rPr>
          <w:rFonts w:ascii="方正小标宋简体" w:hAnsi="方正小标宋简体" w:eastAsia="方正小标宋简体" w:cs="方正小标宋简体"/>
          <w:b w:val="0"/>
          <w:bCs w:val="0"/>
          <w:kern w:val="0"/>
          <w:sz w:val="36"/>
          <w:szCs w:val="36"/>
        </w:rPr>
        <w:t xml:space="preserve"> </w:t>
      </w:r>
      <w:r>
        <w:rPr>
          <w:rFonts w:ascii="fang_zheng_xiao_biao_song_ti" w:hAnsi="fang_zheng_xiao_biao_song_ti" w:eastAsia="fang_zheng_xiao_biao_song_ti" w:cs="fang_zheng_xiao_biao_song_ti"/>
          <w:kern w:val="0"/>
          <w:sz w:val="36"/>
          <w:szCs w:val="36"/>
        </w:rPr>
        <w:t>部门（单位）决算表</w:t>
      </w:r>
      <w:r>
        <w:rPr>
          <w:rFonts w:ascii="Times New Roman" w:hAnsi="Times New Roman" w:eastAsia="Times New Roman" w:cs="Times New Roman"/>
          <w:kern w:val="0"/>
          <w:sz w:val="24"/>
          <w:lang w:eastAsia="en-US"/>
        </w:rPr>
        <w:t> </w:t>
      </w:r>
    </w:p>
    <w:p w14:paraId="37EAC757">
      <w:pPr>
        <w:pStyle w:val="29"/>
        <w:widowControl/>
        <w:spacing w:before="240" w:after="240" w:line="560" w:lineRule="atLeast"/>
        <w:ind w:firstLine="640"/>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见附件。</w:t>
      </w:r>
    </w:p>
    <w:bookmarkEnd w:id="0"/>
    <w:p w14:paraId="211E35E0">
      <w:pPr>
        <w:adjustRightInd w:val="0"/>
        <w:snapToGrid w:val="0"/>
        <w:rPr>
          <w:rFonts w:ascii="宋体" w:hAnsi="宋体"/>
          <w:b/>
          <w:sz w:val="32"/>
          <w:szCs w:val="32"/>
        </w:rPr>
      </w:pPr>
    </w:p>
    <w:p w14:paraId="16B721BE">
      <w:pPr>
        <w:adjustRightInd w:val="0"/>
        <w:snapToGrid w:val="0"/>
        <w:rPr>
          <w:rFonts w:ascii="宋体" w:hAnsi="宋体"/>
          <w:b/>
          <w:sz w:val="32"/>
          <w:szCs w:val="32"/>
        </w:rPr>
      </w:pPr>
    </w:p>
    <w:p w14:paraId="064DC7E7">
      <w:pPr>
        <w:tabs>
          <w:tab w:val="left" w:pos="8415"/>
        </w:tabs>
      </w:pPr>
    </w:p>
    <w:sectPr>
      <w:footerReference r:id="rId4" w:type="default"/>
      <w:pgSz w:w="11906" w:h="16838"/>
      <w:pgMar w:top="1440" w:right="1800" w:bottom="1440" w:left="1800" w:header="0" w:footer="72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FangSong_GB2312">
    <w:altName w:val="仿宋"/>
    <w:panose1 w:val="00000000000000000000"/>
    <w:charset w:val="00"/>
    <w:family w:val="auto"/>
    <w:pitch w:val="default"/>
    <w:sig w:usb0="00000000" w:usb1="00000000" w:usb2="00000000" w:usb3="00000000" w:csb0="00000000" w:csb1="00000000"/>
  </w:font>
  <w:font w:name="方正小标宋简体">
    <w:altName w:val="方正舒体"/>
    <w:panose1 w:val="00000000000000000000"/>
    <w:charset w:val="00"/>
    <w:family w:val="auto"/>
    <w:pitch w:val="default"/>
    <w:sig w:usb0="00000000" w:usb1="00000000" w:usb2="00000000" w:usb3="00000000" w:csb0="00000000" w:csb1="00000000"/>
  </w:font>
  <w:font w:name="方正舒体">
    <w:panose1 w:val="02010601030101010101"/>
    <w:charset w:val="86"/>
    <w:family w:val="auto"/>
    <w:pitch w:val="default"/>
    <w:sig w:usb0="00000003"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times_new_roman">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fang_zheng_xiao_biao_song_ti">
    <w:altName w:val="Segoe Print"/>
    <w:panose1 w:val="00000000000000000000"/>
    <w:charset w:val="00"/>
    <w:family w:val="auto"/>
    <w:pitch w:val="default"/>
    <w:sig w:usb0="00000000" w:usb1="00000000" w:usb2="00000000" w:usb3="00000000" w:csb0="00000000" w:csb1="00000000"/>
  </w:font>
  <w:font w:name="KSOFBE25B2F9">
    <w:panose1 w:val="02010601030101010101"/>
    <w:charset w:val="86"/>
    <w:family w:val="auto"/>
    <w:pitch w:val="default"/>
    <w:sig w:usb0="00000001" w:usb1="00000000" w:usb2="00000000" w:usb3="00000000" w:csb0="00040001" w:csb1="00000000"/>
  </w:font>
  <w:font w:name="KSOF8BCA4F43">
    <w:panose1 w:val="02010609060101010101"/>
    <w:charset w:val="86"/>
    <w:family w:val="auto"/>
    <w:pitch w:val="default"/>
    <w:sig w:usb0="00000001" w:usb1="00000000" w:usb2="00000000" w:usb3="00000000" w:csb0="00040001" w:csb1="00000000"/>
  </w:font>
  <w:font w:name="KSOF8BCAC3A2">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134C84">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1</w:t>
    </w:r>
    <w:r>
      <w:rPr>
        <w:rFonts w:ascii="宋体" w:hAnsi="宋体" w:eastAsia="宋体" w:cs="宋体"/>
        <w:sz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15BDAA">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30</w:t>
    </w:r>
    <w:r>
      <w:rPr>
        <w:rFonts w:ascii="宋体" w:hAnsi="宋体" w:eastAsia="宋体" w:cs="宋体"/>
        <w:sz w:val="18"/>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0399EA2"/>
    <w:multiLevelType w:val="singleLevel"/>
    <w:tmpl w:val="20399EA2"/>
    <w:lvl w:ilvl="0" w:tentative="0">
      <w:start w:val="4"/>
      <w:numFmt w:val="chineseCounting"/>
      <w:suff w:val="nothing"/>
      <w:lvlText w:val="（%1）"/>
      <w:lvlJc w:val="left"/>
      <w:rPr>
        <w:rFonts w:hint="eastAsia"/>
      </w:rPr>
    </w:lvl>
  </w:abstractNum>
  <w:abstractNum w:abstractNumId="1">
    <w:nsid w:val="300BC1BC"/>
    <w:multiLevelType w:val="singleLevel"/>
    <w:tmpl w:val="300BC1BC"/>
    <w:lvl w:ilvl="0" w:tentative="0">
      <w:start w:val="3"/>
      <w:numFmt w:val="chineseCounting"/>
      <w:suff w:val="nothing"/>
      <w:lvlText w:val="（%1）"/>
      <w:lvlJc w:val="left"/>
      <w:rPr>
        <w:rFonts w:hint="eastAsia"/>
      </w:rPr>
    </w:lvl>
  </w:abstractNum>
  <w:abstractNum w:abstractNumId="2">
    <w:nsid w:val="7C4403DC"/>
    <w:multiLevelType w:val="singleLevel"/>
    <w:tmpl w:val="7C4403DC"/>
    <w:lvl w:ilvl="0" w:tentative="0">
      <w:start w:val="1"/>
      <w:numFmt w:val="decimal"/>
      <w:lvlText w:val="%1."/>
      <w:lvlJc w:val="left"/>
      <w:pPr>
        <w:tabs>
          <w:tab w:val="left" w:pos="312"/>
        </w:tabs>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isplayHorizontalDrawingGridEvery w:val="1"/>
  <w:displayVerticalDrawingGridEvery w:val="1"/>
  <w:noPunctuationKerning w:val="1"/>
  <w:compat>
    <w:doNotExpandShiftReturn/>
    <w:doNotWrapTextWithPunct/>
    <w:doNotUseEastAsianBreakRules/>
    <w:useFELayout/>
    <w:splitPgBreakAndParaMark/>
    <w:compatSetting w:name="compatibilityMode" w:uri="http://schemas.microsoft.com/office/word" w:val="12"/>
  </w:compat>
  <w:rsids>
    <w:rsidRoot w:val="00000000"/>
    <w:rsid w:val="00A87FC1"/>
    <w:rsid w:val="0C201E19"/>
    <w:rsid w:val="0C34040C"/>
    <w:rsid w:val="0CF63E15"/>
    <w:rsid w:val="0DC21F49"/>
    <w:rsid w:val="0F490B74"/>
    <w:rsid w:val="0F707EAE"/>
    <w:rsid w:val="12D90460"/>
    <w:rsid w:val="13AC347F"/>
    <w:rsid w:val="16922E00"/>
    <w:rsid w:val="1844012A"/>
    <w:rsid w:val="1BA333BA"/>
    <w:rsid w:val="1BB05AD7"/>
    <w:rsid w:val="21E017B1"/>
    <w:rsid w:val="22D12F02"/>
    <w:rsid w:val="25207829"/>
    <w:rsid w:val="27160EE4"/>
    <w:rsid w:val="2A3F69A3"/>
    <w:rsid w:val="2D6A01DB"/>
    <w:rsid w:val="333E1EEE"/>
    <w:rsid w:val="3CF719D1"/>
    <w:rsid w:val="3D430101"/>
    <w:rsid w:val="41EE2D31"/>
    <w:rsid w:val="441A605F"/>
    <w:rsid w:val="44663053"/>
    <w:rsid w:val="45060392"/>
    <w:rsid w:val="4D3F08E5"/>
    <w:rsid w:val="53CE4770"/>
    <w:rsid w:val="574F3E1A"/>
    <w:rsid w:val="58C47EF0"/>
    <w:rsid w:val="58D2260D"/>
    <w:rsid w:val="5AED1980"/>
    <w:rsid w:val="602816AC"/>
    <w:rsid w:val="684A3ACF"/>
    <w:rsid w:val="69D02B99"/>
    <w:rsid w:val="6A325601"/>
    <w:rsid w:val="74253AE1"/>
    <w:rsid w:val="7CD372FB"/>
    <w:rsid w:val="7CFB7AD5"/>
    <w:rsid w:val="7E046E5D"/>
    <w:rsid w:val="7F5B485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28"/>
    <w:qFormat/>
    <w:uiPriority w:val="0"/>
    <w:pPr>
      <w:keepNext/>
      <w:keepLines/>
      <w:spacing w:before="260" w:after="260" w:line="416" w:lineRule="auto"/>
      <w:outlineLvl w:val="2"/>
    </w:pPr>
    <w:rPr>
      <w:b/>
      <w:bCs/>
      <w:sz w:val="32"/>
      <w:szCs w:val="32"/>
    </w:rPr>
  </w:style>
  <w:style w:type="paragraph" w:styleId="5">
    <w:name w:val="heading 4"/>
    <w:basedOn w:val="1"/>
    <w:next w:val="1"/>
    <w:link w:val="23"/>
    <w:qFormat/>
    <w:uiPriority w:val="0"/>
    <w:pPr>
      <w:keepNext/>
      <w:keepLines/>
      <w:spacing w:before="280" w:after="290" w:line="376" w:lineRule="auto"/>
      <w:outlineLvl w:val="3"/>
    </w:pPr>
    <w:rPr>
      <w:rFonts w:ascii="Cambria" w:hAnsi="Cambria"/>
      <w:b/>
      <w:bCs/>
      <w:sz w:val="28"/>
      <w:szCs w:val="28"/>
    </w:rPr>
  </w:style>
  <w:style w:type="character" w:default="1" w:styleId="20">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6">
    <w:name w:val="toc 7"/>
    <w:basedOn w:val="1"/>
    <w:next w:val="1"/>
    <w:autoRedefine/>
    <w:qFormat/>
    <w:uiPriority w:val="0"/>
    <w:pPr>
      <w:ind w:left="1260"/>
      <w:jc w:val="left"/>
    </w:pPr>
    <w:rPr>
      <w:sz w:val="20"/>
      <w:szCs w:val="20"/>
    </w:rPr>
  </w:style>
  <w:style w:type="paragraph" w:styleId="7">
    <w:name w:val="Document Map"/>
    <w:basedOn w:val="1"/>
    <w:qFormat/>
    <w:uiPriority w:val="0"/>
    <w:pPr>
      <w:shd w:val="clear" w:color="auto" w:fill="000080"/>
    </w:pPr>
  </w:style>
  <w:style w:type="paragraph" w:styleId="8">
    <w:name w:val="Body Text"/>
    <w:basedOn w:val="1"/>
    <w:semiHidden/>
    <w:qFormat/>
    <w:uiPriority w:val="0"/>
    <w:rPr>
      <w:rFonts w:ascii="仿宋" w:hAnsi="仿宋" w:eastAsia="仿宋" w:cs="仿宋"/>
      <w:sz w:val="31"/>
      <w:szCs w:val="31"/>
      <w:lang w:val="en-US" w:eastAsia="en-US" w:bidi="ar-SA"/>
    </w:rPr>
  </w:style>
  <w:style w:type="paragraph" w:styleId="9">
    <w:name w:val="toc 5"/>
    <w:basedOn w:val="1"/>
    <w:next w:val="1"/>
    <w:autoRedefine/>
    <w:qFormat/>
    <w:uiPriority w:val="0"/>
    <w:pPr>
      <w:ind w:left="840"/>
      <w:jc w:val="left"/>
    </w:pPr>
    <w:rPr>
      <w:sz w:val="20"/>
      <w:szCs w:val="20"/>
    </w:rPr>
  </w:style>
  <w:style w:type="paragraph" w:styleId="10">
    <w:name w:val="toc 3"/>
    <w:basedOn w:val="1"/>
    <w:next w:val="1"/>
    <w:qFormat/>
    <w:uiPriority w:val="0"/>
    <w:pPr>
      <w:adjustRightInd w:val="0"/>
      <w:snapToGrid w:val="0"/>
      <w:spacing w:line="360" w:lineRule="auto"/>
      <w:ind w:firstLine="400" w:firstLineChars="400"/>
      <w:jc w:val="left"/>
    </w:pPr>
    <w:rPr>
      <w:sz w:val="24"/>
      <w:szCs w:val="20"/>
    </w:rPr>
  </w:style>
  <w:style w:type="paragraph" w:styleId="11">
    <w:name w:val="toc 8"/>
    <w:basedOn w:val="1"/>
    <w:next w:val="1"/>
    <w:autoRedefine/>
    <w:qFormat/>
    <w:uiPriority w:val="0"/>
    <w:pPr>
      <w:ind w:left="1470"/>
      <w:jc w:val="left"/>
    </w:pPr>
    <w:rPr>
      <w:sz w:val="20"/>
      <w:szCs w:val="20"/>
    </w:rPr>
  </w:style>
  <w:style w:type="paragraph" w:styleId="12">
    <w:name w:val="footer"/>
    <w:basedOn w:val="1"/>
    <w:link w:val="26"/>
    <w:qFormat/>
    <w:uiPriority w:val="0"/>
    <w:pPr>
      <w:tabs>
        <w:tab w:val="center" w:pos="4153"/>
        <w:tab w:val="right" w:pos="8306"/>
      </w:tabs>
      <w:snapToGrid w:val="0"/>
      <w:jc w:val="left"/>
    </w:pPr>
    <w:rPr>
      <w:sz w:val="18"/>
      <w:szCs w:val="18"/>
    </w:rPr>
  </w:style>
  <w:style w:type="paragraph" w:styleId="1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0"/>
    <w:pPr>
      <w:adjustRightInd w:val="0"/>
      <w:snapToGrid w:val="0"/>
      <w:spacing w:line="360" w:lineRule="auto"/>
      <w:jc w:val="left"/>
    </w:pPr>
    <w:rPr>
      <w:b/>
      <w:bCs/>
      <w:sz w:val="24"/>
      <w:szCs w:val="20"/>
    </w:rPr>
  </w:style>
  <w:style w:type="paragraph" w:styleId="15">
    <w:name w:val="toc 4"/>
    <w:basedOn w:val="1"/>
    <w:next w:val="1"/>
    <w:autoRedefine/>
    <w:qFormat/>
    <w:uiPriority w:val="0"/>
    <w:pPr>
      <w:ind w:left="630"/>
      <w:jc w:val="left"/>
    </w:pPr>
    <w:rPr>
      <w:sz w:val="20"/>
      <w:szCs w:val="20"/>
    </w:rPr>
  </w:style>
  <w:style w:type="paragraph" w:styleId="16">
    <w:name w:val="toc 6"/>
    <w:basedOn w:val="1"/>
    <w:next w:val="1"/>
    <w:autoRedefine/>
    <w:qFormat/>
    <w:uiPriority w:val="0"/>
    <w:pPr>
      <w:ind w:left="1050"/>
      <w:jc w:val="left"/>
    </w:pPr>
    <w:rPr>
      <w:sz w:val="20"/>
      <w:szCs w:val="20"/>
    </w:rPr>
  </w:style>
  <w:style w:type="paragraph" w:styleId="17">
    <w:name w:val="toc 2"/>
    <w:basedOn w:val="1"/>
    <w:next w:val="1"/>
    <w:qFormat/>
    <w:uiPriority w:val="0"/>
    <w:pPr>
      <w:adjustRightInd w:val="0"/>
      <w:snapToGrid w:val="0"/>
      <w:spacing w:line="360" w:lineRule="auto"/>
      <w:ind w:firstLine="200" w:firstLineChars="200"/>
      <w:jc w:val="left"/>
    </w:pPr>
    <w:rPr>
      <w:iCs/>
      <w:sz w:val="24"/>
      <w:szCs w:val="20"/>
    </w:rPr>
  </w:style>
  <w:style w:type="paragraph" w:styleId="18">
    <w:name w:val="toc 9"/>
    <w:basedOn w:val="1"/>
    <w:next w:val="1"/>
    <w:autoRedefine/>
    <w:qFormat/>
    <w:uiPriority w:val="0"/>
    <w:pPr>
      <w:ind w:left="1680"/>
      <w:jc w:val="left"/>
    </w:pPr>
    <w:rPr>
      <w:sz w:val="20"/>
      <w:szCs w:val="20"/>
    </w:rPr>
  </w:style>
  <w:style w:type="character" w:styleId="21">
    <w:name w:val="page number"/>
    <w:basedOn w:val="20"/>
    <w:qFormat/>
    <w:uiPriority w:val="0"/>
  </w:style>
  <w:style w:type="character" w:styleId="22">
    <w:name w:val="Hyperlink"/>
    <w:basedOn w:val="20"/>
    <w:qFormat/>
    <w:uiPriority w:val="0"/>
    <w:rPr>
      <w:color w:val="0000FF"/>
      <w:u w:val="single"/>
    </w:rPr>
  </w:style>
  <w:style w:type="character" w:customStyle="1" w:styleId="23">
    <w:name w:val="标题 4 Char"/>
    <w:basedOn w:val="20"/>
    <w:link w:val="5"/>
    <w:qFormat/>
    <w:uiPriority w:val="0"/>
    <w:rPr>
      <w:rFonts w:ascii="Cambria" w:hAnsi="Cambria"/>
      <w:b/>
      <w:bCs/>
      <w:kern w:val="2"/>
      <w:sz w:val="28"/>
      <w:szCs w:val="28"/>
    </w:rPr>
  </w:style>
  <w:style w:type="paragraph" w:styleId="24">
    <w:name w:val="No Spacing"/>
    <w:link w:val="25"/>
    <w:qFormat/>
    <w:uiPriority w:val="0"/>
    <w:pPr>
      <w:ind w:firstLine="200" w:firstLineChars="200"/>
    </w:pPr>
    <w:rPr>
      <w:rFonts w:ascii="Times New Roman" w:hAnsi="Times New Roman" w:eastAsia="仿宋_GB2312" w:cs="Times New Roman"/>
      <w:sz w:val="30"/>
      <w:szCs w:val="22"/>
      <w:lang w:val="en-US" w:eastAsia="zh-CN" w:bidi="ar-SA"/>
    </w:rPr>
  </w:style>
  <w:style w:type="character" w:customStyle="1" w:styleId="25">
    <w:name w:val="无间隔 Char"/>
    <w:link w:val="24"/>
    <w:qFormat/>
    <w:locked/>
    <w:uiPriority w:val="0"/>
    <w:rPr>
      <w:rFonts w:eastAsia="仿宋_GB2312"/>
      <w:sz w:val="30"/>
      <w:szCs w:val="22"/>
      <w:lang w:bidi="ar-SA"/>
    </w:rPr>
  </w:style>
  <w:style w:type="character" w:customStyle="1" w:styleId="26">
    <w:name w:val="页脚 Char"/>
    <w:basedOn w:val="20"/>
    <w:link w:val="12"/>
    <w:qFormat/>
    <w:uiPriority w:val="0"/>
    <w:rPr>
      <w:kern w:val="2"/>
      <w:sz w:val="18"/>
      <w:szCs w:val="18"/>
    </w:rPr>
  </w:style>
  <w:style w:type="paragraph" w:styleId="27">
    <w:name w:val="List Paragraph"/>
    <w:basedOn w:val="1"/>
    <w:qFormat/>
    <w:uiPriority w:val="0"/>
    <w:pPr>
      <w:ind w:firstLine="420" w:firstLineChars="200"/>
    </w:pPr>
  </w:style>
  <w:style w:type="character" w:customStyle="1" w:styleId="28">
    <w:name w:val="标题 3 Char"/>
    <w:basedOn w:val="20"/>
    <w:link w:val="4"/>
    <w:qFormat/>
    <w:uiPriority w:val="0"/>
    <w:rPr>
      <w:b/>
      <w:bCs/>
      <w:kern w:val="2"/>
      <w:sz w:val="32"/>
      <w:szCs w:val="32"/>
    </w:rPr>
  </w:style>
  <w:style w:type="paragraph" w:customStyle="1" w:styleId="29">
    <w:name w:val="MsoNormal"/>
    <w:basedOn w:val="1"/>
    <w:qFormat/>
    <w:uiPriority w:val="0"/>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7"/>
  </customShpExts>
</s:customData>
</file>

<file path=customXml/item2.xml><?xml version="1.0" encoding="utf-8"?>
<b:Sources xmlns:r="http://schemas.openxmlformats.org/officeDocument/2006/relationships" xmlns:w="http://schemas.openxmlformats.org/wordprocessingml/2006/main" xmlns:w15="http://schemas.microsoft.com/office/word/2012/wordml" xmlns:m="http://schemas.openxmlformats.org/officeDocument/2006/math" xmlns:w14="http://schemas.microsoft.com/office/word/2010/wordml" xmlns:wp="http://schemas.openxmlformats.org/drawingml/2006/wordprocessingDrawing" xmlns:a="http://schemas.openxmlformats.org/drawingml/2006/main"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SixthEditionOfficeOnline.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0FBB8C3-AB0F-4E54-B888-F65ACC039CAF}">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31</Pages>
  <Words>32</Words>
  <Characters>35</Characters>
  <Lines>1</Lines>
  <Paragraphs>1</Paragraphs>
  <TotalTime>68</TotalTime>
  <ScaleCrop>false</ScaleCrop>
  <LinksUpToDate>false</LinksUpToDate>
  <CharactersWithSpaces>36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2022-03-23T12:40:00Z</dcterms:created>
  <dc:creator>Administrator</dc:creator>
  <cp:lastModifiedBy>冯帅</cp:lastModifiedBy>
  <cp:lastPrinted>2021-04-16T00:45:00Z</cp:lastPrinted>
  <dcterms:modified xsi:type="dcterms:W3CDTF">2026-08-24T01:26:39Z</dcterms:modified>
  <dc:title>××年度××部门/单位</dc:title>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611238F30D8A411DBAB9B55681FC0BF8_12</vt:lpwstr>
  </property>
  <property fmtid="{D5CDD505-2E9C-101B-9397-08002B2CF9AE}" pid="3" name="KSOProductBuildVer">
    <vt:lpwstr>2052-12.1.0.28043</vt:lpwstr>
  </property>
  <property fmtid="{D5CDD505-2E9C-101B-9397-08002B2CF9AE}" pid="4" name="KSOTemplateDocerSaveRecord">
    <vt:lpwstr>eyJoZGlkIjoiZGQxMGQyODE1NzQ2ODExMDcyZGVmNDcxMWNkZTUzM2MiLCJ1c2VySWQiOiI0NTAyMzI2NDAifQ==</vt:lpwstr>
  </property>
</Properties>
</file>