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4F78F39E">
      <w:pPr>
        <w:keepNext/>
        <w:keepLines w:val="0"/>
        <w:widowControl/>
        <w:suppressLineNumbers w:val="0"/>
        <w:spacing w:before="0" w:beforeAutospacing="1" w:after="0" w:afterAutospacing="1"/>
        <w:ind w:left="198" w:right="0"/>
        <w:jc w:val="center"/>
        <w:rPr>
          <w:rFonts w:hint="eastAsia" w:ascii="方正小标宋简体" w:hAnsi="方正小标宋简体" w:eastAsia="方正小标宋简体" w:cs="方正小标宋简体"/>
          <w:kern w:val="0"/>
          <w:sz w:val="44"/>
          <w:szCs w:val="44"/>
          <w:lang w:bidi="ar"/>
        </w:rPr>
      </w:pPr>
      <w:r>
        <w:rPr>
          <w:rFonts w:hint="default" w:ascii="方正小标宋简体" w:hAnsi="方正小标宋简体" w:eastAsia="方正小标宋简体" w:cs="方正小标宋简体"/>
          <w:kern w:val="0"/>
          <w:sz w:val="44"/>
          <w:szCs w:val="44"/>
          <w:lang w:bidi="ar"/>
        </w:rPr>
        <w:t>2025</w:t>
      </w:r>
      <w:r>
        <w:rPr>
          <w:rFonts w:hint="eastAsia" w:ascii="方正小标宋简体" w:hAnsi="方正小标宋简体" w:eastAsia="方正小标宋简体" w:cs="方正小标宋简体"/>
          <w:kern w:val="0"/>
          <w:sz w:val="44"/>
          <w:szCs w:val="44"/>
          <w:lang w:bidi="ar"/>
        </w:rPr>
        <w:t>年度内蒙古自治区特种设备检验研究院</w:t>
      </w:r>
    </w:p>
    <w:p w14:paraId="77E6C3D2">
      <w:pPr>
        <w:keepNext/>
        <w:keepLines w:val="0"/>
        <w:widowControl/>
        <w:suppressLineNumbers w:val="0"/>
        <w:spacing w:before="0" w:beforeAutospacing="1" w:after="0" w:afterAutospacing="1"/>
        <w:ind w:left="198" w:right="0"/>
        <w:jc w:val="center"/>
        <w:rPr>
          <w:rFonts w:hint="default"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bidi="ar"/>
        </w:rPr>
        <w:t>兴安分院</w:t>
      </w:r>
      <w:r>
        <w:rPr>
          <w:rFonts w:hint="eastAsia" w:ascii="方正小标宋简体" w:hAnsi="方正小标宋简体" w:eastAsia="方正小标宋简体" w:cs="方正小标宋简体"/>
          <w:kern w:val="0"/>
          <w:sz w:val="44"/>
          <w:szCs w:val="44"/>
          <w:lang w:val="en-US" w:eastAsia="zh-CN" w:bidi="ar"/>
        </w:rPr>
        <w:t>决算</w:t>
      </w:r>
      <w:r>
        <w:rPr>
          <w:rFonts w:hint="eastAsia" w:ascii="方正小标宋简体" w:hAnsi="方正小标宋简体" w:eastAsia="方正小标宋简体" w:cs="方正小标宋简体"/>
          <w:kern w:val="0"/>
          <w:sz w:val="44"/>
          <w:szCs w:val="44"/>
          <w:lang w:bidi="ar"/>
        </w:rPr>
        <w:t>公开报告</w:t>
      </w:r>
    </w:p>
    <w:p w14:paraId="6AF33ABC">
      <w:pPr>
        <w:spacing w:line="360" w:lineRule="auto"/>
        <w:jc w:val="center"/>
        <w:rPr>
          <w:rFonts w:ascii="宋体" w:hAnsi="宋体"/>
          <w:b/>
          <w:bCs/>
          <w:sz w:val="52"/>
          <w:szCs w:val="52"/>
        </w:rPr>
      </w:pPr>
    </w:p>
    <w:p w14:paraId="10212A6C">
      <w:pPr>
        <w:spacing w:line="360" w:lineRule="auto"/>
        <w:jc w:val="center"/>
        <w:rPr>
          <w:rFonts w:ascii="宋体" w:hAnsi="宋体"/>
          <w:b/>
          <w:bCs/>
          <w:sz w:val="52"/>
          <w:szCs w:val="52"/>
        </w:rPr>
      </w:pPr>
    </w:p>
    <w:p w14:paraId="636528E7">
      <w:pPr>
        <w:spacing w:line="360" w:lineRule="auto"/>
        <w:jc w:val="center"/>
        <w:rPr>
          <w:rFonts w:ascii="宋体" w:hAnsi="宋体"/>
          <w:b/>
          <w:bCs/>
          <w:sz w:val="52"/>
          <w:szCs w:val="52"/>
        </w:rPr>
      </w:pPr>
    </w:p>
    <w:p w14:paraId="3ADF248C">
      <w:pPr>
        <w:spacing w:line="360" w:lineRule="auto"/>
        <w:jc w:val="center"/>
        <w:rPr>
          <w:rFonts w:ascii="宋体" w:hAnsi="宋体"/>
          <w:b/>
          <w:bCs/>
          <w:sz w:val="52"/>
          <w:szCs w:val="52"/>
        </w:rPr>
      </w:pPr>
    </w:p>
    <w:p w14:paraId="6C9B9DF2">
      <w:pPr>
        <w:spacing w:line="360" w:lineRule="auto"/>
        <w:ind w:left="0" w:leftChars="0" w:firstLine="1680" w:firstLineChars="525"/>
        <w:jc w:val="left"/>
        <w:rPr>
          <w:rFonts w:hint="eastAsia" w:ascii="宋体" w:hAnsi="宋体"/>
          <w:sz w:val="32"/>
          <w:szCs w:val="32"/>
        </w:rPr>
      </w:pPr>
      <w:r>
        <w:rPr>
          <w:rFonts w:hint="eastAsia" w:ascii="宋体" w:hAnsi="宋体"/>
          <w:sz w:val="32"/>
          <w:szCs w:val="32"/>
        </w:rPr>
        <w:t>单位名称</w:t>
      </w:r>
      <w:r>
        <w:rPr>
          <w:rFonts w:hint="eastAsia" w:ascii="宋体" w:hAnsi="宋体"/>
          <w:sz w:val="32"/>
          <w:szCs w:val="32"/>
          <w:lang w:val="en-US" w:eastAsia="zh-CN"/>
        </w:rPr>
        <w:t>:</w:t>
      </w:r>
      <w:r>
        <w:rPr>
          <w:rFonts w:hint="eastAsia" w:ascii="宋体" w:hAnsi="宋体"/>
          <w:sz w:val="32"/>
          <w:szCs w:val="32"/>
        </w:rPr>
        <w:t>内蒙古自治区特种设备检验研究院兴安分院</w:t>
      </w:r>
    </w:p>
    <w:p w14:paraId="29073C42">
      <w:pPr>
        <w:spacing w:line="360" w:lineRule="auto"/>
        <w:ind w:left="0" w:leftChars="0" w:firstLine="1680" w:firstLineChars="525"/>
        <w:jc w:val="left"/>
        <w:rPr>
          <w:rFonts w:hint="eastAsia" w:ascii="宋体" w:hAnsi="宋体" w:eastAsia="宋体"/>
          <w:sz w:val="32"/>
          <w:szCs w:val="32"/>
          <w:lang w:eastAsia="zh-CN"/>
        </w:rPr>
      </w:pPr>
      <w:r>
        <w:rPr>
          <w:rFonts w:hint="eastAsia" w:ascii="宋体" w:hAnsi="宋体"/>
          <w:sz w:val="32"/>
          <w:szCs w:val="32"/>
        </w:rPr>
        <w:t>单位负责人：</w:t>
      </w:r>
      <w:r>
        <w:rPr>
          <w:rFonts w:hint="eastAsia" w:ascii="宋体" w:hAnsi="宋体"/>
          <w:sz w:val="32"/>
          <w:szCs w:val="32"/>
          <w:lang w:val="en-US" w:eastAsia="zh-CN"/>
        </w:rPr>
        <w:t>李昱涵</w:t>
      </w:r>
    </w:p>
    <w:p w14:paraId="159F86D2">
      <w:pPr>
        <w:spacing w:line="360" w:lineRule="auto"/>
        <w:ind w:left="0" w:leftChars="0" w:firstLine="1680" w:firstLineChars="525"/>
        <w:jc w:val="left"/>
        <w:rPr>
          <w:rFonts w:hint="eastAsia" w:ascii="宋体" w:hAnsi="宋体" w:eastAsia="宋体"/>
          <w:sz w:val="32"/>
          <w:szCs w:val="32"/>
          <w:lang w:val="en-US" w:eastAsia="zh-CN"/>
        </w:rPr>
      </w:pPr>
      <w:r>
        <w:rPr>
          <w:rFonts w:hint="eastAsia" w:ascii="宋体" w:hAnsi="宋体"/>
          <w:sz w:val="32"/>
          <w:szCs w:val="32"/>
        </w:rPr>
        <w:t>财务负责人：</w:t>
      </w:r>
      <w:r>
        <w:rPr>
          <w:rFonts w:hint="eastAsia" w:ascii="宋体" w:hAnsi="宋体"/>
          <w:sz w:val="32"/>
          <w:szCs w:val="32"/>
          <w:lang w:val="en-US" w:eastAsia="zh-CN"/>
        </w:rPr>
        <w:t>邵志宏</w:t>
      </w:r>
    </w:p>
    <w:p w14:paraId="2403EDC6">
      <w:pPr>
        <w:spacing w:line="360" w:lineRule="auto"/>
        <w:ind w:left="0" w:leftChars="0" w:firstLine="1680" w:firstLineChars="525"/>
        <w:jc w:val="left"/>
        <w:rPr>
          <w:rFonts w:hint="eastAsia" w:ascii="宋体" w:hAnsi="宋体"/>
          <w:sz w:val="32"/>
          <w:szCs w:val="32"/>
          <w:lang w:val="en-US" w:eastAsia="zh-CN"/>
        </w:rPr>
      </w:pPr>
      <w:r>
        <w:rPr>
          <w:rFonts w:hint="eastAsia" w:ascii="宋体" w:hAnsi="宋体"/>
          <w:sz w:val="32"/>
          <w:szCs w:val="32"/>
        </w:rPr>
        <w:t>编制人：</w:t>
      </w:r>
      <w:r>
        <w:rPr>
          <w:rFonts w:hint="eastAsia" w:ascii="宋体" w:hAnsi="宋体"/>
          <w:sz w:val="32"/>
          <w:szCs w:val="32"/>
          <w:lang w:val="en-US" w:eastAsia="zh-CN"/>
        </w:rPr>
        <w:t>金圆圆</w:t>
      </w:r>
    </w:p>
    <w:p w14:paraId="1250C94A">
      <w:pPr>
        <w:spacing w:line="360" w:lineRule="auto"/>
        <w:ind w:left="0" w:leftChars="0" w:firstLine="1680" w:firstLineChars="525"/>
        <w:jc w:val="left"/>
        <w:rPr>
          <w:rFonts w:hint="default" w:ascii="仿宋" w:hAnsi="仿宋" w:eastAsia="仿宋"/>
          <w:b/>
          <w:sz w:val="32"/>
          <w:szCs w:val="32"/>
          <w:lang w:val="en-US"/>
        </w:rPr>
        <w:sectPr>
          <w:pgSz w:w="11906" w:h="16838"/>
          <w:pgMar w:top="1440" w:right="1083" w:bottom="1440" w:left="1083" w:header="0" w:footer="720" w:gutter="0"/>
          <w:cols w:space="425" w:num="1"/>
          <w:docGrid w:type="lines" w:linePitch="312" w:charSpace="0"/>
        </w:sectPr>
      </w:pPr>
      <w:r>
        <w:rPr>
          <w:rFonts w:hint="eastAsia" w:ascii="宋体" w:hAnsi="宋体"/>
          <w:sz w:val="32"/>
          <w:szCs w:val="32"/>
        </w:rPr>
        <w:t>报送日期：202</w:t>
      </w:r>
      <w:r>
        <w:rPr>
          <w:rFonts w:hint="eastAsia" w:ascii="宋体" w:hAnsi="宋体"/>
          <w:sz w:val="32"/>
          <w:szCs w:val="32"/>
          <w:lang w:val="en-US" w:eastAsia="zh-CN"/>
        </w:rPr>
        <w:t>6</w:t>
      </w:r>
      <w:r>
        <w:rPr>
          <w:rFonts w:hint="eastAsia" w:ascii="宋体" w:hAnsi="宋体"/>
          <w:sz w:val="32"/>
          <w:szCs w:val="32"/>
        </w:rPr>
        <w:t>年</w:t>
      </w:r>
      <w:r>
        <w:rPr>
          <w:rFonts w:hint="eastAsia" w:ascii="宋体" w:hAnsi="宋体"/>
          <w:sz w:val="32"/>
          <w:szCs w:val="32"/>
          <w:lang w:val="en-US" w:eastAsia="zh-CN"/>
        </w:rPr>
        <w:t>8月</w:t>
      </w:r>
    </w:p>
    <w:p w14:paraId="1C9A9517">
      <w:pPr>
        <w:pStyle w:val="28"/>
        <w:widowControl/>
        <w:spacing w:after="240"/>
        <w:jc w:val="center"/>
        <w:rPr>
          <w:rFonts w:ascii="Times New Roman" w:hAnsi="Times New Roman" w:eastAsia="Times New Roman" w:cs="Times New Roman"/>
          <w:kern w:val="0"/>
          <w:sz w:val="24"/>
        </w:rPr>
      </w:pPr>
      <w:bookmarkStart w:id="0" w:name="a000"/>
      <w:r>
        <w:rPr>
          <w:rFonts w:ascii="FangSong_GB2312" w:hAnsi="FangSong_GB2312" w:eastAsia="FangSong_GB2312" w:cs="FangSong_GB2312"/>
          <w:b/>
          <w:bCs/>
          <w:kern w:val="0"/>
          <w:sz w:val="48"/>
          <w:szCs w:val="48"/>
        </w:rPr>
        <w:t>目录</w:t>
      </w:r>
    </w:p>
    <w:p w14:paraId="3D4F34D8">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14:paraId="7B524311">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第一部分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单位概况</w:t>
      </w:r>
    </w:p>
    <w:p w14:paraId="27675E5D">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一、主要职能、职责</w:t>
      </w:r>
    </w:p>
    <w:p w14:paraId="7C46AD07">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二、单位机构设置及决算单位构成情况</w:t>
      </w:r>
    </w:p>
    <w:p w14:paraId="54C2E189">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w:t>
      </w:r>
      <w:r>
        <w:rPr>
          <w:rFonts w:eastAsia="Times New Roman"/>
          <w:kern w:val="0"/>
          <w:sz w:val="32"/>
          <w:szCs w:val="32"/>
          <w:lang w:eastAsia="en-US"/>
        </w:rPr>
        <w:t>2025</w:t>
      </w:r>
      <w:r>
        <w:rPr>
          <w:rFonts w:ascii="FangSong_GB2312" w:hAnsi="FangSong_GB2312" w:eastAsia="FangSong_GB2312" w:cs="FangSong_GB2312"/>
          <w:kern w:val="0"/>
          <w:sz w:val="32"/>
          <w:szCs w:val="32"/>
        </w:rPr>
        <w:t>年度单位主要工作完成情况</w:t>
      </w:r>
    </w:p>
    <w:p w14:paraId="00B2A2C9">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第二部分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单位决算情况说明</w:t>
      </w:r>
    </w:p>
    <w:p w14:paraId="3F4DCD1F">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一、收入支出决算总体情况说明</w:t>
      </w:r>
    </w:p>
    <w:p w14:paraId="15F5A19B">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二、收入决算情况说明</w:t>
      </w:r>
    </w:p>
    <w:p w14:paraId="289D0360">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三、支出决算情况说明</w:t>
      </w:r>
    </w:p>
    <w:p w14:paraId="50B2771E">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四、财政拨款收入支出决算总体情况说明</w:t>
      </w:r>
    </w:p>
    <w:p w14:paraId="239ACF55">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五、一般公共预算财政拨款支出决算情况说明</w:t>
      </w:r>
    </w:p>
    <w:p w14:paraId="27709987">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六、一般公共预算财政拨款基本支出决算情况说明</w:t>
      </w:r>
    </w:p>
    <w:p w14:paraId="78F7709E">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七、一般公共预算财政拨款项目支出决算情况说明</w:t>
      </w:r>
    </w:p>
    <w:p w14:paraId="4C12AB6C">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八、财政拨款“三公”经费支出决算情况说明</w:t>
      </w:r>
    </w:p>
    <w:p w14:paraId="30ACF554">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九、政府性基金预算财政拨款支出决算情况说明</w:t>
      </w:r>
    </w:p>
    <w:p w14:paraId="002195DE">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十、国有资本经营预算财政拨款支出决算情况说明</w:t>
      </w:r>
    </w:p>
    <w:p w14:paraId="071A3DC2">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十一、机关运行经费（公用经费）支出决算情况说明</w:t>
      </w:r>
    </w:p>
    <w:p w14:paraId="1EF7F8E2">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十二、政府采购支出决算情况说明</w:t>
      </w:r>
    </w:p>
    <w:p w14:paraId="47ACDC7A">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十三、国有资产占用情况说明</w:t>
      </w:r>
    </w:p>
    <w:p w14:paraId="0B5A41C0">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十四、预算绩效情况说明</w:t>
      </w:r>
    </w:p>
    <w:p w14:paraId="3F810D8A">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第三部分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名词解释</w:t>
      </w:r>
    </w:p>
    <w:p w14:paraId="1C062DB4">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第四部分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决算公开联系方式及信息反馈渠道</w:t>
      </w:r>
    </w:p>
    <w:p w14:paraId="68D6877D">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第五部分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单位决算表</w:t>
      </w:r>
    </w:p>
    <w:p w14:paraId="64E3E11C">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一、收入支出决算总表</w:t>
      </w:r>
    </w:p>
    <w:p w14:paraId="5012E07B">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二、收入决算表</w:t>
      </w:r>
    </w:p>
    <w:p w14:paraId="7AFAF8A2">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三、支出决算表</w:t>
      </w:r>
    </w:p>
    <w:p w14:paraId="57967F49">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四、财政拨款收入支出决算总表</w:t>
      </w:r>
    </w:p>
    <w:p w14:paraId="62EA3DA7">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五、一般公共预算财政拨款支出决算表</w:t>
      </w:r>
    </w:p>
    <w:p w14:paraId="51018AF7">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六、一般公共预算财政拨款基本支出决算明细表</w:t>
      </w:r>
    </w:p>
    <w:p w14:paraId="72B50957">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七、一般公共预算财政拨款项目支出决算明细表</w:t>
      </w:r>
    </w:p>
    <w:p w14:paraId="031BC0AC">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八、政府性基金预算财政拨款收入支出决算表</w:t>
      </w:r>
    </w:p>
    <w:p w14:paraId="41D6C1AD">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九、国有资本经营预算财政拨款收入支出决算表</w:t>
      </w:r>
    </w:p>
    <w:p w14:paraId="32FD4FBE">
      <w:pPr>
        <w:pStyle w:val="28"/>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十、财政拨款“三公”经费支出决算表</w:t>
      </w:r>
    </w:p>
    <w:p w14:paraId="67D3B985">
      <w:pPr>
        <w:pStyle w:val="28"/>
        <w:widowControl/>
        <w:spacing w:before="240" w:after="240" w:line="360" w:lineRule="auto"/>
        <w:jc w:val="left"/>
        <w:rPr>
          <w:rFonts w:ascii="FangSong_GB2312" w:hAnsi="FangSong_GB2312" w:eastAsia="FangSong_GB2312" w:cs="FangSong_GB2312"/>
          <w:kern w:val="0"/>
          <w:sz w:val="32"/>
          <w:szCs w:val="32"/>
        </w:rPr>
      </w:pPr>
      <w:r>
        <w:rPr>
          <w:rFonts w:ascii="FangSong_GB2312" w:hAnsi="FangSong_GB2312" w:eastAsia="FangSong_GB2312" w:cs="FangSong_GB2312"/>
          <w:kern w:val="0"/>
          <w:sz w:val="32"/>
          <w:szCs w:val="32"/>
        </w:rPr>
        <w:t>十一、机关运行经费支出、国有资产占用情况及政府采购支出信息表</w:t>
      </w:r>
    </w:p>
    <w:p w14:paraId="539B66F4">
      <w:pPr>
        <w:pStyle w:val="28"/>
        <w:widowControl/>
        <w:spacing w:before="240" w:after="240" w:line="360" w:lineRule="auto"/>
        <w:jc w:val="left"/>
        <w:rPr>
          <w:rFonts w:ascii="FangSong_GB2312" w:hAnsi="FangSong_GB2312" w:eastAsia="FangSong_GB2312" w:cs="FangSong_GB2312"/>
          <w:kern w:val="0"/>
          <w:sz w:val="32"/>
          <w:szCs w:val="32"/>
        </w:rPr>
      </w:pPr>
    </w:p>
    <w:p w14:paraId="015E476A">
      <w:pPr>
        <w:pStyle w:val="28"/>
        <w:widowControl/>
        <w:spacing w:before="240" w:after="240" w:line="360" w:lineRule="auto"/>
        <w:jc w:val="left"/>
        <w:rPr>
          <w:rFonts w:ascii="FangSong_GB2312" w:hAnsi="FangSong_GB2312" w:eastAsia="FangSong_GB2312" w:cs="FangSong_GB2312"/>
          <w:kern w:val="0"/>
          <w:sz w:val="32"/>
          <w:szCs w:val="32"/>
        </w:rPr>
      </w:pPr>
    </w:p>
    <w:p w14:paraId="2FF96750">
      <w:pPr>
        <w:pStyle w:val="28"/>
        <w:widowControl/>
        <w:spacing w:before="240" w:after="240" w:line="360" w:lineRule="auto"/>
        <w:jc w:val="left"/>
        <w:rPr>
          <w:rFonts w:ascii="FangSong_GB2312" w:hAnsi="FangSong_GB2312" w:eastAsia="FangSong_GB2312" w:cs="FangSong_GB2312"/>
          <w:kern w:val="0"/>
          <w:sz w:val="32"/>
          <w:szCs w:val="32"/>
        </w:rPr>
      </w:pPr>
    </w:p>
    <w:p w14:paraId="6DFE56E6">
      <w:pPr>
        <w:pStyle w:val="28"/>
        <w:widowControl/>
        <w:spacing w:before="240" w:after="240" w:line="360" w:lineRule="auto"/>
        <w:jc w:val="left"/>
        <w:rPr>
          <w:rFonts w:ascii="FangSong_GB2312" w:hAnsi="FangSong_GB2312" w:eastAsia="FangSong_GB2312" w:cs="FangSong_GB2312"/>
          <w:kern w:val="0"/>
          <w:sz w:val="32"/>
          <w:szCs w:val="32"/>
        </w:rPr>
      </w:pPr>
    </w:p>
    <w:p w14:paraId="7BCCC037">
      <w:pPr>
        <w:pStyle w:val="28"/>
        <w:widowControl/>
        <w:spacing w:before="240" w:after="240" w:line="360" w:lineRule="auto"/>
        <w:jc w:val="left"/>
        <w:rPr>
          <w:rFonts w:ascii="FangSong_GB2312" w:hAnsi="FangSong_GB2312" w:eastAsia="FangSong_GB2312" w:cs="FangSong_GB2312"/>
          <w:kern w:val="0"/>
          <w:sz w:val="32"/>
          <w:szCs w:val="32"/>
        </w:rPr>
      </w:pPr>
    </w:p>
    <w:p w14:paraId="52B82D16">
      <w:pPr>
        <w:pStyle w:val="28"/>
        <w:widowControl/>
        <w:spacing w:before="240" w:after="240" w:line="360" w:lineRule="auto"/>
        <w:jc w:val="left"/>
        <w:rPr>
          <w:rFonts w:ascii="FangSong_GB2312" w:hAnsi="FangSong_GB2312" w:eastAsia="FangSong_GB2312" w:cs="FangSong_GB2312"/>
          <w:kern w:val="0"/>
          <w:sz w:val="32"/>
          <w:szCs w:val="32"/>
        </w:rPr>
      </w:pPr>
    </w:p>
    <w:p w14:paraId="7E0B6D19">
      <w:pPr>
        <w:pStyle w:val="28"/>
        <w:widowControl/>
        <w:spacing w:before="240" w:after="240" w:line="360" w:lineRule="auto"/>
        <w:jc w:val="left"/>
        <w:rPr>
          <w:rFonts w:ascii="FangSong_GB2312" w:hAnsi="FangSong_GB2312" w:eastAsia="FangSong_GB2312" w:cs="FangSong_GB2312"/>
          <w:kern w:val="0"/>
          <w:sz w:val="32"/>
          <w:szCs w:val="32"/>
        </w:rPr>
      </w:pPr>
    </w:p>
    <w:p w14:paraId="07F66600">
      <w:pPr>
        <w:pStyle w:val="28"/>
        <w:widowControl/>
        <w:spacing w:before="240" w:after="240" w:line="360" w:lineRule="auto"/>
        <w:jc w:val="left"/>
        <w:rPr>
          <w:rFonts w:ascii="FangSong_GB2312" w:hAnsi="FangSong_GB2312" w:eastAsia="FangSong_GB2312" w:cs="FangSong_GB2312"/>
          <w:kern w:val="0"/>
          <w:sz w:val="32"/>
          <w:szCs w:val="32"/>
        </w:rPr>
      </w:pPr>
    </w:p>
    <w:p w14:paraId="60AF4384">
      <w:pPr>
        <w:pStyle w:val="28"/>
        <w:widowControl/>
        <w:spacing w:before="240" w:after="240" w:line="360" w:lineRule="auto"/>
        <w:jc w:val="left"/>
        <w:rPr>
          <w:rFonts w:ascii="FangSong_GB2312" w:hAnsi="FangSong_GB2312" w:eastAsia="FangSong_GB2312" w:cs="FangSong_GB2312"/>
          <w:kern w:val="0"/>
          <w:sz w:val="32"/>
          <w:szCs w:val="32"/>
        </w:rPr>
      </w:pPr>
    </w:p>
    <w:p w14:paraId="43379A54">
      <w:pPr>
        <w:pStyle w:val="28"/>
        <w:widowControl/>
        <w:spacing w:before="240" w:after="240" w:line="360" w:lineRule="auto"/>
        <w:jc w:val="left"/>
        <w:rPr>
          <w:rFonts w:ascii="FangSong_GB2312" w:hAnsi="FangSong_GB2312" w:eastAsia="FangSong_GB2312" w:cs="FangSong_GB2312"/>
          <w:kern w:val="0"/>
          <w:sz w:val="32"/>
          <w:szCs w:val="32"/>
        </w:rPr>
      </w:pPr>
    </w:p>
    <w:p w14:paraId="78147AB6">
      <w:pPr>
        <w:pStyle w:val="28"/>
        <w:widowControl/>
        <w:spacing w:before="240" w:after="240" w:line="360" w:lineRule="auto"/>
        <w:jc w:val="left"/>
        <w:rPr>
          <w:rFonts w:ascii="FangSong_GB2312" w:hAnsi="FangSong_GB2312" w:eastAsia="FangSong_GB2312" w:cs="FangSong_GB2312"/>
          <w:kern w:val="0"/>
          <w:sz w:val="32"/>
          <w:szCs w:val="32"/>
        </w:rPr>
      </w:pPr>
    </w:p>
    <w:p w14:paraId="7E6D43DE">
      <w:pPr>
        <w:pStyle w:val="28"/>
        <w:widowControl/>
        <w:spacing w:before="240" w:after="240" w:line="360" w:lineRule="auto"/>
        <w:jc w:val="left"/>
        <w:rPr>
          <w:rFonts w:ascii="FangSong_GB2312" w:hAnsi="FangSong_GB2312" w:eastAsia="FangSong_GB2312" w:cs="FangSong_GB2312"/>
          <w:kern w:val="0"/>
          <w:sz w:val="32"/>
          <w:szCs w:val="32"/>
        </w:rPr>
      </w:pPr>
    </w:p>
    <w:p w14:paraId="141934AD">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b w:val="0"/>
          <w:bCs w:val="0"/>
          <w:kern w:val="0"/>
          <w:sz w:val="36"/>
          <w:szCs w:val="36"/>
        </w:rPr>
        <w:t>第一部分</w:t>
      </w:r>
      <w:r>
        <w:rPr>
          <w:rFonts w:ascii="方正小标宋简体" w:hAnsi="方正小标宋简体" w:eastAsia="方正小标宋简体" w:cs="方正小标宋简体"/>
          <w:b w:val="0"/>
          <w:bCs w:val="0"/>
          <w:kern w:val="0"/>
          <w:sz w:val="36"/>
          <w:szCs w:val="36"/>
          <w:lang w:eastAsia="en-US"/>
        </w:rPr>
        <w:t xml:space="preserve">  </w:t>
      </w:r>
      <w:r>
        <w:rPr>
          <w:rFonts w:ascii="方正小标宋简体" w:hAnsi="方正小标宋简体" w:eastAsia="方正小标宋简体" w:cs="方正小标宋简体"/>
          <w:b w:val="0"/>
          <w:bCs w:val="0"/>
          <w:kern w:val="0"/>
          <w:sz w:val="36"/>
          <w:szCs w:val="36"/>
        </w:rPr>
        <w:t>单位概况</w:t>
      </w:r>
    </w:p>
    <w:p w14:paraId="67F783AA">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一、主要职能、职责</w:t>
      </w:r>
    </w:p>
    <w:p w14:paraId="005BBC9A">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内蒙古自治区特种设备检验研究院兴安分院是依据《特种设备安全法》、《特种设备检验检测机构管理规定》、《检验检测机构资质认定管理办法》及有关行政法规、安全技术规范和相关标准开展各类特种设备法定检验检测和委托检验检测工作，开展无损检测、安全附件校验、常压设备检验、钢结构检测、能效测试、煤质分析、理化试验，开展特种设备作业人员考试工作，开展授权工种项目职业技能鉴定工作，并承担相应业务咨询和技术服务。</w:t>
      </w:r>
    </w:p>
    <w:p w14:paraId="5599481C">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二、单位机构设置及决算单位构成情况</w:t>
      </w:r>
    </w:p>
    <w:p w14:paraId="65C43982">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1.根据单位职责分工，本单位内设机构包括</w:t>
      </w:r>
      <w:r>
        <w:rPr>
          <w:rFonts w:hint="eastAsia" w:ascii="Times New Roman" w:hAnsi="Times New Roman" w:eastAsia="仿宋_GB2312" w:cs="Times New Roman"/>
          <w:sz w:val="32"/>
          <w:szCs w:val="32"/>
          <w:u w:val="none"/>
          <w:lang w:val="en-US" w:eastAsia="zh-CN"/>
        </w:rPr>
        <w:t>综合管理部、党群工作部、业务管理部、锅炉检验部、容管检验部、机电检验部、培训考试部、气瓶检验部</w:t>
      </w:r>
      <w:r>
        <w:rPr>
          <w:rFonts w:hint="default" w:ascii="Times New Roman" w:hAnsi="Times New Roman" w:eastAsia="仿宋_GB2312" w:cs="Times New Roman"/>
          <w:sz w:val="32"/>
          <w:szCs w:val="32"/>
          <w:u w:val="none"/>
          <w:lang w:val="en-US" w:eastAsia="zh-CN"/>
        </w:rPr>
        <w:t>。本单位</w:t>
      </w:r>
      <w:r>
        <w:rPr>
          <w:rFonts w:hint="eastAsia" w:ascii="Times New Roman" w:hAnsi="Times New Roman" w:eastAsia="仿宋_GB2312" w:cs="Times New Roman"/>
          <w:sz w:val="32"/>
          <w:szCs w:val="32"/>
          <w:u w:val="none"/>
          <w:lang w:val="en-US" w:eastAsia="zh-CN"/>
        </w:rPr>
        <w:t>无</w:t>
      </w:r>
      <w:r>
        <w:rPr>
          <w:rFonts w:hint="default" w:ascii="Times New Roman" w:hAnsi="Times New Roman" w:eastAsia="仿宋_GB2312" w:cs="Times New Roman"/>
          <w:sz w:val="32"/>
          <w:szCs w:val="32"/>
          <w:u w:val="none"/>
          <w:lang w:val="en-US" w:eastAsia="zh-CN"/>
        </w:rPr>
        <w:t>下属单位</w:t>
      </w:r>
      <w:r>
        <w:rPr>
          <w:rFonts w:hint="eastAsia" w:ascii="Times New Roman" w:hAnsi="Times New Roman" w:eastAsia="仿宋_GB2312" w:cs="Times New Roman"/>
          <w:sz w:val="32"/>
          <w:szCs w:val="32"/>
          <w:u w:val="none"/>
          <w:lang w:val="en-US" w:eastAsia="zh-CN"/>
        </w:rPr>
        <w:t>。</w:t>
      </w:r>
    </w:p>
    <w:tbl>
      <w:tblPr>
        <w:tblStyle w:val="18"/>
        <w:tblpPr w:leftFromText="180" w:rightFromText="180" w:vertAnchor="text" w:horzAnchor="page" w:tblpX="149" w:tblpY="3133"/>
        <w:tblOverlap w:val="never"/>
        <w:tblW w:w="11790" w:type="dxa"/>
        <w:tblCellSpacing w:w="15" w:type="dxa"/>
        <w:tblInd w:w="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1371"/>
        <w:gridCol w:w="6809"/>
        <w:gridCol w:w="3610"/>
      </w:tblGrid>
      <w:tr w14:paraId="4EB714B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tblCellSpacing w:w="15" w:type="dxa"/>
        </w:trPr>
        <w:tc>
          <w:tcPr>
            <w:tcW w:w="132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5D3C74E8">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序号</w:t>
            </w:r>
          </w:p>
        </w:tc>
        <w:tc>
          <w:tcPr>
            <w:tcW w:w="6779"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578420E1">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单位名称</w:t>
            </w:r>
          </w:p>
        </w:tc>
        <w:tc>
          <w:tcPr>
            <w:tcW w:w="356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2D02DC27">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单位性质</w:t>
            </w:r>
          </w:p>
        </w:tc>
      </w:tr>
      <w:tr w14:paraId="3764235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trPr>
        <w:tc>
          <w:tcPr>
            <w:tcW w:w="132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4085ADFB">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1</w:t>
            </w:r>
          </w:p>
        </w:tc>
        <w:tc>
          <w:tcPr>
            <w:tcW w:w="6779"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53298F44">
            <w:pPr>
              <w:widowControl/>
              <w:jc w:val="left"/>
              <w:rPr>
                <w:rFonts w:hint="default" w:ascii="Times New Roman" w:hAnsi="Times New Roman" w:eastAsia="宋体" w:cs="Times New Roman"/>
                <w:b w:val="0"/>
                <w:bCs w:val="0"/>
                <w:i w:val="0"/>
                <w:iCs w:val="0"/>
                <w:smallCaps w:val="0"/>
                <w:color w:val="000000"/>
                <w:kern w:val="0"/>
                <w:sz w:val="24"/>
                <w:lang w:val="en-US" w:eastAsia="zh-CN"/>
              </w:rPr>
            </w:pPr>
            <w:r>
              <w:rPr>
                <w:rFonts w:hint="eastAsia" w:cs="Times New Roman"/>
                <w:b w:val="0"/>
                <w:bCs w:val="0"/>
                <w:i w:val="0"/>
                <w:iCs w:val="0"/>
                <w:smallCaps w:val="0"/>
                <w:color w:val="000000"/>
                <w:kern w:val="0"/>
                <w:sz w:val="24"/>
                <w:lang w:val="en-US" w:eastAsia="zh-CN"/>
              </w:rPr>
              <w:t>内蒙古自治区特种设备检验研究院兴安分院</w:t>
            </w:r>
          </w:p>
        </w:tc>
        <w:tc>
          <w:tcPr>
            <w:tcW w:w="356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23275FE1">
            <w:pPr>
              <w:widowControl/>
              <w:jc w:val="left"/>
              <w:rPr>
                <w:rFonts w:hint="eastAsia" w:ascii="Times New Roman" w:hAnsi="Times New Roman" w:eastAsia="宋体" w:cs="Times New Roman"/>
                <w:b w:val="0"/>
                <w:bCs w:val="0"/>
                <w:i w:val="0"/>
                <w:iCs w:val="0"/>
                <w:smallCaps w:val="0"/>
                <w:color w:val="000000"/>
                <w:kern w:val="0"/>
                <w:sz w:val="24"/>
                <w:lang w:val="en-US" w:eastAsia="zh-CN"/>
              </w:rPr>
            </w:pPr>
            <w:r>
              <w:rPr>
                <w:rFonts w:hint="eastAsia" w:cs="Times New Roman"/>
                <w:b w:val="0"/>
                <w:bCs w:val="0"/>
                <w:i w:val="0"/>
                <w:iCs w:val="0"/>
                <w:smallCaps w:val="0"/>
                <w:color w:val="000000"/>
                <w:kern w:val="0"/>
                <w:sz w:val="24"/>
                <w:lang w:val="en-US" w:eastAsia="zh-CN"/>
              </w:rPr>
              <w:t>公益二类事业单位</w:t>
            </w:r>
          </w:p>
        </w:tc>
      </w:tr>
    </w:tbl>
    <w:p w14:paraId="7584C977">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2.从决算单位构成看，纳入本单位决算编制范围的预算单位共计</w:t>
      </w:r>
      <w:r>
        <w:rPr>
          <w:rFonts w:hint="eastAsia" w:ascii="Times New Roman" w:hAnsi="Times New Roman" w:eastAsia="仿宋_GB2312" w:cs="Times New Roman"/>
          <w:sz w:val="32"/>
          <w:szCs w:val="32"/>
          <w:u w:val="none"/>
          <w:lang w:val="en-US" w:eastAsia="zh-CN"/>
        </w:rPr>
        <w:t>1</w:t>
      </w:r>
      <w:r>
        <w:rPr>
          <w:rFonts w:hint="default" w:ascii="Times New Roman" w:hAnsi="Times New Roman" w:eastAsia="仿宋_GB2312" w:cs="Times New Roman"/>
          <w:sz w:val="32"/>
          <w:szCs w:val="32"/>
          <w:u w:val="none"/>
          <w:lang w:val="en-US" w:eastAsia="zh-CN"/>
        </w:rPr>
        <w:t>家，具体包括：</w:t>
      </w:r>
      <w:r>
        <w:rPr>
          <w:rFonts w:hint="eastAsia" w:ascii="Times New Roman" w:hAnsi="Times New Roman" w:eastAsia="仿宋_GB2312" w:cs="Times New Roman"/>
          <w:sz w:val="32"/>
          <w:szCs w:val="32"/>
          <w:u w:val="none"/>
          <w:lang w:val="en-US" w:eastAsia="zh-CN"/>
        </w:rPr>
        <w:t>内蒙古自治区特种设备检验研究院兴安分院</w:t>
      </w:r>
      <w:r>
        <w:rPr>
          <w:rFonts w:hint="default" w:ascii="Times New Roman" w:hAnsi="Times New Roman" w:eastAsia="仿宋_GB2312" w:cs="Times New Roman"/>
          <w:sz w:val="32"/>
          <w:szCs w:val="32"/>
          <w:u w:val="none"/>
          <w:lang w:val="en-US" w:eastAsia="zh-CN"/>
        </w:rPr>
        <w:t>。详细情况见表：</w:t>
      </w:r>
    </w:p>
    <w:p w14:paraId="1003BC34">
      <w:pPr>
        <w:pStyle w:val="28"/>
        <w:widowControl/>
        <w:spacing w:before="240" w:after="240" w:line="600" w:lineRule="atLeast"/>
        <w:jc w:val="left"/>
        <w:rPr>
          <w:rFonts w:ascii="Times New Roman" w:hAnsi="Times New Roman" w:eastAsia="Times New Roman" w:cs="Times New Roman"/>
          <w:kern w:val="0"/>
          <w:sz w:val="24"/>
        </w:rPr>
      </w:pPr>
    </w:p>
    <w:p w14:paraId="79C21D93">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w:t>
      </w:r>
      <w:r>
        <w:rPr>
          <w:rFonts w:eastAsia="Times New Roman"/>
          <w:b/>
          <w:bCs/>
          <w:kern w:val="0"/>
          <w:sz w:val="32"/>
          <w:szCs w:val="32"/>
          <w:lang w:eastAsia="en-US"/>
        </w:rPr>
        <w:t>2025</w:t>
      </w:r>
      <w:r>
        <w:rPr>
          <w:rFonts w:ascii="黑体" w:hAnsi="黑体" w:eastAsia="黑体" w:cs="黑体"/>
          <w:b/>
          <w:bCs/>
          <w:kern w:val="0"/>
          <w:sz w:val="32"/>
          <w:szCs w:val="32"/>
        </w:rPr>
        <w:t>年度单位主要工作完成情况</w:t>
      </w:r>
    </w:p>
    <w:p w14:paraId="1FA23982">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firstLine="640" w:firstLineChars="200"/>
        <w:jc w:val="both"/>
        <w:textAlignment w:val="auto"/>
        <w:rPr>
          <w:rFonts w:hint="eastAsia" w:ascii="Times New Roman" w:hAnsi="Times New Roman" w:eastAsia="仿宋_GB2312" w:cs="Times New Roman"/>
          <w:sz w:val="32"/>
          <w:szCs w:val="32"/>
          <w:u w:val="none"/>
          <w:lang w:val="en-US" w:eastAsia="zh-CN"/>
        </w:rPr>
      </w:pPr>
      <w:bookmarkStart w:id="1" w:name="OLE_LINK13"/>
      <w:bookmarkStart w:id="2" w:name="OLE_LINK1"/>
      <w:bookmarkStart w:id="3" w:name="OLE_LINK3"/>
      <w:bookmarkStart w:id="4" w:name="OLE_LINK2"/>
      <w:r>
        <w:rPr>
          <w:rFonts w:hint="eastAsia" w:ascii="Times New Roman" w:hAnsi="Times New Roman" w:eastAsia="仿宋_GB2312" w:cs="Times New Roman"/>
          <w:sz w:val="32"/>
          <w:szCs w:val="32"/>
          <w:u w:val="none"/>
          <w:lang w:val="en-US" w:eastAsia="zh-CN"/>
        </w:rPr>
        <w:t>截止2025年12月31日</w:t>
      </w:r>
      <w:bookmarkEnd w:id="1"/>
      <w:bookmarkEnd w:id="2"/>
      <w:bookmarkEnd w:id="3"/>
      <w:bookmarkEnd w:id="4"/>
      <w:r>
        <w:rPr>
          <w:rFonts w:hint="eastAsia" w:ascii="Times New Roman" w:hAnsi="Times New Roman" w:eastAsia="仿宋_GB2312" w:cs="Times New Roman"/>
          <w:sz w:val="32"/>
          <w:szCs w:val="32"/>
          <w:u w:val="none"/>
          <w:lang w:val="en-US" w:eastAsia="zh-CN"/>
        </w:rPr>
        <w:t>配合监察部门开展管道整治检验与特种设备安全检查工作，排查出问题企业13家，问题管道1341条，总长58.65公里，针对2家重点企业无法停产检验的情况，通过实施在线检验推进整治工作，充分用足用活相关政策。全年共举办各类培训及能力提升班133期，培训、复审、考试各类人员6535人。</w:t>
      </w:r>
      <w:bookmarkStart w:id="5" w:name="OLE_LINK4"/>
      <w:r>
        <w:rPr>
          <w:rFonts w:hint="eastAsia" w:ascii="Times New Roman" w:hAnsi="Times New Roman" w:eastAsia="仿宋_GB2312" w:cs="Times New Roman"/>
          <w:sz w:val="32"/>
          <w:szCs w:val="32"/>
          <w:u w:val="none"/>
          <w:lang w:val="en-US" w:eastAsia="zh-CN"/>
        </w:rPr>
        <w:t>积极开展驻企行动，持续深化“送培训进企业”，提供上门服务，解企业难题，获得企业赠送锦旗</w:t>
      </w:r>
      <w:bookmarkEnd w:id="5"/>
      <w:r>
        <w:rPr>
          <w:rFonts w:hint="eastAsia" w:ascii="Times New Roman" w:hAnsi="Times New Roman" w:eastAsia="仿宋_GB2312" w:cs="Times New Roman"/>
          <w:sz w:val="32"/>
          <w:szCs w:val="32"/>
          <w:u w:val="none"/>
          <w:lang w:val="en-US" w:eastAsia="zh-CN"/>
        </w:rPr>
        <w:t>。</w:t>
      </w:r>
    </w:p>
    <w:p w14:paraId="17DAE9A3">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2025年财政预算收入1852.36万元，现已完成2207.26万元，其中非税收入833.07万元，经营性收入1374.19万元。</w:t>
      </w:r>
    </w:p>
    <w:p w14:paraId="17866E34">
      <w:pPr>
        <w:widowControl/>
        <w:spacing w:before="240" w:after="240"/>
        <w:jc w:val="left"/>
        <w:rPr>
          <w:rFonts w:ascii="Times New Roman" w:hAnsi="Times New Roman" w:eastAsia="Times New Roman" w:cs="Times New Roman"/>
          <w:kern w:val="0"/>
          <w:sz w:val="24"/>
        </w:rPr>
      </w:pPr>
    </w:p>
    <w:p w14:paraId="4E75ACC7">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第二部分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单位决算情况说明</w:t>
      </w:r>
    </w:p>
    <w:p w14:paraId="5113F441">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一、收入支出决算总体情况说明</w:t>
      </w:r>
    </w:p>
    <w:p w14:paraId="0F7B45F2">
      <w:pPr>
        <w:pStyle w:val="28"/>
        <w:widowControl/>
        <w:spacing w:before="240" w:after="240" w:line="560" w:lineRule="atLeast"/>
        <w:ind w:firstLine="640"/>
        <w:jc w:val="left"/>
        <w:rPr>
          <w:rFonts w:hint="default" w:ascii="Times New Roman" w:hAnsi="Times New Roman" w:eastAsia="Times New Roman" w:cs="Times New Roman"/>
          <w:color w:val="auto"/>
          <w:kern w:val="0"/>
          <w:sz w:val="24"/>
          <w:lang w:val="en-US"/>
        </w:rPr>
      </w:pPr>
      <w:r>
        <w:rPr>
          <w:rFonts w:ascii="FangSong_GB2312" w:hAnsi="FangSong_GB2312" w:eastAsia="FangSong_GB2312" w:cs="FangSong_GB2312"/>
          <w:kern w:val="0"/>
          <w:sz w:val="32"/>
          <w:szCs w:val="32"/>
        </w:rPr>
        <w:t xml:space="preserve">内蒙古自治区特种设备检验研究院兴安分院 </w:t>
      </w:r>
      <w:r>
        <w:rPr>
          <w:rFonts w:eastAsia="Times New Roman"/>
          <w:kern w:val="0"/>
          <w:sz w:val="32"/>
          <w:szCs w:val="32"/>
          <w:lang w:eastAsia="en-US"/>
        </w:rPr>
        <w:t>2025</w:t>
      </w:r>
      <w:r>
        <w:rPr>
          <w:rFonts w:ascii="FangSong_GB2312" w:hAnsi="FangSong_GB2312" w:eastAsia="FangSong_GB2312" w:cs="FangSong_GB2312"/>
          <w:kern w:val="0"/>
          <w:sz w:val="32"/>
          <w:szCs w:val="32"/>
        </w:rPr>
        <w:t>年度收入、支出决算总计均为</w:t>
      </w:r>
      <w:r>
        <w:rPr>
          <w:rFonts w:eastAsia="Times New Roman"/>
          <w:kern w:val="0"/>
          <w:sz w:val="32"/>
          <w:szCs w:val="32"/>
          <w:u w:val="single"/>
          <w:lang w:eastAsia="en-US"/>
        </w:rPr>
        <w:t xml:space="preserve"> 2440.25</w:t>
      </w:r>
      <w:r>
        <w:rPr>
          <w:rFonts w:ascii="FangSong_GB2312" w:hAnsi="FangSong_GB2312" w:eastAsia="FangSong_GB2312" w:cs="FangSong_GB2312"/>
          <w:kern w:val="0"/>
          <w:sz w:val="32"/>
          <w:szCs w:val="32"/>
        </w:rPr>
        <w:t>万元。与年初预算相比，收、支总计各减少</w:t>
      </w:r>
      <w:r>
        <w:rPr>
          <w:rFonts w:eastAsia="Times New Roman"/>
          <w:kern w:val="0"/>
          <w:sz w:val="32"/>
          <w:szCs w:val="32"/>
          <w:u w:val="single"/>
          <w:lang w:eastAsia="en-US"/>
        </w:rPr>
        <w:t xml:space="preserve"> 375.00</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 xml:space="preserve"> -13.32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仿宋_GB2312" w:hAnsi="仿宋_GB2312" w:eastAsia="仿宋_GB2312" w:cs="仿宋_GB2312"/>
          <w:sz w:val="32"/>
          <w:szCs w:val="32"/>
          <w:u w:val="none"/>
          <w:lang w:val="en-US" w:eastAsia="zh-CN"/>
        </w:rPr>
        <w:t>我院年初一般公共预算财政拨款收入预算数为1037.90万元，决算数为1066.07万元，增加28.17万元，原因为本年度我院追加人员经费28.17万元；经营收入预算为1027.36万元，本年度决算数为1374.19万元；2025年度预算中上年结转结余750.00万元，年末决算未使用非财政拨款结余，因而与2025年度年初预算相比，收、支总计各减少375.00万元。</w:t>
      </w:r>
      <w:r>
        <w:rPr>
          <w:rFonts w:ascii="FangSong_GB2312" w:hAnsi="FangSong_GB2312" w:eastAsia="FangSong_GB2312" w:cs="FangSong_GB2312"/>
          <w:color w:val="auto"/>
          <w:kern w:val="0"/>
          <w:sz w:val="32"/>
          <w:szCs w:val="32"/>
        </w:rPr>
        <w:t>与上年决算相比，收、支总计各减少</w:t>
      </w:r>
      <w:r>
        <w:rPr>
          <w:rFonts w:eastAsia="Times New Roman"/>
          <w:color w:val="auto"/>
          <w:kern w:val="0"/>
          <w:sz w:val="32"/>
          <w:szCs w:val="32"/>
          <w:u w:val="single"/>
          <w:lang w:eastAsia="en-US"/>
        </w:rPr>
        <w:t>55.75</w:t>
      </w:r>
      <w:r>
        <w:rPr>
          <w:rFonts w:ascii="FangSong_GB2312" w:hAnsi="FangSong_GB2312" w:eastAsia="FangSong_GB2312" w:cs="FangSong_GB2312"/>
          <w:color w:val="auto"/>
          <w:kern w:val="0"/>
          <w:sz w:val="32"/>
          <w:szCs w:val="32"/>
        </w:rPr>
        <w:t>万元，下降</w:t>
      </w:r>
      <w:r>
        <w:rPr>
          <w:rFonts w:eastAsia="Times New Roman"/>
          <w:color w:val="auto"/>
          <w:kern w:val="0"/>
          <w:sz w:val="32"/>
          <w:szCs w:val="32"/>
          <w:u w:val="single"/>
          <w:lang w:eastAsia="en-US"/>
        </w:rPr>
        <w:t xml:space="preserve"> 2.23</w:t>
      </w:r>
      <w:r>
        <w:rPr>
          <w:rFonts w:ascii="FangSong_GB2312" w:hAnsi="FangSong_GB2312" w:eastAsia="FangSong_GB2312" w:cs="FangSong_GB2312"/>
          <w:color w:val="auto"/>
          <w:kern w:val="0"/>
          <w:sz w:val="32"/>
          <w:szCs w:val="32"/>
          <w:lang w:eastAsia="en-US"/>
        </w:rPr>
        <w:t>%</w:t>
      </w:r>
      <w:r>
        <w:rPr>
          <w:rFonts w:ascii="FangSong_GB2312" w:hAnsi="FangSong_GB2312" w:eastAsia="FangSong_GB2312" w:cs="FangSong_GB2312"/>
          <w:color w:val="auto"/>
          <w:kern w:val="0"/>
          <w:sz w:val="32"/>
          <w:szCs w:val="32"/>
        </w:rPr>
        <w:t>。其中：</w:t>
      </w:r>
      <w:r>
        <w:rPr>
          <w:rFonts w:hint="eastAsia" w:ascii="仿宋_GB2312" w:hAnsi="仿宋_GB2312" w:eastAsia="仿宋_GB2312" w:cs="仿宋_GB2312"/>
          <w:color w:val="auto"/>
          <w:sz w:val="32"/>
          <w:szCs w:val="32"/>
          <w:u w:val="none"/>
          <w:lang w:val="en-US" w:eastAsia="zh-CN"/>
        </w:rPr>
        <w:t>一般公共预算财政拨款收入比上一年度减少170.12万元，经营收入比上一年度增加295.93万元，本年度使用非财政拨款结余0万元，上年度使用非财政拨款结余181.56万元，因而本年度收、支总计比上一年度减少55.75万元。</w:t>
      </w:r>
    </w:p>
    <w:p w14:paraId="4E5C0BCE">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（一）收入决算总计</w:t>
      </w:r>
      <w:r>
        <w:rPr>
          <w:rFonts w:eastAsia="Times New Roman"/>
          <w:b/>
          <w:bCs/>
          <w:kern w:val="0"/>
          <w:sz w:val="32"/>
          <w:szCs w:val="32"/>
          <w:u w:val="single"/>
          <w:lang w:eastAsia="en-US"/>
        </w:rPr>
        <w:t xml:space="preserve"> 2440.25</w:t>
      </w:r>
      <w:r>
        <w:rPr>
          <w:rFonts w:ascii="楷体" w:hAnsi="楷体" w:eastAsia="楷体" w:cs="楷体"/>
          <w:b/>
          <w:bCs/>
          <w:kern w:val="0"/>
          <w:sz w:val="32"/>
          <w:szCs w:val="32"/>
        </w:rPr>
        <w:t>万元。包括：</w:t>
      </w:r>
    </w:p>
    <w:p w14:paraId="1921F1C5">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firstLine="640" w:firstLineChars="200"/>
        <w:jc w:val="both"/>
        <w:textAlignment w:val="auto"/>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本年收入决算合计</w:t>
      </w:r>
      <w:r>
        <w:rPr>
          <w:rFonts w:eastAsia="Times New Roman"/>
          <w:kern w:val="0"/>
          <w:sz w:val="32"/>
          <w:szCs w:val="32"/>
          <w:u w:val="single"/>
          <w:lang w:eastAsia="en-US"/>
        </w:rPr>
        <w:t xml:space="preserve"> 2440.25</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 xml:space="preserve"> 125.80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5.44</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Times New Roman" w:hAnsi="Times New Roman" w:eastAsia="仿宋_GB2312" w:cs="Times New Roman"/>
          <w:sz w:val="32"/>
          <w:szCs w:val="32"/>
          <w:u w:val="none"/>
          <w:lang w:val="en-US" w:eastAsia="zh-CN"/>
        </w:rPr>
        <w:t>我院上年一般公共预算财政拨款收入决算数为1236.19万元，本年决算数为1066.07万元，减少170.12万元；上年经营收入决算数为1078.26万元，本年度决算数为1374.19万元，增加295.93万元，因而与上年决算相比，收入总计增加125.80万元。</w:t>
      </w:r>
    </w:p>
    <w:p w14:paraId="51510705">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使用非财政拨款结余（含专用结余）</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万元。与上年决算相比，减少</w:t>
      </w:r>
      <w:r>
        <w:rPr>
          <w:rFonts w:eastAsia="Times New Roman"/>
          <w:kern w:val="0"/>
          <w:sz w:val="32"/>
          <w:szCs w:val="32"/>
          <w:u w:val="single"/>
          <w:lang w:eastAsia="en-US"/>
        </w:rPr>
        <w:t>181.56</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w:t>
      </w:r>
      <w:r>
        <w:rPr>
          <w:rFonts w:hint="eastAsia" w:ascii="FangSong_GB2312" w:hAnsi="FangSong_GB2312" w:eastAsia="FangSong_GB2312" w:cs="FangSong_GB2312"/>
          <w:kern w:val="0"/>
          <w:sz w:val="32"/>
          <w:szCs w:val="32"/>
          <w:lang w:val="en-US" w:eastAsia="zh-CN"/>
        </w:rPr>
        <w:t>本年度我经营收入增加，未使用非财政拨款结余</w:t>
      </w:r>
      <w:r>
        <w:rPr>
          <w:rFonts w:ascii="FangSong_GB2312" w:hAnsi="FangSong_GB2312" w:eastAsia="FangSong_GB2312" w:cs="FangSong_GB2312"/>
          <w:kern w:val="0"/>
          <w:sz w:val="32"/>
          <w:szCs w:val="32"/>
        </w:rPr>
        <w:t>。</w:t>
      </w:r>
    </w:p>
    <w:p w14:paraId="0F6A7426">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年初结转和结余</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万元。与上年决算相比，</w:t>
      </w:r>
      <w:r>
        <w:rPr>
          <w:rFonts w:hint="eastAsia" w:ascii="FangSong_GB2312" w:hAnsi="FangSong_GB2312" w:eastAsia="FangSong_GB2312" w:cs="FangSong_GB2312"/>
          <w:kern w:val="0"/>
          <w:sz w:val="32"/>
          <w:szCs w:val="32"/>
          <w:lang w:val="en-US" w:eastAsia="zh-CN"/>
        </w:rPr>
        <w:t>无变动</w:t>
      </w:r>
      <w:r>
        <w:rPr>
          <w:rFonts w:ascii="FangSong_GB2312" w:hAnsi="FangSong_GB2312" w:eastAsia="FangSong_GB2312" w:cs="FangSong_GB2312"/>
          <w:kern w:val="0"/>
          <w:sz w:val="32"/>
          <w:szCs w:val="32"/>
        </w:rPr>
        <w:t>。</w:t>
      </w:r>
    </w:p>
    <w:p w14:paraId="76C46C05">
      <w:pPr>
        <w:pStyle w:val="28"/>
        <w:widowControl/>
        <w:spacing w:before="240" w:after="240" w:line="560" w:lineRule="atLeast"/>
        <w:ind w:firstLine="643"/>
        <w:jc w:val="left"/>
        <w:rPr>
          <w:rFonts w:ascii="Times New Roman" w:hAnsi="Times New Roman" w:eastAsia="Times New Roman" w:cs="Times New Roman"/>
          <w:color w:val="FF0000"/>
          <w:kern w:val="0"/>
          <w:sz w:val="24"/>
        </w:rPr>
      </w:pPr>
      <w:r>
        <w:rPr>
          <w:rFonts w:ascii="楷体" w:hAnsi="楷体" w:eastAsia="楷体" w:cs="楷体"/>
          <w:b/>
          <w:bCs/>
          <w:color w:val="auto"/>
          <w:kern w:val="0"/>
          <w:sz w:val="32"/>
          <w:szCs w:val="32"/>
        </w:rPr>
        <w:t>（二）支出决算总计</w:t>
      </w:r>
      <w:r>
        <w:rPr>
          <w:rFonts w:eastAsia="Times New Roman"/>
          <w:b/>
          <w:bCs/>
          <w:color w:val="auto"/>
          <w:kern w:val="0"/>
          <w:sz w:val="32"/>
          <w:szCs w:val="32"/>
          <w:u w:val="single"/>
          <w:lang w:eastAsia="en-US"/>
        </w:rPr>
        <w:t xml:space="preserve"> 2440.25</w:t>
      </w:r>
      <w:r>
        <w:rPr>
          <w:rFonts w:ascii="楷体" w:hAnsi="楷体" w:eastAsia="楷体" w:cs="楷体"/>
          <w:b/>
          <w:bCs/>
          <w:color w:val="auto"/>
          <w:kern w:val="0"/>
          <w:sz w:val="32"/>
          <w:szCs w:val="32"/>
        </w:rPr>
        <w:t>万元。包括：</w:t>
      </w:r>
    </w:p>
    <w:p w14:paraId="2867FD3E">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本年支出决算合计</w:t>
      </w:r>
      <w:r>
        <w:rPr>
          <w:rFonts w:eastAsia="Times New Roman"/>
          <w:kern w:val="0"/>
          <w:sz w:val="32"/>
          <w:szCs w:val="32"/>
          <w:u w:val="single"/>
          <w:lang w:eastAsia="en-US"/>
        </w:rPr>
        <w:t xml:space="preserve"> 2332.97</w:t>
      </w:r>
      <w:r>
        <w:rPr>
          <w:rFonts w:ascii="FangSong_GB2312" w:hAnsi="FangSong_GB2312" w:eastAsia="FangSong_GB2312" w:cs="FangSong_GB2312"/>
          <w:kern w:val="0"/>
          <w:sz w:val="32"/>
          <w:szCs w:val="32"/>
        </w:rPr>
        <w:t>万元。与上年决算相比，减少</w:t>
      </w:r>
      <w:r>
        <w:rPr>
          <w:rFonts w:eastAsia="Times New Roman"/>
          <w:kern w:val="0"/>
          <w:sz w:val="32"/>
          <w:szCs w:val="32"/>
          <w:u w:val="single"/>
          <w:lang w:eastAsia="en-US"/>
        </w:rPr>
        <w:t>163.04</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 xml:space="preserve"> 6.53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我院本年度购买检验设备较上一年度大幅减少，因而支出决算合计下降。</w:t>
      </w:r>
    </w:p>
    <w:p w14:paraId="2A1F4052">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结余分配</w:t>
      </w:r>
      <w:r>
        <w:rPr>
          <w:rFonts w:eastAsia="Times New Roman"/>
          <w:kern w:val="0"/>
          <w:sz w:val="32"/>
          <w:szCs w:val="32"/>
          <w:u w:val="single"/>
          <w:lang w:eastAsia="en-US"/>
        </w:rPr>
        <w:t xml:space="preserve"> 107.28</w:t>
      </w:r>
      <w:r>
        <w:rPr>
          <w:rFonts w:ascii="FangSong_GB2312" w:hAnsi="FangSong_GB2312" w:eastAsia="FangSong_GB2312" w:cs="FangSong_GB2312"/>
          <w:kern w:val="0"/>
          <w:sz w:val="32"/>
          <w:szCs w:val="32"/>
        </w:rPr>
        <w:t>万元。结余分配事项：</w:t>
      </w:r>
      <w:r>
        <w:rPr>
          <w:rFonts w:hint="eastAsia" w:ascii="FangSong_GB2312" w:hAnsi="FangSong_GB2312" w:eastAsia="FangSong_GB2312" w:cs="FangSong_GB2312"/>
          <w:kern w:val="0"/>
          <w:sz w:val="32"/>
          <w:szCs w:val="32"/>
          <w:lang w:val="en-US" w:eastAsia="zh-CN"/>
        </w:rPr>
        <w:t>经营收支结余转入结余分配</w:t>
      </w:r>
      <w:r>
        <w:rPr>
          <w:rFonts w:ascii="FangSong_GB2312" w:hAnsi="FangSong_GB2312" w:eastAsia="FangSong_GB2312" w:cs="FangSong_GB2312"/>
          <w:kern w:val="0"/>
          <w:sz w:val="32"/>
          <w:szCs w:val="32"/>
        </w:rPr>
        <w:t>。与上年决算相比，增加</w:t>
      </w:r>
      <w:r>
        <w:rPr>
          <w:rFonts w:eastAsia="Times New Roman"/>
          <w:kern w:val="0"/>
          <w:sz w:val="32"/>
          <w:szCs w:val="32"/>
          <w:u w:val="single"/>
          <w:lang w:eastAsia="en-US"/>
        </w:rPr>
        <w:t xml:space="preserve"> 107.28</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本年度经营收入决算数1374.19万元，上年度1078.26万元，较上年度增加295.93万元；本年度经营支出决算数1266.90万元，上年度1078.26万元，较上年度增加188.64万元，因而结余分配较上年度增加107.28万元</w:t>
      </w:r>
      <w:r>
        <w:rPr>
          <w:rFonts w:ascii="FangSong_GB2312" w:hAnsi="FangSong_GB2312" w:eastAsia="FangSong_GB2312" w:cs="FangSong_GB2312"/>
          <w:kern w:val="0"/>
          <w:sz w:val="32"/>
          <w:szCs w:val="32"/>
        </w:rPr>
        <w:t>。</w:t>
      </w:r>
    </w:p>
    <w:p w14:paraId="5EEA3C09">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年末结转和结余</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万元。与上年决算相比，</w:t>
      </w:r>
      <w:r>
        <w:rPr>
          <w:rFonts w:hint="eastAsia" w:ascii="FangSong_GB2312" w:hAnsi="FangSong_GB2312" w:eastAsia="FangSong_GB2312" w:cs="FangSong_GB2312"/>
          <w:kern w:val="0"/>
          <w:sz w:val="32"/>
          <w:szCs w:val="32"/>
          <w:lang w:val="en-US" w:eastAsia="zh-CN"/>
        </w:rPr>
        <w:t>无变动。</w:t>
      </w:r>
    </w:p>
    <w:p w14:paraId="76B44336">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二、收入决算情况说明</w:t>
      </w:r>
    </w:p>
    <w:p w14:paraId="53D153FD">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 xml:space="preserve">内蒙古自治区特种设备检验研究院兴安分院 </w:t>
      </w:r>
      <w:r>
        <w:rPr>
          <w:rFonts w:eastAsia="Times New Roman"/>
          <w:kern w:val="0"/>
          <w:sz w:val="32"/>
          <w:szCs w:val="32"/>
          <w:lang w:eastAsia="en-US"/>
        </w:rPr>
        <w:t>2025</w:t>
      </w:r>
      <w:r>
        <w:rPr>
          <w:rFonts w:ascii="FangSong_GB2312" w:hAnsi="FangSong_GB2312" w:eastAsia="FangSong_GB2312" w:cs="FangSong_GB2312"/>
          <w:kern w:val="0"/>
          <w:sz w:val="32"/>
          <w:szCs w:val="32"/>
        </w:rPr>
        <w:t>年度本年收入决算合计</w:t>
      </w:r>
      <w:r>
        <w:rPr>
          <w:rFonts w:eastAsia="Times New Roman"/>
          <w:kern w:val="0"/>
          <w:sz w:val="32"/>
          <w:szCs w:val="32"/>
          <w:u w:val="single"/>
          <w:lang w:eastAsia="en-US"/>
        </w:rPr>
        <w:t xml:space="preserve"> 2440.25</w:t>
      </w:r>
      <w:r>
        <w:rPr>
          <w:rFonts w:ascii="FangSong_GB2312" w:hAnsi="FangSong_GB2312" w:eastAsia="FangSong_GB2312" w:cs="FangSong_GB2312"/>
          <w:kern w:val="0"/>
          <w:sz w:val="32"/>
          <w:szCs w:val="32"/>
        </w:rPr>
        <w:t>万元，其中：</w:t>
      </w:r>
    </w:p>
    <w:p w14:paraId="26CD4EE9">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一般公共预算财政拨款收入</w:t>
      </w:r>
      <w:r>
        <w:rPr>
          <w:rFonts w:eastAsia="Times New Roman"/>
          <w:kern w:val="0"/>
          <w:sz w:val="32"/>
          <w:szCs w:val="32"/>
          <w:u w:val="single"/>
          <w:lang w:eastAsia="en-US"/>
        </w:rPr>
        <w:t xml:space="preserve"> 1066.07</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43.69</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0E55F149">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政府性基金预算财政拨款收入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37D43538">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国有资本经营预算财政拨款收入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6B419495">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上级补助收入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1094B88B">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事业收入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44E072FC">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经营收入</w:t>
      </w:r>
      <w:r>
        <w:rPr>
          <w:rFonts w:eastAsia="Times New Roman"/>
          <w:kern w:val="0"/>
          <w:sz w:val="32"/>
          <w:szCs w:val="32"/>
          <w:u w:val="single"/>
          <w:lang w:eastAsia="en-US"/>
        </w:rPr>
        <w:t xml:space="preserve"> 1374.19</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56.31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3BA33001">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附属单位上缴收入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7EF83F6F">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其他收入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10E0E442">
      <w:pPr>
        <w:widowControl/>
        <w:spacing w:before="240" w:after="240"/>
        <w:ind w:left="-420" w:leftChars="-400" w:hanging="420" w:hangingChars="175"/>
        <w:jc w:val="both"/>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6657975" cy="3952240"/>
            <wp:effectExtent l="0" t="0" r="9525" b="1016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5"/>
                    <a:stretch>
                      <a:fillRect/>
                    </a:stretch>
                  </pic:blipFill>
                  <pic:spPr>
                    <a:xfrm>
                      <a:off x="0" y="0"/>
                      <a:ext cx="6657975" cy="3952240"/>
                    </a:xfrm>
                    <a:prstGeom prst="rect">
                      <a:avLst/>
                    </a:prstGeom>
                    <a:noFill/>
                    <a:ln>
                      <a:noFill/>
                    </a:ln>
                  </pic:spPr>
                </pic:pic>
              </a:graphicData>
            </a:graphic>
          </wp:inline>
        </w:drawing>
      </w:r>
    </w:p>
    <w:p w14:paraId="354AD54B">
      <w:pPr>
        <w:widowControl/>
        <w:spacing w:before="240" w:after="240"/>
        <w:jc w:val="center"/>
        <w:rPr>
          <w:rFonts w:ascii="仿宋_GB2312" w:hAnsi="仿宋" w:eastAsia="仿宋_GB2312" w:cs="Times New Roman"/>
          <w:color w:val="auto"/>
          <w:sz w:val="32"/>
          <w:szCs w:val="32"/>
        </w:rPr>
      </w:pPr>
      <w:r>
        <w:rPr>
          <w:rFonts w:ascii="Times New Roman" w:hAnsi="Times New Roman" w:eastAsia="Times New Roman" w:cs="Times New Roman"/>
          <w:kern w:val="0"/>
          <w:sz w:val="24"/>
        </w:rPr>
        <w:t xml:space="preserve">   </w:t>
      </w:r>
      <w:r>
        <w:rPr>
          <w:rFonts w:ascii="仿宋_GB2312" w:hAnsi="仿宋" w:eastAsia="仿宋_GB2312" w:cs="Times New Roman"/>
          <w:color w:val="auto"/>
          <w:sz w:val="32"/>
          <w:szCs w:val="32"/>
        </w:rPr>
        <w:t>图1.收入决算图</w:t>
      </w:r>
    </w:p>
    <w:p w14:paraId="2B64BBA7">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三、支出决算情况说明</w:t>
      </w:r>
    </w:p>
    <w:p w14:paraId="371C3A34">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内蒙古自治区特种设备检验研究院兴安分院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年度本年支出决算合计</w:t>
      </w:r>
      <w:r>
        <w:rPr>
          <w:rFonts w:eastAsia="Times New Roman"/>
          <w:kern w:val="0"/>
          <w:sz w:val="32"/>
          <w:szCs w:val="32"/>
          <w:u w:val="single"/>
          <w:lang w:eastAsia="en-US"/>
        </w:rPr>
        <w:t xml:space="preserve"> 2332.97</w:t>
      </w:r>
      <w:r>
        <w:rPr>
          <w:rFonts w:ascii="FangSong_GB2312" w:hAnsi="FangSong_GB2312" w:eastAsia="FangSong_GB2312" w:cs="FangSong_GB2312"/>
          <w:kern w:val="0"/>
          <w:sz w:val="32"/>
          <w:szCs w:val="32"/>
        </w:rPr>
        <w:t>万元，其中：</w:t>
      </w:r>
    </w:p>
    <w:p w14:paraId="28442D72">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基本支出</w:t>
      </w:r>
      <w:r>
        <w:rPr>
          <w:rFonts w:eastAsia="Times New Roman"/>
          <w:kern w:val="0"/>
          <w:sz w:val="32"/>
          <w:szCs w:val="32"/>
          <w:u w:val="single"/>
          <w:lang w:eastAsia="en-US"/>
        </w:rPr>
        <w:t xml:space="preserve"> 996.07</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42.70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218EC28B">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项目支出</w:t>
      </w:r>
      <w:r>
        <w:rPr>
          <w:rFonts w:eastAsia="Times New Roman"/>
          <w:kern w:val="0"/>
          <w:sz w:val="32"/>
          <w:szCs w:val="32"/>
          <w:u w:val="single"/>
          <w:lang w:eastAsia="en-US"/>
        </w:rPr>
        <w:t xml:space="preserve"> 70.00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3.00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06DA949A">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上缴上级支出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261F7028">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经营支出</w:t>
      </w:r>
      <w:r>
        <w:rPr>
          <w:rFonts w:eastAsia="Times New Roman"/>
          <w:kern w:val="0"/>
          <w:sz w:val="32"/>
          <w:szCs w:val="32"/>
          <w:u w:val="single"/>
          <w:lang w:eastAsia="en-US"/>
        </w:rPr>
        <w:t xml:space="preserve"> 1266.90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54.30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2EE7D47F">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对附属单位补助支出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34904BE6">
      <w:pPr>
        <w:widowControl/>
        <w:spacing w:before="240" w:after="240"/>
        <w:ind w:left="-420" w:leftChars="-400" w:hanging="420" w:hangingChars="175"/>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pict>
          <v:shape id="_x0000_i1025" o:spt="75" type="#_x0000_t75" style="height:328.2pt;width:525.15pt;" filled="f" o:preferrelative="t" stroked="f" coordsize="21600,21600">
            <v:path/>
            <v:fill on="f" focussize="0,0"/>
            <v:stroke on="f"/>
            <v:imagedata r:id="rId6" o:title=""/>
            <o:lock v:ext="edit" aspectratio="t"/>
            <w10:wrap type="none"/>
            <w10:anchorlock/>
          </v:shape>
        </w:pict>
      </w:r>
      <w:r>
        <w:rPr>
          <w:rFonts w:ascii="Times New Roman" w:hAnsi="Times New Roman" w:eastAsia="Times New Roman" w:cs="Times New Roman"/>
          <w:kern w:val="0"/>
          <w:sz w:val="24"/>
        </w:rPr>
        <w:t xml:space="preserve">   </w:t>
      </w:r>
      <w:r>
        <w:rPr>
          <w:rFonts w:ascii="FangSong_GB2312" w:hAnsi="FangSong_GB2312" w:eastAsia="FangSong_GB2312" w:cs="FangSong_GB2312"/>
          <w:kern w:val="0"/>
          <w:sz w:val="27"/>
          <w:szCs w:val="27"/>
        </w:rPr>
        <w:t>图2.支出决算图</w:t>
      </w:r>
    </w:p>
    <w:p w14:paraId="79A7FE7B">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四、财政拨款收入支出决算总体情况说明</w:t>
      </w:r>
    </w:p>
    <w:p w14:paraId="3843D8F0">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内蒙古自治区特种设备检验研究院兴安分院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年度财政拨款收入、支出决算总计均为</w:t>
      </w:r>
      <w:r>
        <w:rPr>
          <w:rFonts w:eastAsia="Times New Roman"/>
          <w:kern w:val="0"/>
          <w:sz w:val="32"/>
          <w:szCs w:val="32"/>
          <w:u w:val="single"/>
          <w:lang w:eastAsia="en-US"/>
        </w:rPr>
        <w:t xml:space="preserve"> 1066.07</w:t>
      </w:r>
      <w:r>
        <w:rPr>
          <w:rFonts w:ascii="FangSong_GB2312" w:hAnsi="FangSong_GB2312" w:eastAsia="FangSong_GB2312" w:cs="FangSong_GB2312"/>
          <w:kern w:val="0"/>
          <w:sz w:val="32"/>
          <w:szCs w:val="32"/>
        </w:rPr>
        <w:t>万元，与年初预算相比，收、支总计各增加</w:t>
      </w:r>
      <w:r>
        <w:rPr>
          <w:rFonts w:eastAsia="Times New Roman"/>
          <w:kern w:val="0"/>
          <w:sz w:val="32"/>
          <w:szCs w:val="32"/>
          <w:u w:val="single"/>
          <w:lang w:eastAsia="en-US"/>
        </w:rPr>
        <w:t xml:space="preserve"> 28.17</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2.71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我院本年度追加人员经费，因而财政拨款收、支总计各增加28.17万元</w:t>
      </w:r>
      <w:r>
        <w:rPr>
          <w:rFonts w:ascii="FangSong_GB2312" w:hAnsi="FangSong_GB2312" w:eastAsia="FangSong_GB2312" w:cs="FangSong_GB2312"/>
          <w:kern w:val="0"/>
          <w:sz w:val="32"/>
          <w:szCs w:val="32"/>
        </w:rPr>
        <w:t>；与上年决算相比，收、支总计各减少</w:t>
      </w:r>
      <w:r>
        <w:rPr>
          <w:rFonts w:eastAsia="Times New Roman"/>
          <w:kern w:val="0"/>
          <w:sz w:val="32"/>
          <w:szCs w:val="32"/>
          <w:u w:val="single"/>
          <w:lang w:eastAsia="en-US"/>
        </w:rPr>
        <w:t xml:space="preserve"> 170.12</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13.76</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Times New Roman" w:hAnsi="Times New Roman" w:eastAsia="仿宋_GB2312" w:cs="Times New Roman"/>
          <w:sz w:val="32"/>
          <w:szCs w:val="32"/>
          <w:u w:val="none"/>
          <w:lang w:val="en-US" w:eastAsia="zh-CN"/>
        </w:rPr>
        <w:t>本年度我院财政拨款收入减少，同时使用财政拨款购买检验设备金额减少，因而财政拨款收入、支出总计减少</w:t>
      </w:r>
      <w:r>
        <w:rPr>
          <w:rFonts w:ascii="FangSong_GB2312" w:hAnsi="FangSong_GB2312" w:eastAsia="FangSong_GB2312" w:cs="FangSong_GB2312"/>
          <w:kern w:val="0"/>
          <w:sz w:val="32"/>
          <w:szCs w:val="32"/>
        </w:rPr>
        <w:t>。</w:t>
      </w:r>
    </w:p>
    <w:p w14:paraId="02B29B0C">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五、一般公共预算财政拨款支出决算情况说明</w:t>
      </w:r>
    </w:p>
    <w:p w14:paraId="5B4B2E58">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内蒙古自治区特种设备检验研究院兴安分院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年度一般公共预算财政拨款支出决算</w:t>
      </w:r>
      <w:r>
        <w:rPr>
          <w:rFonts w:eastAsia="Times New Roman"/>
          <w:kern w:val="0"/>
          <w:sz w:val="32"/>
          <w:szCs w:val="32"/>
          <w:u w:val="single"/>
          <w:lang w:eastAsia="en-US"/>
        </w:rPr>
        <w:t xml:space="preserve"> 1066.07</w:t>
      </w:r>
      <w:r>
        <w:rPr>
          <w:rFonts w:ascii="FangSong_GB2312" w:hAnsi="FangSong_GB2312" w:eastAsia="FangSong_GB2312" w:cs="FangSong_GB2312"/>
          <w:kern w:val="0"/>
          <w:sz w:val="32"/>
          <w:szCs w:val="32"/>
        </w:rPr>
        <w:t>万元。与年初预算</w:t>
      </w:r>
      <w:r>
        <w:rPr>
          <w:rFonts w:eastAsia="Times New Roman"/>
          <w:kern w:val="0"/>
          <w:sz w:val="32"/>
          <w:szCs w:val="32"/>
          <w:u w:val="single"/>
          <w:lang w:eastAsia="en-US"/>
        </w:rPr>
        <w:t xml:space="preserve"> 1037.90</w:t>
      </w:r>
      <w:r>
        <w:rPr>
          <w:rFonts w:ascii="FangSong_GB2312" w:hAnsi="FangSong_GB2312" w:eastAsia="FangSong_GB2312" w:cs="FangSong_GB2312"/>
          <w:kern w:val="0"/>
          <w:sz w:val="32"/>
          <w:szCs w:val="32"/>
        </w:rPr>
        <w:t>万元相比，完成年初预算的</w:t>
      </w:r>
      <w:r>
        <w:rPr>
          <w:rFonts w:eastAsia="Times New Roman"/>
          <w:kern w:val="0"/>
          <w:sz w:val="32"/>
          <w:szCs w:val="32"/>
          <w:u w:val="single"/>
          <w:lang w:eastAsia="en-US"/>
        </w:rPr>
        <w:t xml:space="preserve"> 102.71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14:paraId="76DA1D59">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（一）一般公共服务（类）</w:t>
      </w:r>
    </w:p>
    <w:p w14:paraId="41DEC4F9">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一般公共服务（类）决算数为</w:t>
      </w:r>
      <w:r>
        <w:rPr>
          <w:rFonts w:eastAsia="Times New Roman"/>
          <w:kern w:val="0"/>
          <w:sz w:val="32"/>
          <w:szCs w:val="32"/>
          <w:u w:val="single"/>
          <w:lang w:eastAsia="en-US"/>
        </w:rPr>
        <w:t xml:space="preserve"> 958.23</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24.30</w:t>
      </w:r>
      <w:r>
        <w:rPr>
          <w:rFonts w:ascii="FangSong_GB2312" w:hAnsi="FangSong_GB2312" w:eastAsia="FangSong_GB2312" w:cs="FangSong_GB2312"/>
          <w:kern w:val="0"/>
          <w:sz w:val="32"/>
          <w:szCs w:val="32"/>
        </w:rPr>
        <w:t>万元。其中：</w:t>
      </w:r>
    </w:p>
    <w:p w14:paraId="2EEA0669">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市场监督管理事务</w:t>
      </w:r>
      <w:r>
        <w:rPr>
          <w:rFonts w:hint="default" w:ascii="Times New Roman" w:hAnsi="Times New Roman" w:eastAsia="仿宋_GB2312" w:cs="Times New Roman"/>
          <w:sz w:val="32"/>
          <w:szCs w:val="32"/>
          <w:u w:val="none"/>
          <w:lang w:val="en-US" w:eastAsia="zh-CN"/>
        </w:rPr>
        <w:t>（款）</w:t>
      </w:r>
    </w:p>
    <w:p w14:paraId="1E8D95AB">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（1）质量安全监管</w:t>
      </w:r>
      <w:r>
        <w:rPr>
          <w:rFonts w:hint="default" w:ascii="Times New Roman" w:hAnsi="Times New Roman" w:eastAsia="仿宋_GB2312" w:cs="Times New Roman"/>
          <w:sz w:val="32"/>
          <w:szCs w:val="32"/>
          <w:u w:val="none"/>
          <w:lang w:val="en-US" w:eastAsia="zh-CN"/>
        </w:rPr>
        <w:t>（项）。年初预算</w:t>
      </w:r>
      <w:r>
        <w:rPr>
          <w:rFonts w:hint="eastAsia" w:ascii="Times New Roman" w:hAnsi="Times New Roman" w:eastAsia="仿宋_GB2312" w:cs="Times New Roman"/>
          <w:sz w:val="32"/>
          <w:szCs w:val="32"/>
          <w:u w:val="none"/>
          <w:lang w:val="en-US" w:eastAsia="zh-CN"/>
        </w:rPr>
        <w:t>13.00</w:t>
      </w:r>
      <w:r>
        <w:rPr>
          <w:rFonts w:hint="default" w:ascii="Times New Roman" w:hAnsi="Times New Roman" w:eastAsia="仿宋_GB2312" w:cs="Times New Roman"/>
          <w:sz w:val="32"/>
          <w:szCs w:val="32"/>
          <w:u w:val="none"/>
          <w:lang w:val="en-US" w:eastAsia="zh-CN"/>
        </w:rPr>
        <w:t>万元，支出决算</w:t>
      </w:r>
      <w:r>
        <w:rPr>
          <w:rFonts w:hint="eastAsia" w:ascii="Times New Roman" w:hAnsi="Times New Roman" w:eastAsia="仿宋_GB2312" w:cs="Times New Roman"/>
          <w:sz w:val="32"/>
          <w:szCs w:val="32"/>
          <w:u w:val="none"/>
          <w:lang w:val="en-US" w:eastAsia="zh-CN"/>
        </w:rPr>
        <w:t>13.00</w:t>
      </w:r>
      <w:r>
        <w:rPr>
          <w:rFonts w:hint="default" w:ascii="Times New Roman" w:hAnsi="Times New Roman" w:eastAsia="仿宋_GB2312" w:cs="Times New Roman"/>
          <w:sz w:val="32"/>
          <w:szCs w:val="32"/>
          <w:u w:val="none"/>
          <w:lang w:val="en-US" w:eastAsia="zh-CN"/>
        </w:rPr>
        <w:t>万元，完成年初预算的</w:t>
      </w:r>
      <w:r>
        <w:rPr>
          <w:rFonts w:hint="eastAsia" w:ascii="Times New Roman" w:hAnsi="Times New Roman" w:eastAsia="仿宋_GB2312" w:cs="Times New Roman"/>
          <w:sz w:val="32"/>
          <w:szCs w:val="32"/>
          <w:u w:val="none"/>
          <w:lang w:val="en-US" w:eastAsia="zh-CN"/>
        </w:rPr>
        <w:t>100.00</w:t>
      </w:r>
      <w:r>
        <w:rPr>
          <w:rFonts w:hint="default" w:ascii="Times New Roman" w:hAnsi="Times New Roman" w:eastAsia="仿宋_GB2312" w:cs="Times New Roman"/>
          <w:sz w:val="32"/>
          <w:szCs w:val="32"/>
          <w:u w:val="none"/>
          <w:lang w:val="en-US" w:eastAsia="zh-CN"/>
        </w:rPr>
        <w:t>%。决算数与年初预算数</w:t>
      </w:r>
      <w:r>
        <w:rPr>
          <w:rFonts w:hint="eastAsia" w:ascii="Times New Roman" w:hAnsi="Times New Roman" w:eastAsia="仿宋_GB2312" w:cs="Times New Roman"/>
          <w:sz w:val="32"/>
          <w:szCs w:val="32"/>
          <w:u w:val="none"/>
          <w:lang w:val="en-US" w:eastAsia="zh-CN"/>
        </w:rPr>
        <w:t>无差异</w:t>
      </w:r>
      <w:r>
        <w:rPr>
          <w:rFonts w:hint="default" w:ascii="Times New Roman" w:hAnsi="Times New Roman" w:eastAsia="仿宋_GB2312" w:cs="Times New Roman"/>
          <w:sz w:val="32"/>
          <w:szCs w:val="32"/>
          <w:u w:val="none"/>
          <w:lang w:val="en-US" w:eastAsia="zh-CN"/>
        </w:rPr>
        <w:t>。</w:t>
      </w:r>
    </w:p>
    <w:p w14:paraId="257E7713">
      <w:pPr>
        <w:pStyle w:val="28"/>
        <w:widowControl/>
        <w:spacing w:before="240" w:after="240" w:line="560" w:lineRule="atLeast"/>
        <w:ind w:firstLine="643"/>
        <w:jc w:val="left"/>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w:t>
      </w:r>
      <w:r>
        <w:rPr>
          <w:rFonts w:hint="eastAsia" w:ascii="Times New Roman" w:hAnsi="Times New Roman" w:eastAsia="仿宋_GB2312" w:cs="Times New Roman"/>
          <w:sz w:val="32"/>
          <w:szCs w:val="32"/>
          <w:u w:val="none"/>
          <w:lang w:val="en-US" w:eastAsia="zh-CN"/>
        </w:rPr>
        <w:t>（2）事业运行（项）。</w:t>
      </w:r>
      <w:r>
        <w:rPr>
          <w:rFonts w:hint="default" w:ascii="Times New Roman" w:hAnsi="Times New Roman" w:eastAsia="仿宋_GB2312" w:cs="Times New Roman"/>
          <w:sz w:val="32"/>
          <w:szCs w:val="32"/>
          <w:u w:val="none"/>
          <w:lang w:val="en-US" w:eastAsia="zh-CN"/>
        </w:rPr>
        <w:t>年初预算</w:t>
      </w:r>
      <w:r>
        <w:rPr>
          <w:rFonts w:hint="eastAsia" w:ascii="Times New Roman" w:hAnsi="Times New Roman" w:eastAsia="仿宋_GB2312" w:cs="Times New Roman"/>
          <w:sz w:val="32"/>
          <w:szCs w:val="32"/>
          <w:u w:val="none"/>
          <w:lang w:val="en-US" w:eastAsia="zh-CN"/>
        </w:rPr>
        <w:t>920.93</w:t>
      </w:r>
      <w:r>
        <w:rPr>
          <w:rFonts w:hint="default" w:ascii="Times New Roman" w:hAnsi="Times New Roman" w:eastAsia="仿宋_GB2312" w:cs="Times New Roman"/>
          <w:sz w:val="32"/>
          <w:szCs w:val="32"/>
          <w:u w:val="none"/>
          <w:lang w:val="en-US" w:eastAsia="zh-CN"/>
        </w:rPr>
        <w:t>万元，支出决算</w:t>
      </w:r>
      <w:r>
        <w:rPr>
          <w:rFonts w:hint="eastAsia" w:ascii="Times New Roman" w:hAnsi="Times New Roman" w:eastAsia="仿宋_GB2312" w:cs="Times New Roman"/>
          <w:sz w:val="32"/>
          <w:szCs w:val="32"/>
          <w:u w:val="none"/>
          <w:lang w:val="en-US" w:eastAsia="zh-CN"/>
        </w:rPr>
        <w:t>888.23</w:t>
      </w:r>
      <w:r>
        <w:rPr>
          <w:rFonts w:hint="default" w:ascii="Times New Roman" w:hAnsi="Times New Roman" w:eastAsia="仿宋_GB2312" w:cs="Times New Roman"/>
          <w:sz w:val="32"/>
          <w:szCs w:val="32"/>
          <w:u w:val="none"/>
          <w:lang w:val="en-US" w:eastAsia="zh-CN"/>
        </w:rPr>
        <w:t>万元，完成年初预算的</w:t>
      </w:r>
      <w:r>
        <w:rPr>
          <w:rFonts w:hint="eastAsia" w:ascii="Times New Roman" w:hAnsi="Times New Roman" w:eastAsia="仿宋_GB2312" w:cs="Times New Roman"/>
          <w:sz w:val="32"/>
          <w:szCs w:val="32"/>
          <w:u w:val="none"/>
          <w:lang w:val="en-US" w:eastAsia="zh-CN"/>
        </w:rPr>
        <w:t>96.45</w:t>
      </w:r>
      <w:r>
        <w:rPr>
          <w:rFonts w:hint="default" w:ascii="Times New Roman" w:hAnsi="Times New Roman" w:eastAsia="仿宋_GB2312" w:cs="Times New Roman"/>
          <w:sz w:val="32"/>
          <w:szCs w:val="32"/>
          <w:u w:val="none"/>
          <w:lang w:val="en-US" w:eastAsia="zh-CN"/>
        </w:rPr>
        <w:t>%。决算数</w:t>
      </w:r>
      <w:r>
        <w:rPr>
          <w:rFonts w:hint="eastAsia" w:ascii="Times New Roman" w:hAnsi="Times New Roman" w:eastAsia="仿宋_GB2312" w:cs="Times New Roman"/>
          <w:sz w:val="32"/>
          <w:szCs w:val="32"/>
          <w:u w:val="none"/>
          <w:lang w:val="en-US" w:eastAsia="zh-CN"/>
        </w:rPr>
        <w:t>较</w:t>
      </w:r>
      <w:r>
        <w:rPr>
          <w:rFonts w:hint="default" w:ascii="Times New Roman" w:hAnsi="Times New Roman" w:eastAsia="仿宋_GB2312" w:cs="Times New Roman"/>
          <w:sz w:val="32"/>
          <w:szCs w:val="32"/>
          <w:u w:val="none"/>
          <w:lang w:val="en-US" w:eastAsia="zh-CN"/>
        </w:rPr>
        <w:t>年初预算</w:t>
      </w:r>
      <w:r>
        <w:rPr>
          <w:rFonts w:hint="eastAsia" w:ascii="Times New Roman" w:hAnsi="Times New Roman" w:eastAsia="仿宋_GB2312" w:cs="Times New Roman"/>
          <w:sz w:val="32"/>
          <w:szCs w:val="32"/>
          <w:u w:val="none"/>
          <w:lang w:val="en-US" w:eastAsia="zh-CN"/>
        </w:rPr>
        <w:t>数减少，原因为年末将项目支出由事业运行（项）调至其他市场监督管理事务（项）中</w:t>
      </w:r>
      <w:r>
        <w:rPr>
          <w:rFonts w:hint="default" w:ascii="Times New Roman" w:hAnsi="Times New Roman" w:eastAsia="仿宋_GB2312" w:cs="Times New Roman"/>
          <w:sz w:val="32"/>
          <w:szCs w:val="32"/>
          <w:u w:val="none"/>
          <w:lang w:val="en-US" w:eastAsia="zh-CN"/>
        </w:rPr>
        <w:t>。</w:t>
      </w:r>
    </w:p>
    <w:p w14:paraId="58B2647C">
      <w:pPr>
        <w:pStyle w:val="28"/>
        <w:widowControl/>
        <w:spacing w:before="240" w:after="240" w:line="560" w:lineRule="atLeast"/>
        <w:ind w:firstLine="643"/>
        <w:jc w:val="left"/>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（3）其他市场监督管理事务（项）。年初预算0万元，支出决算数57.00万元，决算数较年初预算数增加57.00万元，原因为年末将项目支出由事业运行（项）调至其他市场监督管理事务（项）中</w:t>
      </w:r>
      <w:r>
        <w:rPr>
          <w:rFonts w:hint="default" w:ascii="Times New Roman" w:hAnsi="Times New Roman" w:eastAsia="仿宋_GB2312" w:cs="Times New Roman"/>
          <w:sz w:val="32"/>
          <w:szCs w:val="32"/>
          <w:u w:val="none"/>
          <w:lang w:val="en-US" w:eastAsia="zh-CN"/>
        </w:rPr>
        <w:t>。</w:t>
      </w:r>
    </w:p>
    <w:p w14:paraId="5EDA9237">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二</w:t>
      </w:r>
      <w:r>
        <w:rPr>
          <w:rFonts w:ascii="楷体" w:hAnsi="楷体" w:eastAsia="楷体" w:cs="楷体"/>
          <w:b/>
          <w:bCs/>
          <w:kern w:val="0"/>
          <w:sz w:val="32"/>
          <w:szCs w:val="32"/>
        </w:rPr>
        <w:t>）社会保障和就业支出（类）</w:t>
      </w:r>
    </w:p>
    <w:p w14:paraId="673EEEDF">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社会保障和就业支出（类）决算数为</w:t>
      </w:r>
      <w:r>
        <w:rPr>
          <w:rFonts w:eastAsia="Times New Roman"/>
          <w:kern w:val="0"/>
          <w:sz w:val="32"/>
          <w:szCs w:val="32"/>
          <w:u w:val="single"/>
          <w:lang w:eastAsia="en-US"/>
        </w:rPr>
        <w:t xml:space="preserve"> 77.20</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1.95</w:t>
      </w:r>
      <w:r>
        <w:rPr>
          <w:rFonts w:ascii="FangSong_GB2312" w:hAnsi="FangSong_GB2312" w:eastAsia="FangSong_GB2312" w:cs="FangSong_GB2312"/>
          <w:kern w:val="0"/>
          <w:sz w:val="32"/>
          <w:szCs w:val="32"/>
        </w:rPr>
        <w:t>万元。其中：</w:t>
      </w:r>
    </w:p>
    <w:p w14:paraId="2EC98C9E">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行政事业单位养老支出（款）</w:t>
      </w:r>
    </w:p>
    <w:p w14:paraId="154BF893">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（1）</w:t>
      </w:r>
      <w:r>
        <w:rPr>
          <w:rFonts w:hint="default" w:ascii="Times New Roman" w:hAnsi="Times New Roman" w:eastAsia="仿宋_GB2312" w:cs="Times New Roman"/>
          <w:sz w:val="32"/>
          <w:szCs w:val="32"/>
          <w:u w:val="none"/>
          <w:lang w:val="en-US" w:eastAsia="zh-CN"/>
        </w:rPr>
        <w:t>事业单位离退休（项）。年初预算</w:t>
      </w:r>
      <w:r>
        <w:rPr>
          <w:rFonts w:hint="eastAsia" w:ascii="Times New Roman" w:hAnsi="Times New Roman" w:eastAsia="仿宋_GB2312" w:cs="Times New Roman"/>
          <w:sz w:val="32"/>
          <w:szCs w:val="32"/>
          <w:u w:val="none"/>
          <w:lang w:val="en-US" w:eastAsia="zh-CN"/>
        </w:rPr>
        <w:t>15.25</w:t>
      </w:r>
      <w:r>
        <w:rPr>
          <w:rFonts w:hint="default" w:ascii="Times New Roman" w:hAnsi="Times New Roman" w:eastAsia="仿宋_GB2312" w:cs="Times New Roman"/>
          <w:sz w:val="32"/>
          <w:szCs w:val="32"/>
          <w:u w:val="none"/>
          <w:lang w:val="en-US" w:eastAsia="zh-CN"/>
        </w:rPr>
        <w:t>万元，支出决算</w:t>
      </w:r>
      <w:r>
        <w:rPr>
          <w:rFonts w:hint="eastAsia" w:ascii="Times New Roman" w:hAnsi="Times New Roman" w:eastAsia="仿宋_GB2312" w:cs="Times New Roman"/>
          <w:sz w:val="32"/>
          <w:szCs w:val="32"/>
          <w:u w:val="none"/>
          <w:lang w:val="en-US" w:eastAsia="zh-CN"/>
        </w:rPr>
        <w:t>15.25</w:t>
      </w:r>
      <w:r>
        <w:rPr>
          <w:rFonts w:hint="default" w:ascii="Times New Roman" w:hAnsi="Times New Roman" w:eastAsia="仿宋_GB2312" w:cs="Times New Roman"/>
          <w:sz w:val="32"/>
          <w:szCs w:val="32"/>
          <w:u w:val="none"/>
          <w:lang w:val="en-US" w:eastAsia="zh-CN"/>
        </w:rPr>
        <w:t>万元，完成年初预算的</w:t>
      </w:r>
      <w:r>
        <w:rPr>
          <w:rFonts w:hint="eastAsia" w:ascii="Times New Roman" w:hAnsi="Times New Roman" w:eastAsia="仿宋_GB2312" w:cs="Times New Roman"/>
          <w:sz w:val="32"/>
          <w:szCs w:val="32"/>
          <w:u w:val="none"/>
          <w:lang w:val="en-US" w:eastAsia="zh-CN"/>
        </w:rPr>
        <w:t>100.00</w:t>
      </w:r>
      <w:r>
        <w:rPr>
          <w:rFonts w:hint="default" w:ascii="Times New Roman" w:hAnsi="Times New Roman" w:eastAsia="仿宋_GB2312" w:cs="Times New Roman"/>
          <w:sz w:val="32"/>
          <w:szCs w:val="32"/>
          <w:u w:val="none"/>
          <w:lang w:val="en-US" w:eastAsia="zh-CN"/>
        </w:rPr>
        <w:t>%。决算数与年初预算数</w:t>
      </w:r>
      <w:r>
        <w:rPr>
          <w:rFonts w:hint="eastAsia" w:ascii="Times New Roman" w:hAnsi="Times New Roman" w:eastAsia="仿宋_GB2312" w:cs="Times New Roman"/>
          <w:sz w:val="32"/>
          <w:szCs w:val="32"/>
          <w:u w:val="none"/>
          <w:lang w:val="en-US" w:eastAsia="zh-CN"/>
        </w:rPr>
        <w:t>无差异。</w:t>
      </w:r>
      <w:r>
        <w:rPr>
          <w:rFonts w:hint="default" w:ascii="Times New Roman" w:hAnsi="Times New Roman" w:eastAsia="仿宋_GB2312" w:cs="Times New Roman"/>
          <w:sz w:val="32"/>
          <w:szCs w:val="32"/>
          <w:u w:val="none"/>
          <w:lang w:val="en-US" w:eastAsia="zh-CN"/>
        </w:rPr>
        <w:t>    </w:t>
      </w:r>
    </w:p>
    <w:p w14:paraId="30B03480">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lang w:val="en-US" w:eastAsia="zh-CN"/>
        </w:rPr>
        <w:t>机关事业单位基本养老保险缴费支出（项）。年初预算</w:t>
      </w:r>
      <w:r>
        <w:rPr>
          <w:rFonts w:hint="eastAsia" w:ascii="Times New Roman" w:hAnsi="Times New Roman" w:eastAsia="仿宋_GB2312" w:cs="Times New Roman"/>
          <w:sz w:val="32"/>
          <w:szCs w:val="32"/>
          <w:u w:val="none"/>
          <w:lang w:val="en-US" w:eastAsia="zh-CN"/>
        </w:rPr>
        <w:t>50.00</w:t>
      </w:r>
      <w:r>
        <w:rPr>
          <w:rFonts w:hint="default" w:ascii="Times New Roman" w:hAnsi="Times New Roman" w:eastAsia="仿宋_GB2312" w:cs="Times New Roman"/>
          <w:sz w:val="32"/>
          <w:szCs w:val="32"/>
          <w:u w:val="none"/>
          <w:lang w:val="en-US" w:eastAsia="zh-CN"/>
        </w:rPr>
        <w:t>万元，支出决算</w:t>
      </w:r>
      <w:r>
        <w:rPr>
          <w:rFonts w:hint="eastAsia" w:ascii="Times New Roman" w:hAnsi="Times New Roman" w:eastAsia="仿宋_GB2312" w:cs="Times New Roman"/>
          <w:sz w:val="32"/>
          <w:szCs w:val="32"/>
          <w:u w:val="none"/>
          <w:lang w:val="en-US" w:eastAsia="zh-CN"/>
        </w:rPr>
        <w:t>51.30</w:t>
      </w:r>
      <w:r>
        <w:rPr>
          <w:rFonts w:hint="default" w:ascii="Times New Roman" w:hAnsi="Times New Roman" w:eastAsia="仿宋_GB2312" w:cs="Times New Roman"/>
          <w:sz w:val="32"/>
          <w:szCs w:val="32"/>
          <w:u w:val="none"/>
          <w:lang w:val="en-US" w:eastAsia="zh-CN"/>
        </w:rPr>
        <w:t>万元，完成年初预算的</w:t>
      </w:r>
      <w:r>
        <w:rPr>
          <w:rFonts w:hint="eastAsia" w:ascii="Times New Roman" w:hAnsi="Times New Roman" w:eastAsia="仿宋_GB2312" w:cs="Times New Roman"/>
          <w:sz w:val="32"/>
          <w:szCs w:val="32"/>
          <w:u w:val="none"/>
          <w:lang w:val="en-US" w:eastAsia="zh-CN"/>
        </w:rPr>
        <w:t>102.60</w:t>
      </w:r>
      <w:r>
        <w:rPr>
          <w:rFonts w:hint="default" w:ascii="Times New Roman" w:hAnsi="Times New Roman" w:eastAsia="仿宋_GB2312" w:cs="Times New Roman"/>
          <w:sz w:val="32"/>
          <w:szCs w:val="32"/>
          <w:u w:val="none"/>
          <w:lang w:val="en-US" w:eastAsia="zh-CN"/>
        </w:rPr>
        <w:t>%。决算数</w:t>
      </w:r>
      <w:r>
        <w:rPr>
          <w:rFonts w:hint="eastAsia" w:ascii="Times New Roman" w:hAnsi="Times New Roman" w:eastAsia="仿宋_GB2312" w:cs="Times New Roman"/>
          <w:sz w:val="32"/>
          <w:szCs w:val="32"/>
          <w:u w:val="none"/>
          <w:lang w:val="en-US" w:eastAsia="zh-CN"/>
        </w:rPr>
        <w:t>较</w:t>
      </w:r>
      <w:r>
        <w:rPr>
          <w:rFonts w:hint="default" w:ascii="Times New Roman" w:hAnsi="Times New Roman" w:eastAsia="仿宋_GB2312" w:cs="Times New Roman"/>
          <w:sz w:val="32"/>
          <w:szCs w:val="32"/>
          <w:u w:val="none"/>
          <w:lang w:val="en-US" w:eastAsia="zh-CN"/>
        </w:rPr>
        <w:t>年初预算数</w:t>
      </w:r>
      <w:r>
        <w:rPr>
          <w:rFonts w:hint="eastAsia" w:ascii="Times New Roman" w:hAnsi="Times New Roman" w:eastAsia="仿宋_GB2312" w:cs="Times New Roman"/>
          <w:sz w:val="32"/>
          <w:szCs w:val="32"/>
          <w:u w:val="none"/>
          <w:lang w:val="en-US" w:eastAsia="zh-CN"/>
        </w:rPr>
        <w:t>增加。</w:t>
      </w:r>
    </w:p>
    <w:p w14:paraId="5868028C">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firstLine="640" w:firstLineChars="200"/>
        <w:jc w:val="both"/>
        <w:textAlignment w:val="auto"/>
        <w:rPr>
          <w:rFonts w:ascii="Times New Roman" w:hAnsi="Times New Roman" w:eastAsia="Times New Roman" w:cs="Times New Roman"/>
          <w:kern w:val="0"/>
          <w:sz w:val="24"/>
        </w:rPr>
      </w:pPr>
      <w:r>
        <w:rPr>
          <w:rFonts w:hint="default" w:ascii="Times New Roman" w:hAnsi="Times New Roman" w:eastAsia="仿宋_GB2312" w:cs="Times New Roman"/>
          <w:sz w:val="32"/>
          <w:szCs w:val="32"/>
          <w:u w:val="none"/>
          <w:lang w:val="en-US" w:eastAsia="zh-CN"/>
        </w:rPr>
        <w:t>    </w:t>
      </w:r>
      <w:r>
        <w:rPr>
          <w:rFonts w:hint="eastAsia" w:ascii="Times New Roman" w:hAnsi="Times New Roman" w:eastAsia="仿宋_GB2312" w:cs="Times New Roman"/>
          <w:sz w:val="32"/>
          <w:szCs w:val="32"/>
          <w:u w:val="none"/>
          <w:lang w:val="en-US" w:eastAsia="zh-CN"/>
        </w:rPr>
        <w:t xml:space="preserve"> （3）</w:t>
      </w:r>
      <w:r>
        <w:rPr>
          <w:rFonts w:hint="default" w:ascii="Times New Roman" w:hAnsi="Times New Roman" w:eastAsia="仿宋_GB2312" w:cs="Times New Roman"/>
          <w:sz w:val="32"/>
          <w:szCs w:val="32"/>
          <w:u w:val="none"/>
          <w:lang w:val="en-US" w:eastAsia="zh-CN"/>
        </w:rPr>
        <w:t>机关事业单位职业年金缴费支出（项）。年初预算</w:t>
      </w:r>
      <w:r>
        <w:rPr>
          <w:rFonts w:hint="eastAsia" w:ascii="Times New Roman" w:hAnsi="Times New Roman" w:eastAsia="仿宋_GB2312" w:cs="Times New Roman"/>
          <w:sz w:val="32"/>
          <w:szCs w:val="32"/>
          <w:u w:val="none"/>
          <w:lang w:val="en-US" w:eastAsia="zh-CN"/>
        </w:rPr>
        <w:t>10.00</w:t>
      </w:r>
      <w:r>
        <w:rPr>
          <w:rFonts w:hint="default" w:ascii="Times New Roman" w:hAnsi="Times New Roman" w:eastAsia="仿宋_GB2312" w:cs="Times New Roman"/>
          <w:sz w:val="32"/>
          <w:szCs w:val="32"/>
          <w:u w:val="none"/>
          <w:lang w:val="en-US" w:eastAsia="zh-CN"/>
        </w:rPr>
        <w:t>万元，支出决算</w:t>
      </w:r>
      <w:r>
        <w:rPr>
          <w:rFonts w:hint="eastAsia" w:ascii="Times New Roman" w:hAnsi="Times New Roman" w:eastAsia="仿宋_GB2312" w:cs="Times New Roman"/>
          <w:sz w:val="32"/>
          <w:szCs w:val="32"/>
          <w:u w:val="none"/>
          <w:lang w:val="en-US" w:eastAsia="zh-CN"/>
        </w:rPr>
        <w:t>10.65</w:t>
      </w:r>
      <w:r>
        <w:rPr>
          <w:rFonts w:hint="default" w:ascii="Times New Roman" w:hAnsi="Times New Roman" w:eastAsia="仿宋_GB2312" w:cs="Times New Roman"/>
          <w:sz w:val="32"/>
          <w:szCs w:val="32"/>
          <w:u w:val="none"/>
          <w:lang w:val="en-US" w:eastAsia="zh-CN"/>
        </w:rPr>
        <w:t>万元，完成年初预算的</w:t>
      </w:r>
      <w:r>
        <w:rPr>
          <w:rFonts w:hint="eastAsia" w:ascii="Times New Roman" w:hAnsi="Times New Roman" w:eastAsia="仿宋_GB2312" w:cs="Times New Roman"/>
          <w:sz w:val="32"/>
          <w:szCs w:val="32"/>
          <w:u w:val="none"/>
          <w:lang w:val="en-US" w:eastAsia="zh-CN"/>
        </w:rPr>
        <w:t>106.50</w:t>
      </w:r>
      <w:r>
        <w:rPr>
          <w:rFonts w:hint="default" w:ascii="Times New Roman" w:hAnsi="Times New Roman" w:eastAsia="仿宋_GB2312" w:cs="Times New Roman"/>
          <w:sz w:val="32"/>
          <w:szCs w:val="32"/>
          <w:u w:val="none"/>
          <w:lang w:val="en-US" w:eastAsia="zh-CN"/>
        </w:rPr>
        <w:t>%。决算数</w:t>
      </w:r>
      <w:r>
        <w:rPr>
          <w:rFonts w:hint="eastAsia" w:ascii="Times New Roman" w:hAnsi="Times New Roman" w:eastAsia="仿宋_GB2312" w:cs="Times New Roman"/>
          <w:sz w:val="32"/>
          <w:szCs w:val="32"/>
          <w:u w:val="none"/>
          <w:lang w:val="en-US" w:eastAsia="zh-CN"/>
        </w:rPr>
        <w:t>较</w:t>
      </w:r>
      <w:r>
        <w:rPr>
          <w:rFonts w:hint="default" w:ascii="Times New Roman" w:hAnsi="Times New Roman" w:eastAsia="仿宋_GB2312" w:cs="Times New Roman"/>
          <w:sz w:val="32"/>
          <w:szCs w:val="32"/>
          <w:u w:val="none"/>
          <w:lang w:val="en-US" w:eastAsia="zh-CN"/>
        </w:rPr>
        <w:t>年初预算数</w:t>
      </w:r>
      <w:r>
        <w:rPr>
          <w:rFonts w:hint="eastAsia" w:ascii="Times New Roman" w:hAnsi="Times New Roman" w:eastAsia="仿宋_GB2312" w:cs="Times New Roman"/>
          <w:sz w:val="32"/>
          <w:szCs w:val="32"/>
          <w:u w:val="none"/>
          <w:lang w:val="en-US" w:eastAsia="zh-CN"/>
        </w:rPr>
        <w:t>增加</w:t>
      </w:r>
      <w:r>
        <w:rPr>
          <w:rFonts w:hint="default" w:ascii="Times New Roman" w:hAnsi="Times New Roman" w:eastAsia="仿宋_GB2312" w:cs="Times New Roman"/>
          <w:sz w:val="32"/>
          <w:szCs w:val="32"/>
          <w:u w:val="none"/>
          <w:lang w:val="en-US" w:eastAsia="zh-CN"/>
        </w:rPr>
        <w:t>。</w:t>
      </w:r>
    </w:p>
    <w:p w14:paraId="78ED3629">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三</w:t>
      </w:r>
      <w:r>
        <w:rPr>
          <w:rFonts w:ascii="楷体" w:hAnsi="楷体" w:eastAsia="楷体" w:cs="楷体"/>
          <w:b/>
          <w:bCs/>
          <w:kern w:val="0"/>
          <w:sz w:val="32"/>
          <w:szCs w:val="32"/>
        </w:rPr>
        <w:t>）卫生健康支出（类）</w:t>
      </w:r>
    </w:p>
    <w:p w14:paraId="56689A14">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卫生健康支出（类）决算数为</w:t>
      </w:r>
      <w:r>
        <w:rPr>
          <w:rFonts w:eastAsia="Times New Roman"/>
          <w:kern w:val="0"/>
          <w:sz w:val="32"/>
          <w:szCs w:val="32"/>
          <w:u w:val="single"/>
          <w:lang w:eastAsia="en-US"/>
        </w:rPr>
        <w:t xml:space="preserve"> 11.19</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 0.9</w:t>
      </w:r>
      <w:r>
        <w:rPr>
          <w:rFonts w:hint="eastAsia" w:eastAsia="宋体"/>
          <w:kern w:val="0"/>
          <w:sz w:val="32"/>
          <w:szCs w:val="32"/>
          <w:u w:val="single"/>
          <w:lang w:val="en-US" w:eastAsia="zh-CN"/>
        </w:rPr>
        <w:t>5</w:t>
      </w:r>
      <w:r>
        <w:rPr>
          <w:rFonts w:ascii="FangSong_GB2312" w:hAnsi="FangSong_GB2312" w:eastAsia="FangSong_GB2312" w:cs="FangSong_GB2312"/>
          <w:kern w:val="0"/>
          <w:sz w:val="32"/>
          <w:szCs w:val="32"/>
        </w:rPr>
        <w:t>万元。其中：</w:t>
      </w:r>
    </w:p>
    <w:p w14:paraId="19991424">
      <w:pPr>
        <w:pStyle w:val="28"/>
        <w:widowControl/>
        <w:spacing w:before="240" w:after="240" w:line="560" w:lineRule="atLeast"/>
        <w:ind w:firstLine="640"/>
        <w:jc w:val="left"/>
        <w:rPr>
          <w:rFonts w:ascii="FangSong_GB2312" w:hAnsi="FangSong_GB2312" w:eastAsia="FangSong_GB2312" w:cs="FangSong_GB2312"/>
          <w:kern w:val="0"/>
          <w:sz w:val="32"/>
          <w:szCs w:val="32"/>
        </w:rPr>
      </w:pPr>
      <w:r>
        <w:rPr>
          <w:rFonts w:ascii="FangSong_GB2312" w:hAnsi="FangSong_GB2312" w:eastAsia="FangSong_GB2312" w:cs="FangSong_GB2312"/>
          <w:kern w:val="0"/>
          <w:sz w:val="32"/>
          <w:szCs w:val="32"/>
        </w:rPr>
        <w:t>行政事业单位医疗（款）</w:t>
      </w:r>
    </w:p>
    <w:p w14:paraId="58F30A7F">
      <w:pPr>
        <w:pStyle w:val="28"/>
        <w:widowControl/>
        <w:spacing w:before="240" w:after="240" w:line="560" w:lineRule="atLeast"/>
        <w:ind w:firstLine="640"/>
        <w:jc w:val="left"/>
        <w:rPr>
          <w:rFonts w:ascii="Times New Roman" w:hAnsi="Times New Roman" w:eastAsia="Times New Roman" w:cs="Times New Roman"/>
          <w:kern w:val="0"/>
          <w:sz w:val="24"/>
        </w:rPr>
      </w:pPr>
      <w:r>
        <w:rPr>
          <w:rFonts w:hint="eastAsia" w:ascii="FangSong_GB2312" w:hAnsi="FangSong_GB2312" w:eastAsia="FangSong_GB2312" w:cs="FangSong_GB2312"/>
          <w:kern w:val="0"/>
          <w:sz w:val="32"/>
          <w:szCs w:val="32"/>
          <w:lang w:val="en-US" w:eastAsia="zh-CN"/>
        </w:rPr>
        <w:t>1</w:t>
      </w:r>
      <w:r>
        <w:rPr>
          <w:rFonts w:ascii="FangSong_GB2312" w:hAnsi="FangSong_GB2312" w:eastAsia="FangSong_GB2312" w:cs="FangSong_GB2312"/>
          <w:kern w:val="0"/>
          <w:sz w:val="32"/>
          <w:szCs w:val="32"/>
        </w:rPr>
        <w:t>．事业单位医疗（项）。年初预算</w:t>
      </w:r>
      <w:r>
        <w:rPr>
          <w:rFonts w:hint="eastAsia" w:ascii="FangSong_GB2312" w:hAnsi="FangSong_GB2312" w:eastAsia="FangSong_GB2312" w:cs="FangSong_GB2312"/>
          <w:kern w:val="0"/>
          <w:sz w:val="32"/>
          <w:szCs w:val="32"/>
          <w:lang w:val="en-US" w:eastAsia="zh-CN"/>
        </w:rPr>
        <w:t>10.25</w:t>
      </w:r>
      <w:r>
        <w:rPr>
          <w:rFonts w:ascii="FangSong_GB2312" w:hAnsi="FangSong_GB2312" w:eastAsia="FangSong_GB2312" w:cs="FangSong_GB2312"/>
          <w:kern w:val="0"/>
          <w:sz w:val="32"/>
          <w:szCs w:val="32"/>
        </w:rPr>
        <w:t>万元，支出决算</w:t>
      </w:r>
      <w:r>
        <w:rPr>
          <w:rFonts w:hint="eastAsia" w:eastAsia="宋体"/>
          <w:kern w:val="0"/>
          <w:sz w:val="32"/>
          <w:szCs w:val="32"/>
          <w:u w:val="single"/>
          <w:lang w:val="en-US" w:eastAsia="zh-CN"/>
        </w:rPr>
        <w:t>10.92</w:t>
      </w:r>
      <w:r>
        <w:rPr>
          <w:rFonts w:ascii="FangSong_GB2312" w:hAnsi="FangSong_GB2312" w:eastAsia="FangSong_GB2312" w:cs="FangSong_GB2312"/>
          <w:kern w:val="0"/>
          <w:sz w:val="32"/>
          <w:szCs w:val="32"/>
        </w:rPr>
        <w:t>万元，完成年初预算的</w:t>
      </w:r>
      <w:r>
        <w:rPr>
          <w:rFonts w:hint="eastAsia" w:ascii="FangSong_GB2312" w:hAnsi="FangSong_GB2312" w:eastAsia="FangSong_GB2312" w:cs="FangSong_GB2312"/>
          <w:kern w:val="0"/>
          <w:sz w:val="32"/>
          <w:szCs w:val="32"/>
          <w:lang w:val="en-US" w:eastAsia="zh-CN"/>
        </w:rPr>
        <w:t>106.54</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本年度追加人员经费</w:t>
      </w:r>
      <w:r>
        <w:rPr>
          <w:rFonts w:ascii="FangSong_GB2312" w:hAnsi="FangSong_GB2312" w:eastAsia="FangSong_GB2312" w:cs="FangSong_GB2312"/>
          <w:kern w:val="0"/>
          <w:sz w:val="32"/>
          <w:szCs w:val="32"/>
        </w:rPr>
        <w:t>。</w:t>
      </w:r>
    </w:p>
    <w:p w14:paraId="229D6DD5">
      <w:pPr>
        <w:pStyle w:val="28"/>
        <w:widowControl/>
        <w:spacing w:before="240" w:after="240" w:line="560" w:lineRule="atLeast"/>
        <w:ind w:firstLine="640"/>
        <w:jc w:val="left"/>
        <w:rPr>
          <w:rFonts w:ascii="Times New Roman" w:hAnsi="Times New Roman" w:eastAsia="Times New Roman" w:cs="Times New Roman"/>
          <w:kern w:val="0"/>
          <w:sz w:val="24"/>
        </w:rPr>
      </w:pPr>
      <w:r>
        <w:rPr>
          <w:rFonts w:hint="eastAsia" w:ascii="FangSong_GB2312" w:hAnsi="FangSong_GB2312" w:eastAsia="FangSong_GB2312" w:cs="FangSong_GB2312"/>
          <w:kern w:val="0"/>
          <w:sz w:val="32"/>
          <w:szCs w:val="32"/>
          <w:lang w:val="en-US" w:eastAsia="zh-CN"/>
        </w:rPr>
        <w:t>2</w:t>
      </w:r>
      <w:r>
        <w:rPr>
          <w:rFonts w:ascii="FangSong_GB2312" w:hAnsi="FangSong_GB2312" w:eastAsia="FangSong_GB2312" w:cs="FangSong_GB2312"/>
          <w:kern w:val="0"/>
          <w:sz w:val="32"/>
          <w:szCs w:val="32"/>
        </w:rPr>
        <w:t>．公务员医疗补助（项）。年初预算</w:t>
      </w:r>
      <w:r>
        <w:rPr>
          <w:rFonts w:hint="eastAsia" w:eastAsia="宋体"/>
          <w:kern w:val="0"/>
          <w:sz w:val="32"/>
          <w:szCs w:val="32"/>
          <w:u w:val="single"/>
          <w:lang w:val="en-US" w:eastAsia="zh-CN"/>
        </w:rPr>
        <w:t>0</w:t>
      </w:r>
      <w:r>
        <w:rPr>
          <w:rFonts w:ascii="FangSong_GB2312" w:hAnsi="FangSong_GB2312" w:eastAsia="FangSong_GB2312" w:cs="FangSong_GB2312"/>
          <w:kern w:val="0"/>
          <w:sz w:val="32"/>
          <w:szCs w:val="32"/>
        </w:rPr>
        <w:t>万元，支出决算</w:t>
      </w:r>
      <w:r>
        <w:rPr>
          <w:rFonts w:hint="eastAsia" w:eastAsia="宋体"/>
          <w:kern w:val="0"/>
          <w:sz w:val="32"/>
          <w:szCs w:val="32"/>
          <w:u w:val="single"/>
          <w:lang w:val="en-US" w:eastAsia="zh-CN"/>
        </w:rPr>
        <w:t>0.27</w:t>
      </w:r>
      <w:r>
        <w:rPr>
          <w:rFonts w:ascii="FangSong_GB2312" w:hAnsi="FangSong_GB2312" w:eastAsia="FangSong_GB2312" w:cs="FangSong_GB2312"/>
          <w:kern w:val="0"/>
          <w:sz w:val="32"/>
          <w:szCs w:val="32"/>
        </w:rPr>
        <w:t>万元，完成年初预算的</w:t>
      </w:r>
      <w:r>
        <w:rPr>
          <w:rFonts w:hint="eastAsia" w:ascii="FangSong_GB2312" w:hAnsi="FangSong_GB2312" w:eastAsia="FangSong_GB2312" w:cs="FangSong_GB2312"/>
          <w:kern w:val="0"/>
          <w:sz w:val="32"/>
          <w:szCs w:val="32"/>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本年度追加人员经费</w:t>
      </w:r>
      <w:r>
        <w:rPr>
          <w:rFonts w:ascii="FangSong_GB2312" w:hAnsi="FangSong_GB2312" w:eastAsia="FangSong_GB2312" w:cs="FangSong_GB2312"/>
          <w:kern w:val="0"/>
          <w:sz w:val="32"/>
          <w:szCs w:val="32"/>
        </w:rPr>
        <w:t>。</w:t>
      </w:r>
    </w:p>
    <w:p w14:paraId="39676CA3">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四</w:t>
      </w:r>
      <w:r>
        <w:rPr>
          <w:rFonts w:ascii="楷体" w:hAnsi="楷体" w:eastAsia="楷体" w:cs="楷体"/>
          <w:b/>
          <w:bCs/>
          <w:kern w:val="0"/>
          <w:sz w:val="32"/>
          <w:szCs w:val="32"/>
        </w:rPr>
        <w:t>）住房保障支出（类）</w:t>
      </w:r>
    </w:p>
    <w:p w14:paraId="6C4DE842">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住房保障支出（类）决算数为</w:t>
      </w:r>
      <w:r>
        <w:rPr>
          <w:rFonts w:eastAsia="Times New Roman"/>
          <w:kern w:val="0"/>
          <w:sz w:val="32"/>
          <w:szCs w:val="32"/>
          <w:u w:val="single"/>
          <w:lang w:eastAsia="en-US"/>
        </w:rPr>
        <w:t xml:space="preserve"> 19.45</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 0.98</w:t>
      </w:r>
      <w:r>
        <w:rPr>
          <w:rFonts w:ascii="FangSong_GB2312" w:hAnsi="FangSong_GB2312" w:eastAsia="FangSong_GB2312" w:cs="FangSong_GB2312"/>
          <w:kern w:val="0"/>
          <w:sz w:val="32"/>
          <w:szCs w:val="32"/>
        </w:rPr>
        <w:t>万元。其中：</w:t>
      </w:r>
    </w:p>
    <w:p w14:paraId="52BB7491">
      <w:pPr>
        <w:pStyle w:val="28"/>
        <w:widowControl/>
        <w:spacing w:before="240" w:after="240" w:line="560" w:lineRule="atLeast"/>
        <w:ind w:firstLine="640"/>
        <w:jc w:val="left"/>
        <w:rPr>
          <w:rFonts w:ascii="FangSong_GB2312" w:hAnsi="FangSong_GB2312" w:eastAsia="FangSong_GB2312" w:cs="FangSong_GB2312"/>
          <w:kern w:val="0"/>
          <w:sz w:val="32"/>
          <w:szCs w:val="32"/>
        </w:rPr>
      </w:pPr>
      <w:r>
        <w:rPr>
          <w:rFonts w:ascii="FangSong_GB2312" w:hAnsi="FangSong_GB2312" w:eastAsia="FangSong_GB2312" w:cs="FangSong_GB2312"/>
          <w:kern w:val="0"/>
          <w:sz w:val="32"/>
          <w:szCs w:val="32"/>
        </w:rPr>
        <w:t>住房改革支出（款）</w:t>
      </w:r>
    </w:p>
    <w:p w14:paraId="41FC3BCA">
      <w:pPr>
        <w:pStyle w:val="28"/>
        <w:widowControl/>
        <w:spacing w:before="240" w:after="240" w:line="560" w:lineRule="atLeast"/>
        <w:ind w:firstLine="640"/>
        <w:jc w:val="left"/>
        <w:rPr>
          <w:rFonts w:ascii="Times New Roman" w:hAnsi="Times New Roman" w:eastAsia="Times New Roman" w:cs="Times New Roman"/>
          <w:kern w:val="0"/>
          <w:sz w:val="24"/>
        </w:rPr>
      </w:pPr>
      <w:r>
        <w:rPr>
          <w:rFonts w:hint="eastAsia" w:ascii="FangSong_GB2312" w:hAnsi="FangSong_GB2312" w:eastAsia="FangSong_GB2312" w:cs="FangSong_GB2312"/>
          <w:kern w:val="0"/>
          <w:sz w:val="32"/>
          <w:szCs w:val="32"/>
          <w:lang w:val="en-US" w:eastAsia="zh-CN"/>
        </w:rPr>
        <w:t>1.</w:t>
      </w:r>
      <w:r>
        <w:rPr>
          <w:rFonts w:ascii="FangSong_GB2312" w:hAnsi="FangSong_GB2312" w:eastAsia="FangSong_GB2312" w:cs="FangSong_GB2312"/>
          <w:kern w:val="0"/>
          <w:sz w:val="32"/>
          <w:szCs w:val="32"/>
        </w:rPr>
        <w:t>住房公积金（项）。年初预算</w:t>
      </w:r>
      <w:r>
        <w:rPr>
          <w:rFonts w:hint="eastAsia" w:eastAsia="宋体"/>
          <w:kern w:val="0"/>
          <w:sz w:val="32"/>
          <w:szCs w:val="32"/>
          <w:u w:val="single"/>
          <w:lang w:val="en-US" w:eastAsia="zh-CN"/>
        </w:rPr>
        <w:t>18.47</w:t>
      </w:r>
      <w:r>
        <w:rPr>
          <w:rFonts w:ascii="FangSong_GB2312" w:hAnsi="FangSong_GB2312" w:eastAsia="FangSong_GB2312" w:cs="FangSong_GB2312"/>
          <w:kern w:val="0"/>
          <w:sz w:val="32"/>
          <w:szCs w:val="32"/>
        </w:rPr>
        <w:t>万元，支出决算</w:t>
      </w:r>
      <w:r>
        <w:rPr>
          <w:rFonts w:hint="eastAsia" w:eastAsia="宋体"/>
          <w:kern w:val="0"/>
          <w:sz w:val="32"/>
          <w:szCs w:val="32"/>
          <w:u w:val="single"/>
          <w:lang w:val="en-US" w:eastAsia="zh-CN"/>
        </w:rPr>
        <w:t>19.45</w:t>
      </w:r>
      <w:r>
        <w:rPr>
          <w:rFonts w:ascii="FangSong_GB2312" w:hAnsi="FangSong_GB2312" w:eastAsia="FangSong_GB2312" w:cs="FangSong_GB2312"/>
          <w:kern w:val="0"/>
          <w:sz w:val="32"/>
          <w:szCs w:val="32"/>
        </w:rPr>
        <w:t>万元，完成年初预算的</w:t>
      </w:r>
      <w:r>
        <w:rPr>
          <w:rFonts w:hint="eastAsia" w:eastAsia="宋体"/>
          <w:kern w:val="0"/>
          <w:sz w:val="32"/>
          <w:szCs w:val="32"/>
          <w:u w:val="single"/>
          <w:lang w:val="en-US" w:eastAsia="zh-CN"/>
        </w:rPr>
        <w:t>105.31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本年度追加人员经费</w:t>
      </w:r>
      <w:r>
        <w:rPr>
          <w:rFonts w:ascii="FangSong_GB2312" w:hAnsi="FangSong_GB2312" w:eastAsia="FangSong_GB2312" w:cs="FangSong_GB2312"/>
          <w:kern w:val="0"/>
          <w:sz w:val="32"/>
          <w:szCs w:val="32"/>
        </w:rPr>
        <w:t>。</w:t>
      </w:r>
    </w:p>
    <w:p w14:paraId="4FA04781">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六、一般公共预算财政拨款基本支出决算情况说明</w:t>
      </w:r>
    </w:p>
    <w:p w14:paraId="69D9A0C1">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内蒙古自治区特种设备检验研究院兴安分院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年度一般公共预算财政拨款基本支出决算</w:t>
      </w:r>
      <w:r>
        <w:rPr>
          <w:rFonts w:eastAsia="Times New Roman"/>
          <w:kern w:val="0"/>
          <w:sz w:val="32"/>
          <w:szCs w:val="32"/>
          <w:u w:val="single"/>
          <w:lang w:eastAsia="en-US"/>
        </w:rPr>
        <w:t xml:space="preserve"> 996.07</w:t>
      </w:r>
      <w:r>
        <w:rPr>
          <w:rFonts w:ascii="FangSong_GB2312" w:hAnsi="FangSong_GB2312" w:eastAsia="FangSong_GB2312" w:cs="FangSong_GB2312"/>
          <w:kern w:val="0"/>
          <w:sz w:val="32"/>
          <w:szCs w:val="32"/>
        </w:rPr>
        <w:t>万元，其中：</w:t>
      </w:r>
    </w:p>
    <w:p w14:paraId="6BB6F03B">
      <w:pPr>
        <w:pStyle w:val="28"/>
        <w:widowControl/>
        <w:spacing w:before="240" w:after="240" w:line="560" w:lineRule="atLeast"/>
        <w:ind w:firstLine="640"/>
        <w:jc w:val="left"/>
        <w:rPr>
          <w:rFonts w:ascii="Times New Roman" w:hAnsi="Times New Roman" w:eastAsia="Times New Roman" w:cs="Times New Roman"/>
          <w:kern w:val="0"/>
          <w:sz w:val="24"/>
        </w:rPr>
      </w:pPr>
      <w:r>
        <w:rPr>
          <w:rFonts w:ascii="楷体" w:hAnsi="楷体" w:eastAsia="楷体" w:cs="楷体"/>
          <w:b/>
          <w:bCs/>
          <w:kern w:val="0"/>
          <w:sz w:val="32"/>
          <w:szCs w:val="32"/>
        </w:rPr>
        <w:t>（一）人员经费</w:t>
      </w:r>
      <w:r>
        <w:rPr>
          <w:rFonts w:eastAsia="Times New Roman"/>
          <w:kern w:val="0"/>
          <w:sz w:val="32"/>
          <w:szCs w:val="32"/>
          <w:u w:val="single"/>
          <w:lang w:eastAsia="en-US"/>
        </w:rPr>
        <w:t xml:space="preserve"> 995.56</w:t>
      </w:r>
      <w:r>
        <w:rPr>
          <w:rFonts w:ascii="楷体" w:hAnsi="楷体" w:eastAsia="楷体" w:cs="楷体"/>
          <w:b/>
          <w:bCs/>
          <w:kern w:val="0"/>
          <w:sz w:val="32"/>
          <w:szCs w:val="32"/>
        </w:rPr>
        <w:t>万元。</w:t>
      </w:r>
      <w:r>
        <w:rPr>
          <w:rFonts w:ascii="FangSong_GB2312" w:hAnsi="FangSong_GB2312" w:eastAsia="FangSong_GB2312" w:cs="FangSong_GB2312"/>
          <w:kern w:val="0"/>
          <w:sz w:val="32"/>
          <w:szCs w:val="32"/>
        </w:rPr>
        <w:t>主要包括：基本工资</w:t>
      </w:r>
      <w:r>
        <w:rPr>
          <w:rFonts w:hint="eastAsia" w:ascii="FangSong_GB2312" w:hAnsi="FangSong_GB2312" w:eastAsia="FangSong_GB2312" w:cs="FangSong_GB2312"/>
          <w:kern w:val="0"/>
          <w:sz w:val="32"/>
          <w:szCs w:val="32"/>
          <w:lang w:val="en-US" w:eastAsia="zh-CN"/>
        </w:rPr>
        <w:t>211.19万元</w:t>
      </w:r>
      <w:r>
        <w:rPr>
          <w:rFonts w:ascii="FangSong_GB2312" w:hAnsi="FangSong_GB2312" w:eastAsia="FangSong_GB2312" w:cs="FangSong_GB2312"/>
          <w:kern w:val="0"/>
          <w:sz w:val="32"/>
          <w:szCs w:val="32"/>
        </w:rPr>
        <w:t>、津贴补贴</w:t>
      </w:r>
      <w:r>
        <w:rPr>
          <w:rFonts w:hint="eastAsia" w:ascii="FangSong_GB2312" w:hAnsi="FangSong_GB2312" w:eastAsia="FangSong_GB2312" w:cs="FangSong_GB2312"/>
          <w:kern w:val="0"/>
          <w:sz w:val="32"/>
          <w:szCs w:val="32"/>
          <w:lang w:val="en-US" w:eastAsia="zh-CN"/>
        </w:rPr>
        <w:t>98.14万元</w:t>
      </w:r>
      <w:r>
        <w:rPr>
          <w:rFonts w:ascii="FangSong_GB2312" w:hAnsi="FangSong_GB2312" w:eastAsia="FangSong_GB2312" w:cs="FangSong_GB2312"/>
          <w:kern w:val="0"/>
          <w:sz w:val="32"/>
          <w:szCs w:val="32"/>
        </w:rPr>
        <w:t>、绩效工资</w:t>
      </w:r>
      <w:r>
        <w:rPr>
          <w:rFonts w:hint="eastAsia" w:ascii="FangSong_GB2312" w:hAnsi="FangSong_GB2312" w:eastAsia="FangSong_GB2312" w:cs="FangSong_GB2312"/>
          <w:kern w:val="0"/>
          <w:sz w:val="32"/>
          <w:szCs w:val="32"/>
          <w:lang w:val="en-US" w:eastAsia="zh-CN"/>
        </w:rPr>
        <w:t>168.26万元</w:t>
      </w:r>
      <w:r>
        <w:rPr>
          <w:rFonts w:ascii="FangSong_GB2312" w:hAnsi="FangSong_GB2312" w:eastAsia="FangSong_GB2312" w:cs="FangSong_GB2312"/>
          <w:kern w:val="0"/>
          <w:sz w:val="32"/>
          <w:szCs w:val="32"/>
        </w:rPr>
        <w:t>、机关事业单位基本养老保险缴费</w:t>
      </w:r>
      <w:r>
        <w:rPr>
          <w:rFonts w:hint="eastAsia" w:ascii="FangSong_GB2312" w:hAnsi="FangSong_GB2312" w:eastAsia="FangSong_GB2312" w:cs="FangSong_GB2312"/>
          <w:kern w:val="0"/>
          <w:sz w:val="32"/>
          <w:szCs w:val="32"/>
          <w:lang w:val="en-US" w:eastAsia="zh-CN"/>
        </w:rPr>
        <w:t>51.30万元</w:t>
      </w:r>
      <w:r>
        <w:rPr>
          <w:rFonts w:ascii="FangSong_GB2312" w:hAnsi="FangSong_GB2312" w:eastAsia="FangSong_GB2312" w:cs="FangSong_GB2312"/>
          <w:kern w:val="0"/>
          <w:sz w:val="32"/>
          <w:szCs w:val="32"/>
        </w:rPr>
        <w:t>、职业年金缴费</w:t>
      </w:r>
      <w:r>
        <w:rPr>
          <w:rFonts w:hint="eastAsia" w:ascii="FangSong_GB2312" w:hAnsi="FangSong_GB2312" w:eastAsia="FangSong_GB2312" w:cs="FangSong_GB2312"/>
          <w:kern w:val="0"/>
          <w:sz w:val="32"/>
          <w:szCs w:val="32"/>
          <w:lang w:val="en-US" w:eastAsia="zh-CN"/>
        </w:rPr>
        <w:t>10.65万元</w:t>
      </w:r>
      <w:r>
        <w:rPr>
          <w:rFonts w:ascii="FangSong_GB2312" w:hAnsi="FangSong_GB2312" w:eastAsia="FangSong_GB2312" w:cs="FangSong_GB2312"/>
          <w:kern w:val="0"/>
          <w:sz w:val="32"/>
          <w:szCs w:val="32"/>
        </w:rPr>
        <w:t>、职工基本医疗保险缴费</w:t>
      </w:r>
      <w:r>
        <w:rPr>
          <w:rFonts w:hint="eastAsia" w:ascii="FangSong_GB2312" w:hAnsi="FangSong_GB2312" w:eastAsia="FangSong_GB2312" w:cs="FangSong_GB2312"/>
          <w:kern w:val="0"/>
          <w:sz w:val="32"/>
          <w:szCs w:val="32"/>
          <w:lang w:val="en-US" w:eastAsia="zh-CN"/>
        </w:rPr>
        <w:t>10.92万元</w:t>
      </w:r>
      <w:r>
        <w:rPr>
          <w:rFonts w:ascii="FangSong_GB2312" w:hAnsi="FangSong_GB2312" w:eastAsia="FangSong_GB2312" w:cs="FangSong_GB2312"/>
          <w:kern w:val="0"/>
          <w:sz w:val="32"/>
          <w:szCs w:val="32"/>
        </w:rPr>
        <w:t>、公务员医疗补助缴费</w:t>
      </w:r>
      <w:r>
        <w:rPr>
          <w:rFonts w:hint="eastAsia" w:ascii="FangSong_GB2312" w:hAnsi="FangSong_GB2312" w:eastAsia="FangSong_GB2312" w:cs="FangSong_GB2312"/>
          <w:kern w:val="0"/>
          <w:sz w:val="32"/>
          <w:szCs w:val="32"/>
          <w:lang w:val="en-US" w:eastAsia="zh-CN"/>
        </w:rPr>
        <w:t>0.27万元</w:t>
      </w:r>
      <w:r>
        <w:rPr>
          <w:rFonts w:ascii="FangSong_GB2312" w:hAnsi="FangSong_GB2312" w:eastAsia="FangSong_GB2312" w:cs="FangSong_GB2312"/>
          <w:kern w:val="0"/>
          <w:sz w:val="32"/>
          <w:szCs w:val="32"/>
        </w:rPr>
        <w:t>、</w:t>
      </w:r>
      <w:r>
        <w:rPr>
          <w:rFonts w:hint="eastAsia" w:ascii="FangSong_GB2312" w:hAnsi="FangSong_GB2312" w:eastAsia="FangSong_GB2312" w:cs="FangSong_GB2312"/>
          <w:kern w:val="0"/>
          <w:sz w:val="32"/>
          <w:szCs w:val="32"/>
          <w:lang w:val="en-US" w:eastAsia="zh-CN"/>
        </w:rPr>
        <w:t>其他社会保障缴费2.00万元、</w:t>
      </w:r>
      <w:r>
        <w:rPr>
          <w:rFonts w:ascii="FangSong_GB2312" w:hAnsi="FangSong_GB2312" w:eastAsia="FangSong_GB2312" w:cs="FangSong_GB2312"/>
          <w:kern w:val="0"/>
          <w:sz w:val="32"/>
          <w:szCs w:val="32"/>
        </w:rPr>
        <w:t>住房公积金</w:t>
      </w:r>
      <w:r>
        <w:rPr>
          <w:rFonts w:hint="eastAsia" w:ascii="FangSong_GB2312" w:hAnsi="FangSong_GB2312" w:eastAsia="FangSong_GB2312" w:cs="FangSong_GB2312"/>
          <w:kern w:val="0"/>
          <w:sz w:val="32"/>
          <w:szCs w:val="32"/>
          <w:lang w:val="en-US" w:eastAsia="zh-CN"/>
        </w:rPr>
        <w:t>19.45万元</w:t>
      </w:r>
      <w:r>
        <w:rPr>
          <w:rFonts w:ascii="FangSong_GB2312" w:hAnsi="FangSong_GB2312" w:eastAsia="FangSong_GB2312" w:cs="FangSong_GB2312"/>
          <w:kern w:val="0"/>
          <w:sz w:val="32"/>
          <w:szCs w:val="32"/>
        </w:rPr>
        <w:t>、其他工资福利支出</w:t>
      </w:r>
      <w:r>
        <w:rPr>
          <w:rFonts w:hint="eastAsia" w:ascii="FangSong_GB2312" w:hAnsi="FangSong_GB2312" w:eastAsia="FangSong_GB2312" w:cs="FangSong_GB2312"/>
          <w:kern w:val="0"/>
          <w:sz w:val="32"/>
          <w:szCs w:val="32"/>
          <w:lang w:val="en-US" w:eastAsia="zh-CN"/>
        </w:rPr>
        <w:t>408.14万元</w:t>
      </w:r>
      <w:r>
        <w:rPr>
          <w:rFonts w:ascii="FangSong_GB2312" w:hAnsi="FangSong_GB2312" w:eastAsia="FangSong_GB2312" w:cs="FangSong_GB2312"/>
          <w:kern w:val="0"/>
          <w:sz w:val="32"/>
          <w:szCs w:val="32"/>
        </w:rPr>
        <w:t>、退休费</w:t>
      </w:r>
      <w:r>
        <w:rPr>
          <w:rFonts w:hint="eastAsia" w:ascii="FangSong_GB2312" w:hAnsi="FangSong_GB2312" w:eastAsia="FangSong_GB2312" w:cs="FangSong_GB2312"/>
          <w:kern w:val="0"/>
          <w:sz w:val="32"/>
          <w:szCs w:val="32"/>
          <w:lang w:val="en-US" w:eastAsia="zh-CN"/>
        </w:rPr>
        <w:t>15.25万元</w:t>
      </w:r>
      <w:r>
        <w:rPr>
          <w:rFonts w:ascii="FangSong_GB2312" w:hAnsi="FangSong_GB2312" w:eastAsia="FangSong_GB2312" w:cs="FangSong_GB2312"/>
          <w:kern w:val="0"/>
          <w:sz w:val="32"/>
          <w:szCs w:val="32"/>
        </w:rPr>
        <w:t>。</w:t>
      </w:r>
    </w:p>
    <w:p w14:paraId="36B4E90D">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（二）公用经费</w:t>
      </w:r>
      <w:r>
        <w:rPr>
          <w:rFonts w:eastAsia="Times New Roman"/>
          <w:kern w:val="0"/>
          <w:sz w:val="32"/>
          <w:szCs w:val="32"/>
          <w:u w:val="single"/>
          <w:lang w:eastAsia="en-US"/>
        </w:rPr>
        <w:t xml:space="preserve"> 0.51</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主要包括：办公费</w:t>
      </w:r>
      <w:r>
        <w:rPr>
          <w:rFonts w:hint="eastAsia" w:ascii="FangSong_GB2312" w:hAnsi="FangSong_GB2312" w:eastAsia="FangSong_GB2312" w:cs="FangSong_GB2312"/>
          <w:kern w:val="0"/>
          <w:sz w:val="32"/>
          <w:szCs w:val="32"/>
          <w:lang w:val="en-US" w:eastAsia="zh-CN"/>
        </w:rPr>
        <w:t>0.51万元。</w:t>
      </w:r>
    </w:p>
    <w:p w14:paraId="2EA91F3F">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七、一般公共预算财政拨款项目支出决算情况说明</w:t>
      </w:r>
    </w:p>
    <w:p w14:paraId="6C9C4300">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内蒙古自治区特种设备检验研究院兴安分院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年度一般公共预算财政拨款项目支出决算</w:t>
      </w:r>
      <w:r>
        <w:rPr>
          <w:rFonts w:eastAsia="Times New Roman"/>
          <w:kern w:val="0"/>
          <w:sz w:val="32"/>
          <w:szCs w:val="32"/>
          <w:u w:val="single"/>
          <w:lang w:eastAsia="en-US"/>
        </w:rPr>
        <w:t xml:space="preserve"> 70.00</w:t>
      </w:r>
      <w:r>
        <w:rPr>
          <w:rFonts w:ascii="FangSong_GB2312" w:hAnsi="FangSong_GB2312" w:eastAsia="FangSong_GB2312" w:cs="FangSong_GB2312"/>
          <w:kern w:val="0"/>
          <w:sz w:val="32"/>
          <w:szCs w:val="32"/>
        </w:rPr>
        <w:t>万元，其中：</w:t>
      </w:r>
    </w:p>
    <w:p w14:paraId="43009D8B">
      <w:pPr>
        <w:pStyle w:val="28"/>
        <w:widowControl/>
        <w:numPr>
          <w:ilvl w:val="0"/>
          <w:numId w:val="1"/>
        </w:numPr>
        <w:spacing w:before="240" w:after="240" w:line="560" w:lineRule="atLeast"/>
        <w:ind w:firstLine="640"/>
        <w:jc w:val="left"/>
        <w:rPr>
          <w:rFonts w:ascii="FangSong_GB2312" w:hAnsi="FangSong_GB2312" w:eastAsia="FangSong_GB2312" w:cs="FangSong_GB2312"/>
          <w:kern w:val="0"/>
          <w:sz w:val="32"/>
          <w:szCs w:val="32"/>
        </w:rPr>
      </w:pPr>
      <w:r>
        <w:rPr>
          <w:rFonts w:ascii="FangSong_GB2312" w:hAnsi="FangSong_GB2312" w:eastAsia="FangSong_GB2312" w:cs="FangSong_GB2312"/>
          <w:b/>
          <w:bCs/>
          <w:kern w:val="0"/>
          <w:sz w:val="32"/>
          <w:szCs w:val="32"/>
        </w:rPr>
        <w:t>商品和服务支出</w:t>
      </w:r>
      <w:r>
        <w:rPr>
          <w:rFonts w:eastAsia="Times New Roman"/>
          <w:kern w:val="0"/>
          <w:sz w:val="32"/>
          <w:szCs w:val="32"/>
          <w:u w:val="single"/>
          <w:lang w:eastAsia="en-US"/>
        </w:rPr>
        <w:t xml:space="preserve"> 70.00</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主要包括：办公费</w:t>
      </w:r>
      <w:r>
        <w:rPr>
          <w:rFonts w:hint="eastAsia" w:ascii="FangSong_GB2312" w:hAnsi="FangSong_GB2312" w:eastAsia="FangSong_GB2312" w:cs="FangSong_GB2312"/>
          <w:kern w:val="0"/>
          <w:sz w:val="32"/>
          <w:szCs w:val="32"/>
          <w:lang w:val="en-US" w:eastAsia="zh-CN"/>
        </w:rPr>
        <w:t>10.00万元</w:t>
      </w:r>
      <w:r>
        <w:rPr>
          <w:rFonts w:ascii="FangSong_GB2312" w:hAnsi="FangSong_GB2312" w:eastAsia="FangSong_GB2312" w:cs="FangSong_GB2312"/>
          <w:kern w:val="0"/>
          <w:sz w:val="32"/>
          <w:szCs w:val="32"/>
        </w:rPr>
        <w:t>、水费</w:t>
      </w:r>
      <w:r>
        <w:rPr>
          <w:rFonts w:hint="eastAsia" w:ascii="FangSong_GB2312" w:hAnsi="FangSong_GB2312" w:eastAsia="FangSong_GB2312" w:cs="FangSong_GB2312"/>
          <w:kern w:val="0"/>
          <w:sz w:val="32"/>
          <w:szCs w:val="32"/>
          <w:lang w:val="en-US" w:eastAsia="zh-CN"/>
        </w:rPr>
        <w:t>1.00万元</w:t>
      </w:r>
      <w:r>
        <w:rPr>
          <w:rFonts w:ascii="FangSong_GB2312" w:hAnsi="FangSong_GB2312" w:eastAsia="FangSong_GB2312" w:cs="FangSong_GB2312"/>
          <w:kern w:val="0"/>
          <w:sz w:val="32"/>
          <w:szCs w:val="32"/>
        </w:rPr>
        <w:t>、电费</w:t>
      </w:r>
      <w:r>
        <w:rPr>
          <w:rFonts w:hint="eastAsia" w:ascii="FangSong_GB2312" w:hAnsi="FangSong_GB2312" w:eastAsia="FangSong_GB2312" w:cs="FangSong_GB2312"/>
          <w:kern w:val="0"/>
          <w:sz w:val="32"/>
          <w:szCs w:val="32"/>
          <w:lang w:val="en-US" w:eastAsia="zh-CN"/>
        </w:rPr>
        <w:t>2.00万元</w:t>
      </w:r>
      <w:r>
        <w:rPr>
          <w:rFonts w:ascii="FangSong_GB2312" w:hAnsi="FangSong_GB2312" w:eastAsia="FangSong_GB2312" w:cs="FangSong_GB2312"/>
          <w:kern w:val="0"/>
          <w:sz w:val="32"/>
          <w:szCs w:val="32"/>
        </w:rPr>
        <w:t>、邮电费</w:t>
      </w:r>
      <w:r>
        <w:rPr>
          <w:rFonts w:hint="eastAsia" w:ascii="FangSong_GB2312" w:hAnsi="FangSong_GB2312" w:eastAsia="FangSong_GB2312" w:cs="FangSong_GB2312"/>
          <w:kern w:val="0"/>
          <w:sz w:val="32"/>
          <w:szCs w:val="32"/>
          <w:lang w:val="en-US" w:eastAsia="zh-CN"/>
        </w:rPr>
        <w:t>1.00万元</w:t>
      </w:r>
      <w:r>
        <w:rPr>
          <w:rFonts w:ascii="FangSong_GB2312" w:hAnsi="FangSong_GB2312" w:eastAsia="FangSong_GB2312" w:cs="FangSong_GB2312"/>
          <w:kern w:val="0"/>
          <w:sz w:val="32"/>
          <w:szCs w:val="32"/>
        </w:rPr>
        <w:t>、取暖费</w:t>
      </w:r>
      <w:r>
        <w:rPr>
          <w:rFonts w:hint="eastAsia" w:ascii="FangSong_GB2312" w:hAnsi="FangSong_GB2312" w:eastAsia="FangSong_GB2312" w:cs="FangSong_GB2312"/>
          <w:kern w:val="0"/>
          <w:sz w:val="32"/>
          <w:szCs w:val="32"/>
          <w:lang w:val="en-US" w:eastAsia="zh-CN"/>
        </w:rPr>
        <w:t>31.00万元</w:t>
      </w:r>
      <w:r>
        <w:rPr>
          <w:rFonts w:ascii="FangSong_GB2312" w:hAnsi="FangSong_GB2312" w:eastAsia="FangSong_GB2312" w:cs="FangSong_GB2312"/>
          <w:kern w:val="0"/>
          <w:sz w:val="32"/>
          <w:szCs w:val="32"/>
        </w:rPr>
        <w:t>、物业管理费</w:t>
      </w:r>
      <w:r>
        <w:rPr>
          <w:rFonts w:hint="eastAsia" w:ascii="FangSong_GB2312" w:hAnsi="FangSong_GB2312" w:eastAsia="FangSong_GB2312" w:cs="FangSong_GB2312"/>
          <w:kern w:val="0"/>
          <w:sz w:val="32"/>
          <w:szCs w:val="32"/>
          <w:lang w:val="en-US" w:eastAsia="zh-CN"/>
        </w:rPr>
        <w:t>12.00万元</w:t>
      </w:r>
      <w:r>
        <w:rPr>
          <w:rFonts w:ascii="FangSong_GB2312" w:hAnsi="FangSong_GB2312" w:eastAsia="FangSong_GB2312" w:cs="FangSong_GB2312"/>
          <w:kern w:val="0"/>
          <w:sz w:val="32"/>
          <w:szCs w:val="32"/>
        </w:rPr>
        <w:t>、差旅费</w:t>
      </w:r>
      <w:r>
        <w:rPr>
          <w:rFonts w:hint="eastAsia" w:ascii="FangSong_GB2312" w:hAnsi="FangSong_GB2312" w:eastAsia="FangSong_GB2312" w:cs="FangSong_GB2312"/>
          <w:kern w:val="0"/>
          <w:sz w:val="32"/>
          <w:szCs w:val="32"/>
          <w:lang w:val="en-US" w:eastAsia="zh-CN"/>
        </w:rPr>
        <w:t>13.00万元</w:t>
      </w:r>
      <w:r>
        <w:rPr>
          <w:rFonts w:ascii="FangSong_GB2312" w:hAnsi="FangSong_GB2312" w:eastAsia="FangSong_GB2312" w:cs="FangSong_GB2312"/>
          <w:kern w:val="0"/>
          <w:sz w:val="32"/>
          <w:szCs w:val="32"/>
        </w:rPr>
        <w:t>。</w:t>
      </w:r>
    </w:p>
    <w:p w14:paraId="2D6B6F90">
      <w:pPr>
        <w:pStyle w:val="28"/>
        <w:widowControl/>
        <w:numPr>
          <w:numId w:val="0"/>
        </w:numPr>
        <w:spacing w:before="240" w:after="240" w:line="560" w:lineRule="atLeast"/>
        <w:jc w:val="left"/>
        <w:rPr>
          <w:rFonts w:ascii="FangSong_GB2312" w:hAnsi="FangSong_GB2312" w:eastAsia="FangSong_GB2312" w:cs="FangSong_GB2312"/>
          <w:kern w:val="0"/>
          <w:sz w:val="32"/>
          <w:szCs w:val="32"/>
        </w:rPr>
      </w:pPr>
    </w:p>
    <w:p w14:paraId="4110BDE1">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八、财政拨款</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三公</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经费支出决算情况说明</w:t>
      </w:r>
    </w:p>
    <w:p w14:paraId="02584119">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经费支出总体情况说明。</w:t>
      </w:r>
    </w:p>
    <w:p w14:paraId="7847E0B8">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left="319" w:leftChars="152" w:firstLine="320" w:firstLineChars="100"/>
        <w:jc w:val="both"/>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内蒙古自治区特种设备检验研究院兴安分院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年财政拨款“三公”经费全年预算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。其中：因公出国（境）费全年预算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；公务用车购置及运行维护费全年预算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；公务接待费全年预算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年度一般公共预算财政拨款“三公”经费全年预算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w:t>
      </w:r>
      <w:r>
        <w:rPr>
          <w:rFonts w:hint="eastAsia" w:ascii="FangSong_GB2312" w:hAnsi="FangSong_GB2312" w:eastAsia="FangSong_GB2312" w:cs="FangSong_GB2312"/>
          <w:kern w:val="0"/>
          <w:sz w:val="32"/>
          <w:szCs w:val="32"/>
          <w:lang w:eastAsia="zh-CN"/>
        </w:rPr>
        <w:t>，</w:t>
      </w:r>
      <w:r>
        <w:rPr>
          <w:rFonts w:hint="eastAsia" w:ascii="FangSong_GB2312" w:hAnsi="FangSong_GB2312" w:eastAsia="FangSong_GB2312" w:cs="FangSong_GB2312"/>
          <w:kern w:val="0"/>
          <w:sz w:val="32"/>
          <w:szCs w:val="32"/>
          <w:lang w:val="en-US" w:eastAsia="zh-CN"/>
        </w:rPr>
        <w:t>与预算无差异,</w:t>
      </w:r>
      <w:bookmarkStart w:id="6" w:name="PO_part2A2B7C1DiffReason1"/>
      <w:r>
        <w:rPr>
          <w:rFonts w:hint="eastAsia" w:ascii="仿宋_GB2312" w:hAnsi="仿宋_GB2312" w:eastAsia="仿宋_GB2312" w:cs="仿宋_GB2312"/>
          <w:sz w:val="32"/>
          <w:szCs w:val="32"/>
          <w:u w:val="none"/>
          <w:lang w:val="en-US" w:eastAsia="zh-CN"/>
        </w:rPr>
        <w:t>本年度不涉及“三公”经费支出</w:t>
      </w:r>
      <w:r>
        <w:rPr>
          <w:rFonts w:hint="default" w:ascii="Times New Roman" w:hAnsi="Times New Roman" w:eastAsia="仿宋_GB2312" w:cs="Times New Roman"/>
          <w:sz w:val="11"/>
          <w:szCs w:val="11"/>
          <w:u w:val="none"/>
          <w:lang w:val="en-US" w:eastAsia="zh-CN"/>
        </w:rPr>
        <w:t xml:space="preserve"> </w:t>
      </w:r>
      <w:bookmarkEnd w:id="6"/>
      <w:r>
        <w:rPr>
          <w:rFonts w:hint="default" w:ascii="Times New Roman" w:hAnsi="Times New Roman" w:eastAsia="仿宋_GB2312" w:cs="Times New Roman"/>
          <w:sz w:val="32"/>
          <w:szCs w:val="32"/>
          <w:u w:val="none"/>
          <w:lang w:val="en-US" w:eastAsia="zh-CN"/>
        </w:rPr>
        <w:t>。</w:t>
      </w:r>
    </w:p>
    <w:p w14:paraId="0082D7A8">
      <w:pPr>
        <w:pStyle w:val="28"/>
        <w:widowControl/>
        <w:spacing w:before="240" w:after="240"/>
        <w:ind w:firstLine="643"/>
        <w:jc w:val="left"/>
        <w:rPr>
          <w:rFonts w:ascii="Times New Roman" w:hAnsi="Times New Roman" w:eastAsia="Times New Roman" w:cs="Times New Roman"/>
          <w:color w:val="auto"/>
          <w:kern w:val="0"/>
          <w:sz w:val="24"/>
        </w:rPr>
      </w:pPr>
      <w:r>
        <w:rPr>
          <w:rFonts w:ascii="楷体" w:hAnsi="楷体" w:eastAsia="楷体" w:cs="楷体"/>
          <w:b/>
          <w:bCs/>
          <w:color w:val="auto"/>
          <w:kern w:val="0"/>
          <w:sz w:val="32"/>
          <w:szCs w:val="32"/>
        </w:rPr>
        <w:t>（二）财政拨款</w:t>
      </w:r>
      <w:r>
        <w:rPr>
          <w:rFonts w:ascii="Times New Roman" w:hAnsi="Times New Roman" w:eastAsia="Times New Roman" w:cs="Times New Roman"/>
          <w:b/>
          <w:bCs/>
          <w:color w:val="auto"/>
          <w:kern w:val="0"/>
          <w:sz w:val="32"/>
          <w:szCs w:val="32"/>
          <w:lang w:eastAsia="en-US"/>
        </w:rPr>
        <w:t>“</w:t>
      </w:r>
      <w:r>
        <w:rPr>
          <w:rFonts w:ascii="楷体" w:hAnsi="楷体" w:eastAsia="楷体" w:cs="楷体"/>
          <w:b/>
          <w:bCs/>
          <w:color w:val="auto"/>
          <w:kern w:val="0"/>
          <w:sz w:val="32"/>
          <w:szCs w:val="32"/>
        </w:rPr>
        <w:t>三公</w:t>
      </w:r>
      <w:r>
        <w:rPr>
          <w:rFonts w:ascii="Times New Roman" w:hAnsi="Times New Roman" w:eastAsia="Times New Roman" w:cs="Times New Roman"/>
          <w:b/>
          <w:bCs/>
          <w:color w:val="auto"/>
          <w:kern w:val="0"/>
          <w:sz w:val="32"/>
          <w:szCs w:val="32"/>
          <w:lang w:eastAsia="en-US"/>
        </w:rPr>
        <w:t>”</w:t>
      </w:r>
      <w:r>
        <w:rPr>
          <w:rFonts w:ascii="楷体" w:hAnsi="楷体" w:eastAsia="楷体" w:cs="楷体"/>
          <w:b/>
          <w:bCs/>
          <w:color w:val="auto"/>
          <w:kern w:val="0"/>
          <w:sz w:val="32"/>
          <w:szCs w:val="32"/>
        </w:rPr>
        <w:t>经费支出具体情况说明。</w:t>
      </w:r>
    </w:p>
    <w:p w14:paraId="40C66E4C">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内蒙古自治区特种设备检验研究院兴安分院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年度财政拨款“三公”经费支出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万元。因公出国（境）费支出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；公务用车购置及运行维护费支出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；公务接待费支出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14:paraId="46512E60">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1</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因公出国（境）费支出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万元，全年出国（境）团组</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个，累计</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人次。与上年决算相比，</w:t>
      </w:r>
      <w:bookmarkStart w:id="7" w:name="PO_part2A2B7C2D1mount5"/>
      <w:r>
        <w:rPr>
          <w:rFonts w:hint="eastAsia" w:ascii="仿宋_GB2312" w:hAnsi="仿宋_GB2312" w:eastAsia="仿宋_GB2312" w:cs="仿宋_GB2312"/>
          <w:sz w:val="32"/>
          <w:szCs w:val="32"/>
          <w:u w:val="none"/>
          <w:lang w:val="en-US" w:eastAsia="zh-CN"/>
        </w:rPr>
        <w:t>本年度不存在因公出国（境）费支出</w:t>
      </w:r>
      <w:r>
        <w:rPr>
          <w:rFonts w:hint="default" w:ascii="Times New Roman" w:hAnsi="Times New Roman" w:eastAsia="仿宋_GB2312" w:cs="Times New Roman"/>
          <w:sz w:val="11"/>
          <w:szCs w:val="11"/>
          <w:u w:val="none"/>
          <w:lang w:val="en-US" w:eastAsia="zh-CN"/>
        </w:rPr>
        <w:t xml:space="preserve"> </w:t>
      </w:r>
      <w:bookmarkEnd w:id="7"/>
      <w:r>
        <w:rPr>
          <w:rFonts w:ascii="FangSong_GB2312" w:hAnsi="FangSong_GB2312" w:eastAsia="FangSong_GB2312" w:cs="FangSong_GB2312"/>
          <w:kern w:val="0"/>
          <w:sz w:val="32"/>
          <w:szCs w:val="32"/>
        </w:rPr>
        <w:t>。</w:t>
      </w:r>
    </w:p>
    <w:p w14:paraId="45A4D5DA">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2</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公务用车购置及运行维护费支出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万元。其中：</w:t>
      </w:r>
    </w:p>
    <w:p w14:paraId="0C8CFA1A">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default" w:ascii="Times New Roman" w:hAnsi="Times New Roman" w:eastAsia="仿宋_GB2312" w:cs="Times New Roman"/>
          <w:sz w:val="32"/>
          <w:szCs w:val="32"/>
          <w:u w:val="none"/>
          <w:lang w:val="en-US" w:eastAsia="zh-CN"/>
        </w:rPr>
      </w:pPr>
      <w:r>
        <w:rPr>
          <w:rFonts w:ascii="FangSong_GB2312" w:hAnsi="FangSong_GB2312" w:eastAsia="FangSong_GB2312" w:cs="FangSong_GB2312"/>
          <w:b/>
          <w:bCs/>
          <w:kern w:val="0"/>
          <w:sz w:val="32"/>
          <w:szCs w:val="32"/>
        </w:rPr>
        <w:t>（</w:t>
      </w:r>
      <w:r>
        <w:rPr>
          <w:rFonts w:eastAsia="Times New Roman"/>
          <w:b/>
          <w:bCs/>
          <w:kern w:val="0"/>
          <w:sz w:val="32"/>
          <w:szCs w:val="32"/>
          <w:lang w:eastAsia="en-US"/>
        </w:rPr>
        <w:t>1</w:t>
      </w:r>
      <w:r>
        <w:rPr>
          <w:rFonts w:ascii="FangSong_GB2312" w:hAnsi="FangSong_GB2312" w:eastAsia="FangSong_GB2312" w:cs="FangSong_GB2312"/>
          <w:b/>
          <w:bCs/>
          <w:kern w:val="0"/>
          <w:sz w:val="32"/>
          <w:szCs w:val="32"/>
        </w:rPr>
        <w:t>）公务用车购置支出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万元。本年度使用财政拨款购置公务用车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与上年决算相比，</w:t>
      </w:r>
      <w:bookmarkStart w:id="8" w:name="PO_part2A2B7C2D2mount6"/>
      <w:r>
        <w:rPr>
          <w:rFonts w:hint="eastAsia" w:ascii="仿宋_GB2312" w:hAnsi="仿宋_GB2312" w:eastAsia="仿宋_GB2312" w:cs="仿宋_GB2312"/>
          <w:sz w:val="32"/>
          <w:szCs w:val="32"/>
          <w:u w:val="none"/>
          <w:lang w:val="en-US" w:eastAsia="zh-CN"/>
        </w:rPr>
        <w:t>本年度不存在公务用车购置支出</w:t>
      </w:r>
      <w:r>
        <w:rPr>
          <w:rFonts w:hint="default" w:ascii="Times New Roman" w:hAnsi="Times New Roman" w:eastAsia="仿宋_GB2312" w:cs="Times New Roman"/>
          <w:sz w:val="11"/>
          <w:szCs w:val="11"/>
          <w:u w:val="none"/>
          <w:lang w:val="en-US" w:eastAsia="zh-CN"/>
        </w:rPr>
        <w:t xml:space="preserve"> </w:t>
      </w:r>
      <w:bookmarkEnd w:id="8"/>
      <w:r>
        <w:rPr>
          <w:rFonts w:hint="default" w:ascii="Times New Roman" w:hAnsi="Times New Roman" w:eastAsia="仿宋_GB2312" w:cs="Times New Roman"/>
          <w:sz w:val="32"/>
          <w:szCs w:val="32"/>
          <w:u w:val="none"/>
          <w:lang w:val="en-US" w:eastAsia="zh-CN"/>
        </w:rPr>
        <w:t>。</w:t>
      </w:r>
    </w:p>
    <w:p w14:paraId="0218655E">
      <w:pPr>
        <w:pStyle w:val="28"/>
        <w:widowControl/>
        <w:spacing w:before="240" w:after="240" w:line="560" w:lineRule="atLeast"/>
        <w:ind w:firstLine="640"/>
        <w:jc w:val="left"/>
        <w:rPr>
          <w:rFonts w:hint="default" w:ascii="Times New Roman" w:hAnsi="Times New Roman" w:eastAsia="仿宋_GB2312" w:cs="Times New Roman"/>
          <w:sz w:val="32"/>
          <w:szCs w:val="32"/>
          <w:u w:val="none"/>
          <w:lang w:val="en-US" w:eastAsia="zh-CN"/>
        </w:rPr>
      </w:pPr>
      <w:r>
        <w:rPr>
          <w:rFonts w:ascii="FangSong_GB2312" w:hAnsi="FangSong_GB2312" w:eastAsia="FangSong_GB2312" w:cs="FangSong_GB2312"/>
          <w:b/>
          <w:bCs/>
          <w:kern w:val="0"/>
          <w:sz w:val="32"/>
          <w:szCs w:val="32"/>
        </w:rPr>
        <w:t>（</w:t>
      </w:r>
      <w:r>
        <w:rPr>
          <w:rFonts w:eastAsia="Times New Roman"/>
          <w:b/>
          <w:bCs/>
          <w:kern w:val="0"/>
          <w:sz w:val="32"/>
          <w:szCs w:val="32"/>
          <w:lang w:eastAsia="en-US"/>
        </w:rPr>
        <w:t>2</w:t>
      </w:r>
      <w:r>
        <w:rPr>
          <w:rFonts w:ascii="FangSong_GB2312" w:hAnsi="FangSong_GB2312" w:eastAsia="FangSong_GB2312" w:cs="FangSong_GB2312"/>
          <w:b/>
          <w:bCs/>
          <w:kern w:val="0"/>
          <w:sz w:val="32"/>
          <w:szCs w:val="32"/>
        </w:rPr>
        <w:t>）公务用车运行维护费支出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万元。公务用车运行维护费主要用于按规定保留的公务用车的燃料费、</w:t>
      </w:r>
      <w:r>
        <w:rPr>
          <w:rFonts w:ascii="FangSong_GB2312" w:hAnsi="FangSong_GB2312" w:eastAsia="FangSong_GB2312" w:cs="FangSong_GB2312"/>
          <w:color w:val="000000"/>
          <w:kern w:val="0"/>
          <w:sz w:val="32"/>
          <w:szCs w:val="32"/>
        </w:rPr>
        <w:t>新能源汽车充电费、</w:t>
      </w:r>
      <w:r>
        <w:rPr>
          <w:rFonts w:ascii="FangSong_GB2312" w:hAnsi="FangSong_GB2312" w:eastAsia="FangSong_GB2312" w:cs="FangSong_GB2312"/>
          <w:kern w:val="0"/>
          <w:sz w:val="32"/>
          <w:szCs w:val="32"/>
        </w:rPr>
        <w:t>维修费、过桥过路费、保险费、安全奖励费用等支出。截至</w:t>
      </w:r>
      <w:r>
        <w:rPr>
          <w:rFonts w:eastAsia="Times New Roman"/>
          <w:kern w:val="0"/>
          <w:sz w:val="32"/>
          <w:szCs w:val="32"/>
          <w:lang w:eastAsia="en-US"/>
        </w:rPr>
        <w:t>2025</w:t>
      </w:r>
      <w:r>
        <w:rPr>
          <w:rFonts w:ascii="FangSong_GB2312" w:hAnsi="FangSong_GB2312" w:eastAsia="FangSong_GB2312" w:cs="FangSong_GB2312"/>
          <w:kern w:val="0"/>
          <w:sz w:val="32"/>
          <w:szCs w:val="32"/>
        </w:rPr>
        <w:t>年</w:t>
      </w:r>
      <w:r>
        <w:rPr>
          <w:rFonts w:eastAsia="Times New Roman"/>
          <w:kern w:val="0"/>
          <w:sz w:val="32"/>
          <w:szCs w:val="32"/>
          <w:lang w:eastAsia="en-US"/>
        </w:rPr>
        <w:t>12</w:t>
      </w:r>
      <w:r>
        <w:rPr>
          <w:rFonts w:ascii="FangSong_GB2312" w:hAnsi="FangSong_GB2312" w:eastAsia="FangSong_GB2312" w:cs="FangSong_GB2312"/>
          <w:kern w:val="0"/>
          <w:sz w:val="32"/>
          <w:szCs w:val="32"/>
        </w:rPr>
        <w:t>月</w:t>
      </w:r>
      <w:r>
        <w:rPr>
          <w:rFonts w:eastAsia="Times New Roman"/>
          <w:kern w:val="0"/>
          <w:sz w:val="32"/>
          <w:szCs w:val="32"/>
          <w:lang w:eastAsia="en-US"/>
        </w:rPr>
        <w:t>31</w:t>
      </w:r>
      <w:r>
        <w:rPr>
          <w:rFonts w:ascii="FangSong_GB2312" w:hAnsi="FangSong_GB2312" w:eastAsia="FangSong_GB2312" w:cs="FangSong_GB2312"/>
          <w:kern w:val="0"/>
          <w:sz w:val="32"/>
          <w:szCs w:val="32"/>
        </w:rPr>
        <w:t>日，使用财政拨款开支的公务用车保有量为</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辆。与上年决算相比，</w:t>
      </w:r>
      <w:bookmarkStart w:id="9" w:name="PO_part2A2B7C2D2mount11"/>
      <w:r>
        <w:rPr>
          <w:rFonts w:hint="eastAsia" w:ascii="仿宋_GB2312" w:hAnsi="仿宋_GB2312" w:eastAsia="仿宋_GB2312" w:cs="仿宋_GB2312"/>
          <w:sz w:val="32"/>
          <w:szCs w:val="32"/>
          <w:u w:val="none"/>
          <w:lang w:val="en-US" w:eastAsia="zh-CN"/>
        </w:rPr>
        <w:t>本年度不存在公务用车运行维护费支出</w:t>
      </w:r>
      <w:r>
        <w:rPr>
          <w:rFonts w:hint="default" w:ascii="Times New Roman" w:hAnsi="Times New Roman" w:eastAsia="仿宋_GB2312" w:cs="Times New Roman"/>
          <w:sz w:val="11"/>
          <w:szCs w:val="11"/>
          <w:u w:val="none"/>
          <w:lang w:val="en-US" w:eastAsia="zh-CN"/>
        </w:rPr>
        <w:t xml:space="preserve"> </w:t>
      </w:r>
      <w:bookmarkEnd w:id="9"/>
      <w:r>
        <w:rPr>
          <w:rFonts w:hint="default" w:ascii="Times New Roman" w:hAnsi="Times New Roman" w:eastAsia="仿宋_GB2312" w:cs="Times New Roman"/>
          <w:sz w:val="32"/>
          <w:szCs w:val="32"/>
          <w:u w:val="none"/>
          <w:lang w:val="en-US" w:eastAsia="zh-CN"/>
        </w:rPr>
        <w:t>。</w:t>
      </w:r>
    </w:p>
    <w:p w14:paraId="12FE75C2">
      <w:pPr>
        <w:pStyle w:val="28"/>
        <w:widowControl/>
        <w:spacing w:before="240" w:after="240" w:line="560" w:lineRule="atLeast"/>
        <w:ind w:firstLine="640"/>
        <w:jc w:val="left"/>
        <w:rPr>
          <w:rFonts w:ascii="黑体" w:hAnsi="黑体" w:eastAsia="黑体" w:cs="黑体"/>
          <w:b/>
          <w:bCs/>
          <w:kern w:val="0"/>
          <w:sz w:val="32"/>
          <w:szCs w:val="32"/>
        </w:rPr>
      </w:pPr>
      <w:r>
        <w:rPr>
          <w:rFonts w:eastAsia="Times New Roman"/>
          <w:b/>
          <w:bCs/>
          <w:kern w:val="0"/>
          <w:sz w:val="32"/>
          <w:szCs w:val="32"/>
          <w:lang w:eastAsia="en-US"/>
        </w:rPr>
        <w:t>3</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公务接待费支出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万元。其中：国内公务接待支出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万元，接待</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批次，</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人次；国（境）外公务接待支出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万元，接待</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批次，</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人次。与上年决算相比，</w:t>
      </w:r>
      <w:bookmarkStart w:id="10" w:name="PO_part2A2B7C2D3mount7"/>
      <w:r>
        <w:rPr>
          <w:rFonts w:hint="eastAsia" w:ascii="仿宋_GB2312" w:hAnsi="仿宋_GB2312" w:eastAsia="仿宋_GB2312" w:cs="仿宋_GB2312"/>
          <w:sz w:val="32"/>
          <w:szCs w:val="32"/>
          <w:u w:val="none"/>
          <w:lang w:val="en-US" w:eastAsia="zh-CN"/>
        </w:rPr>
        <w:t>本年度不存在公务接待费支出</w:t>
      </w:r>
      <w:r>
        <w:rPr>
          <w:rFonts w:hint="default" w:ascii="Times New Roman" w:hAnsi="Times New Roman" w:eastAsia="仿宋_GB2312" w:cs="Times New Roman"/>
          <w:sz w:val="11"/>
          <w:szCs w:val="11"/>
          <w:u w:val="none"/>
        </w:rPr>
        <w:t xml:space="preserve"> </w:t>
      </w:r>
      <w:bookmarkEnd w:id="10"/>
      <w:r>
        <w:rPr>
          <w:rFonts w:hint="default" w:ascii="Times New Roman" w:hAnsi="Times New Roman" w:eastAsia="仿宋_GB2312" w:cs="Times New Roman"/>
          <w:color w:val="auto"/>
          <w:kern w:val="2"/>
          <w:sz w:val="32"/>
          <w:szCs w:val="24"/>
          <w:u w:val="none"/>
          <w:lang w:eastAsia="zh-CN"/>
        </w:rPr>
        <w:t>。</w:t>
      </w:r>
    </w:p>
    <w:p w14:paraId="3A765E8D">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九、政府性基金预算财政拨款支出决算情况说明</w:t>
      </w:r>
    </w:p>
    <w:p w14:paraId="300EBE3D">
      <w:pPr>
        <w:widowControl/>
        <w:spacing w:before="240" w:after="240"/>
        <w:ind w:left="0" w:leftChars="0" w:firstLine="419" w:firstLineChars="131"/>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内蒙古自治区特种设备检验研究院兴安分院</w:t>
      </w:r>
      <w:r>
        <w:rPr>
          <w:rFonts w:eastAsia="Times New Roman"/>
          <w:kern w:val="0"/>
          <w:sz w:val="32"/>
          <w:szCs w:val="32"/>
          <w:lang w:eastAsia="en-US"/>
        </w:rPr>
        <w:t>2025</w:t>
      </w:r>
      <w:r>
        <w:rPr>
          <w:rFonts w:ascii="FangSong_GB2312" w:hAnsi="FangSong_GB2312" w:eastAsia="FangSong_GB2312" w:cs="FangSong_GB2312"/>
          <w:kern w:val="0"/>
          <w:sz w:val="32"/>
          <w:szCs w:val="32"/>
        </w:rPr>
        <w:t>年度政府性基金预算财政拨款支出决算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万元。与上年决算相比，</w:t>
      </w:r>
      <w:r>
        <w:rPr>
          <w:rFonts w:hint="eastAsia" w:ascii="Times New Roman" w:hAnsi="Times New Roman" w:eastAsia="仿宋_GB2312" w:cs="Times New Roman"/>
          <w:sz w:val="32"/>
          <w:szCs w:val="32"/>
          <w:u w:val="none"/>
          <w:lang w:val="en-US" w:eastAsia="zh-CN"/>
        </w:rPr>
        <w:t>我院本年无政府性基金预算财政拨款收、支、余</w:t>
      </w:r>
      <w:r>
        <w:rPr>
          <w:rFonts w:hint="default" w:ascii="Times New Roman" w:hAnsi="Times New Roman" w:eastAsia="仿宋_GB2312" w:cs="Times New Roman"/>
          <w:sz w:val="32"/>
          <w:szCs w:val="32"/>
          <w:u w:val="none"/>
          <w:lang w:val="en-US" w:eastAsia="zh-CN"/>
        </w:rPr>
        <w:t>。</w:t>
      </w:r>
    </w:p>
    <w:p w14:paraId="797DF229">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十、国有资本经营预算财政拨款支出决算情况说明</w:t>
      </w:r>
    </w:p>
    <w:p w14:paraId="2AA4DE34">
      <w:pPr>
        <w:widowControl/>
        <w:spacing w:before="240" w:after="240"/>
        <w:ind w:left="0" w:leftChars="0" w:firstLine="419" w:firstLineChars="131"/>
        <w:rPr>
          <w:rFonts w:hint="default" w:ascii="Times New Roman" w:hAnsi="Times New Roman" w:eastAsia="仿宋_GB2312" w:cs="Times New Roman"/>
          <w:sz w:val="32"/>
          <w:szCs w:val="32"/>
          <w:u w:val="none"/>
          <w:lang w:val="en-US" w:eastAsia="zh-CN"/>
        </w:rPr>
      </w:pPr>
      <w:r>
        <w:rPr>
          <w:rFonts w:ascii="FangSong_GB2312" w:hAnsi="FangSong_GB2312" w:eastAsia="FangSong_GB2312" w:cs="FangSong_GB2312"/>
          <w:kern w:val="0"/>
          <w:sz w:val="32"/>
          <w:szCs w:val="32"/>
        </w:rPr>
        <w:t>内蒙古自治区特种设备检验研究院兴安分院</w:t>
      </w:r>
      <w:r>
        <w:rPr>
          <w:rFonts w:eastAsia="Times New Roman"/>
          <w:kern w:val="0"/>
          <w:sz w:val="32"/>
          <w:szCs w:val="32"/>
          <w:lang w:eastAsia="en-US"/>
        </w:rPr>
        <w:t>2025</w:t>
      </w:r>
      <w:r>
        <w:rPr>
          <w:rFonts w:ascii="FangSong_GB2312" w:hAnsi="FangSong_GB2312" w:eastAsia="FangSong_GB2312" w:cs="FangSong_GB2312"/>
          <w:kern w:val="0"/>
          <w:sz w:val="32"/>
          <w:szCs w:val="32"/>
        </w:rPr>
        <w:t>年度国有资本经营预算财政拨款支出决算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万元。与上年决算相比，</w:t>
      </w:r>
      <w:r>
        <w:rPr>
          <w:rFonts w:hint="eastAsia" w:ascii="Times New Roman" w:hAnsi="Times New Roman" w:eastAsia="仿宋_GB2312" w:cs="Times New Roman"/>
          <w:sz w:val="32"/>
          <w:szCs w:val="32"/>
          <w:u w:val="none"/>
          <w:lang w:val="en-US" w:eastAsia="zh-CN"/>
        </w:rPr>
        <w:t>我院本年无国有资本经营预算财政拨款收、支、余</w:t>
      </w:r>
      <w:r>
        <w:rPr>
          <w:rFonts w:hint="default" w:ascii="Times New Roman" w:hAnsi="Times New Roman" w:eastAsia="仿宋_GB2312" w:cs="Times New Roman"/>
          <w:sz w:val="32"/>
          <w:szCs w:val="32"/>
          <w:u w:val="none"/>
          <w:lang w:val="en-US" w:eastAsia="zh-CN"/>
        </w:rPr>
        <w:t>。</w:t>
      </w:r>
    </w:p>
    <w:p w14:paraId="2B018110">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十一、机关运行经费（公用经费）支出决算情况说明</w:t>
      </w:r>
    </w:p>
    <w:p w14:paraId="4DB2BE90">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 xml:space="preserve">内蒙古自治区特种设备检验研究院兴安分院 </w:t>
      </w:r>
      <w:r>
        <w:rPr>
          <w:rFonts w:eastAsia="Times New Roman"/>
          <w:kern w:val="0"/>
          <w:sz w:val="32"/>
          <w:szCs w:val="32"/>
          <w:lang w:eastAsia="en-US"/>
        </w:rPr>
        <w:t>2025</w:t>
      </w:r>
      <w:r>
        <w:rPr>
          <w:rFonts w:ascii="FangSong_GB2312" w:hAnsi="FangSong_GB2312" w:eastAsia="FangSong_GB2312" w:cs="FangSong_GB2312"/>
          <w:kern w:val="0"/>
          <w:sz w:val="32"/>
          <w:szCs w:val="32"/>
        </w:rPr>
        <w:t>年度公用经费支出决算</w:t>
      </w:r>
      <w:r>
        <w:rPr>
          <w:rFonts w:eastAsia="Times New Roman"/>
          <w:kern w:val="0"/>
          <w:sz w:val="32"/>
          <w:szCs w:val="32"/>
          <w:u w:val="single"/>
          <w:lang w:eastAsia="en-US"/>
        </w:rPr>
        <w:t xml:space="preserve"> 0.51</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0.05</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11.76</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本年度我院公用经费中办公费0.51万元，上年度我院公用经费0.46万元，</w:t>
      </w:r>
      <w:r>
        <w:rPr>
          <w:rFonts w:hint="eastAsia" w:ascii="Times New Roman" w:hAnsi="Times New Roman" w:eastAsia="仿宋_GB2312" w:cs="Times New Roman"/>
          <w:sz w:val="32"/>
          <w:szCs w:val="32"/>
          <w:u w:val="none"/>
          <w:lang w:val="en-US" w:eastAsia="zh-CN"/>
        </w:rPr>
        <w:t>因而公用经费支出决算数增加</w:t>
      </w:r>
      <w:r>
        <w:rPr>
          <w:rFonts w:ascii="FangSong_GB2312" w:hAnsi="FangSong_GB2312" w:eastAsia="FangSong_GB2312" w:cs="FangSong_GB2312"/>
          <w:kern w:val="0"/>
          <w:sz w:val="32"/>
          <w:szCs w:val="32"/>
        </w:rPr>
        <w:t>。其中，机关运行经费支出决算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w:t>
      </w:r>
      <w:r>
        <w:rPr>
          <w:rFonts w:hint="eastAsia" w:ascii="Times New Roman" w:hAnsi="Times New Roman" w:eastAsia="仿宋_GB2312" w:cs="Times New Roman"/>
          <w:sz w:val="32"/>
          <w:szCs w:val="32"/>
          <w:u w:val="none"/>
          <w:lang w:val="en-US" w:eastAsia="zh-CN"/>
        </w:rPr>
        <w:t>我单位类型为事业单位公益二类单位</w:t>
      </w:r>
      <w:r>
        <w:rPr>
          <w:rFonts w:hint="eastAsia" w:eastAsia="仿宋_GB2312" w:cs="Times New Roman"/>
          <w:sz w:val="32"/>
          <w:szCs w:val="32"/>
          <w:u w:val="none"/>
          <w:lang w:val="en-US" w:eastAsia="zh-CN"/>
        </w:rPr>
        <w:t>,</w:t>
      </w:r>
      <w:r>
        <w:rPr>
          <w:rFonts w:hint="eastAsia" w:ascii="Times New Roman" w:hAnsi="Times New Roman" w:eastAsia="仿宋_GB2312" w:cs="Times New Roman"/>
          <w:sz w:val="32"/>
          <w:szCs w:val="32"/>
          <w:u w:val="none"/>
          <w:lang w:val="en-US" w:eastAsia="zh-CN"/>
        </w:rPr>
        <w:t>无机关运行经费支出。</w:t>
      </w:r>
    </w:p>
    <w:p w14:paraId="0C2C469B">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十二、政府采购支出决算情况说明</w:t>
      </w:r>
    </w:p>
    <w:p w14:paraId="124CE138">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内蒙古自治区特种设备检验研究院兴安分院</w:t>
      </w:r>
      <w:r>
        <w:rPr>
          <w:rFonts w:eastAsia="Times New Roman"/>
          <w:kern w:val="0"/>
          <w:sz w:val="32"/>
          <w:szCs w:val="32"/>
          <w:lang w:eastAsia="en-US"/>
        </w:rPr>
        <w:t>2025</w:t>
      </w:r>
      <w:r>
        <w:rPr>
          <w:rFonts w:ascii="FangSong_GB2312" w:hAnsi="FangSong_GB2312" w:eastAsia="FangSong_GB2312" w:cs="FangSong_GB2312"/>
          <w:kern w:val="0"/>
          <w:sz w:val="32"/>
          <w:szCs w:val="32"/>
        </w:rPr>
        <w:t>年度政府采购支出总额</w:t>
      </w:r>
      <w:r>
        <w:rPr>
          <w:rFonts w:eastAsia="Times New Roman"/>
          <w:kern w:val="0"/>
          <w:sz w:val="32"/>
          <w:szCs w:val="32"/>
          <w:u w:val="single"/>
          <w:lang w:eastAsia="en-US"/>
        </w:rPr>
        <w:t xml:space="preserve"> 44.48</w:t>
      </w:r>
      <w:r>
        <w:rPr>
          <w:rFonts w:ascii="FangSong_GB2312" w:hAnsi="FangSong_GB2312" w:eastAsia="FangSong_GB2312" w:cs="FangSong_GB2312"/>
          <w:kern w:val="0"/>
          <w:sz w:val="32"/>
          <w:szCs w:val="32"/>
        </w:rPr>
        <w:t>万元，其中：政府采购货物支出</w:t>
      </w:r>
      <w:r>
        <w:rPr>
          <w:rFonts w:eastAsia="Times New Roman"/>
          <w:kern w:val="0"/>
          <w:sz w:val="32"/>
          <w:szCs w:val="32"/>
          <w:u w:val="single"/>
          <w:lang w:eastAsia="en-US"/>
        </w:rPr>
        <w:t xml:space="preserve"> 2.09</w:t>
      </w:r>
      <w:r>
        <w:rPr>
          <w:rFonts w:ascii="FangSong_GB2312" w:hAnsi="FangSong_GB2312" w:eastAsia="FangSong_GB2312" w:cs="FangSong_GB2312"/>
          <w:kern w:val="0"/>
          <w:sz w:val="32"/>
          <w:szCs w:val="32"/>
        </w:rPr>
        <w:t>万元、政府采购工程支出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万元、政府采购服务支出</w:t>
      </w:r>
      <w:r>
        <w:rPr>
          <w:rFonts w:eastAsia="Times New Roman"/>
          <w:kern w:val="0"/>
          <w:sz w:val="32"/>
          <w:szCs w:val="32"/>
          <w:u w:val="single"/>
          <w:lang w:eastAsia="en-US"/>
        </w:rPr>
        <w:t xml:space="preserve"> 42.39</w:t>
      </w:r>
      <w:r>
        <w:rPr>
          <w:rFonts w:ascii="FangSong_GB2312" w:hAnsi="FangSong_GB2312" w:eastAsia="FangSong_GB2312" w:cs="FangSong_GB2312"/>
          <w:kern w:val="0"/>
          <w:sz w:val="32"/>
          <w:szCs w:val="32"/>
        </w:rPr>
        <w:t>万元。政府采购授予中小企业合同金额</w:t>
      </w:r>
      <w:r>
        <w:rPr>
          <w:rFonts w:eastAsia="Times New Roman"/>
          <w:kern w:val="0"/>
          <w:sz w:val="32"/>
          <w:szCs w:val="32"/>
          <w:u w:val="single"/>
          <w:lang w:eastAsia="en-US"/>
        </w:rPr>
        <w:t xml:space="preserve"> 20.30</w:t>
      </w:r>
      <w:r>
        <w:rPr>
          <w:rFonts w:ascii="FangSong_GB2312" w:hAnsi="FangSong_GB2312" w:eastAsia="FangSong_GB2312" w:cs="FangSong_GB2312"/>
          <w:kern w:val="0"/>
          <w:sz w:val="32"/>
          <w:szCs w:val="32"/>
        </w:rPr>
        <w:t>万元，占政府采购支出总额的</w:t>
      </w:r>
      <w:r>
        <w:rPr>
          <w:rFonts w:hint="eastAsia" w:eastAsia="宋体"/>
          <w:kern w:val="0"/>
          <w:sz w:val="32"/>
          <w:szCs w:val="32"/>
          <w:u w:val="single"/>
          <w:lang w:val="en-US" w:eastAsia="zh-CN"/>
        </w:rPr>
        <w:t>45.64</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，其中：授予小微企业合同金额</w:t>
      </w:r>
      <w:r>
        <w:rPr>
          <w:rFonts w:eastAsia="Times New Roman"/>
          <w:kern w:val="0"/>
          <w:sz w:val="32"/>
          <w:szCs w:val="32"/>
          <w:u w:val="single"/>
          <w:lang w:eastAsia="en-US"/>
        </w:rPr>
        <w:t xml:space="preserve"> </w:t>
      </w:r>
      <w:r>
        <w:rPr>
          <w:rFonts w:hint="eastAsia" w:eastAsia="宋体"/>
          <w:kern w:val="0"/>
          <w:sz w:val="32"/>
          <w:szCs w:val="32"/>
          <w:u w:val="single"/>
          <w:lang w:val="en-US" w:eastAsia="zh-CN"/>
        </w:rPr>
        <w:t>12.71</w:t>
      </w:r>
      <w:r>
        <w:rPr>
          <w:rFonts w:ascii="FangSong_GB2312" w:hAnsi="FangSong_GB2312" w:eastAsia="FangSong_GB2312" w:cs="FangSong_GB2312"/>
          <w:kern w:val="0"/>
          <w:sz w:val="32"/>
          <w:szCs w:val="32"/>
        </w:rPr>
        <w:t>万元，占政府采购支出总额的</w:t>
      </w:r>
      <w:r>
        <w:rPr>
          <w:rFonts w:hint="eastAsia" w:eastAsia="宋体"/>
          <w:kern w:val="0"/>
          <w:sz w:val="32"/>
          <w:szCs w:val="32"/>
          <w:u w:val="single"/>
          <w:lang w:val="en-US" w:eastAsia="zh-CN"/>
        </w:rPr>
        <w:t>28.57</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；货物采购授予中小企业合同金额占货物支出金额的</w:t>
      </w:r>
      <w:r>
        <w:rPr>
          <w:rFonts w:hint="eastAsia" w:ascii="FangSong_GB2312" w:hAnsi="FangSong_GB2312" w:eastAsia="FangSong_GB2312" w:cs="FangSong_GB2312"/>
          <w:kern w:val="0"/>
          <w:sz w:val="32"/>
          <w:szCs w:val="32"/>
          <w:lang w:val="en-US" w:eastAsia="zh-CN"/>
        </w:rPr>
        <w:t>4.70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，工程采购授予中小企业合同金额占工程支出金额的</w:t>
      </w:r>
      <w:r>
        <w:rPr>
          <w:rFonts w:hint="eastAsia" w:eastAsia="宋体"/>
          <w:kern w:val="0"/>
          <w:sz w:val="32"/>
          <w:szCs w:val="32"/>
          <w:u w:val="single"/>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，服务采购授予中小企业合同金额占服务支出金额的</w:t>
      </w:r>
      <w:r>
        <w:rPr>
          <w:rFonts w:hint="eastAsia" w:eastAsia="宋体"/>
          <w:kern w:val="0"/>
          <w:sz w:val="32"/>
          <w:szCs w:val="32"/>
          <w:u w:val="single"/>
          <w:lang w:val="en-US" w:eastAsia="zh-CN"/>
        </w:rPr>
        <w:t>95.30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192BE6EA">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十三、国有资产占用情况说明</w:t>
      </w:r>
    </w:p>
    <w:p w14:paraId="1A1BB057">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内蒙古自治区特种设备检验研究院兴安分院截至</w:t>
      </w:r>
      <w:r>
        <w:rPr>
          <w:rFonts w:eastAsia="Times New Roman"/>
          <w:kern w:val="0"/>
          <w:sz w:val="32"/>
          <w:szCs w:val="32"/>
          <w:lang w:eastAsia="en-US"/>
        </w:rPr>
        <w:t>2025</w:t>
      </w:r>
      <w:r>
        <w:rPr>
          <w:rFonts w:ascii="FangSong_GB2312" w:hAnsi="FangSong_GB2312" w:eastAsia="FangSong_GB2312" w:cs="FangSong_GB2312"/>
          <w:kern w:val="0"/>
          <w:sz w:val="32"/>
          <w:szCs w:val="32"/>
        </w:rPr>
        <w:t>年</w:t>
      </w:r>
      <w:r>
        <w:rPr>
          <w:rFonts w:eastAsia="Times New Roman"/>
          <w:kern w:val="0"/>
          <w:sz w:val="32"/>
          <w:szCs w:val="32"/>
          <w:lang w:eastAsia="en-US"/>
        </w:rPr>
        <w:t>12</w:t>
      </w:r>
      <w:r>
        <w:rPr>
          <w:rFonts w:ascii="FangSong_GB2312" w:hAnsi="FangSong_GB2312" w:eastAsia="FangSong_GB2312" w:cs="FangSong_GB2312"/>
          <w:kern w:val="0"/>
          <w:sz w:val="32"/>
          <w:szCs w:val="32"/>
        </w:rPr>
        <w:t>月</w:t>
      </w:r>
      <w:r>
        <w:rPr>
          <w:rFonts w:eastAsia="Times New Roman"/>
          <w:kern w:val="0"/>
          <w:sz w:val="32"/>
          <w:szCs w:val="32"/>
          <w:lang w:eastAsia="en-US"/>
        </w:rPr>
        <w:t>31</w:t>
      </w:r>
      <w:r>
        <w:rPr>
          <w:rFonts w:ascii="FangSong_GB2312" w:hAnsi="FangSong_GB2312" w:eastAsia="FangSong_GB2312" w:cs="FangSong_GB2312"/>
          <w:kern w:val="0"/>
          <w:sz w:val="32"/>
          <w:szCs w:val="32"/>
        </w:rPr>
        <w:t>日，本单位共有车辆</w:t>
      </w:r>
      <w:r>
        <w:rPr>
          <w:rFonts w:eastAsia="Times New Roman"/>
          <w:kern w:val="0"/>
          <w:sz w:val="32"/>
          <w:szCs w:val="32"/>
          <w:u w:val="single"/>
          <w:lang w:eastAsia="en-US"/>
        </w:rPr>
        <w:t xml:space="preserve">17 </w:t>
      </w:r>
      <w:r>
        <w:rPr>
          <w:rFonts w:ascii="FangSong_GB2312" w:hAnsi="FangSong_GB2312" w:eastAsia="FangSong_GB2312" w:cs="FangSong_GB2312"/>
          <w:kern w:val="0"/>
          <w:sz w:val="32"/>
          <w:szCs w:val="32"/>
        </w:rPr>
        <w:t>辆，其中：副部（省）级及以上领导用车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辆、主要负责人用车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辆、机要通信用车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辆、应急保障用车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辆、执法执勤用车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辆、特种专业技术用车</w:t>
      </w:r>
      <w:r>
        <w:rPr>
          <w:rFonts w:eastAsia="Times New Roman"/>
          <w:kern w:val="0"/>
          <w:sz w:val="32"/>
          <w:szCs w:val="32"/>
          <w:u w:val="single"/>
          <w:lang w:eastAsia="en-US"/>
        </w:rPr>
        <w:t xml:space="preserve">17 </w:t>
      </w:r>
      <w:r>
        <w:rPr>
          <w:rFonts w:ascii="FangSong_GB2312" w:hAnsi="FangSong_GB2312" w:eastAsia="FangSong_GB2312" w:cs="FangSong_GB2312"/>
          <w:kern w:val="0"/>
          <w:sz w:val="32"/>
          <w:szCs w:val="32"/>
        </w:rPr>
        <w:t>辆、离退休干部服务用车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辆、其他用车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辆；单价</w:t>
      </w:r>
      <w:r>
        <w:rPr>
          <w:rFonts w:eastAsia="Times New Roman"/>
          <w:kern w:val="0"/>
          <w:sz w:val="32"/>
          <w:szCs w:val="32"/>
          <w:lang w:eastAsia="en-US"/>
        </w:rPr>
        <w:t>100</w:t>
      </w:r>
      <w:r>
        <w:rPr>
          <w:rFonts w:ascii="FangSong_GB2312" w:hAnsi="FangSong_GB2312" w:eastAsia="FangSong_GB2312" w:cs="FangSong_GB2312"/>
          <w:kern w:val="0"/>
          <w:sz w:val="32"/>
          <w:szCs w:val="32"/>
        </w:rPr>
        <w:t>万元（含）以上设备（不含车辆）</w:t>
      </w:r>
      <w:r>
        <w:rPr>
          <w:rFonts w:eastAsia="Times New Roman"/>
          <w:kern w:val="0"/>
          <w:sz w:val="32"/>
          <w:szCs w:val="32"/>
          <w:u w:val="single"/>
          <w:lang w:eastAsia="en-US"/>
        </w:rPr>
        <w:t xml:space="preserve">1 </w:t>
      </w:r>
      <w:r>
        <w:rPr>
          <w:rFonts w:ascii="FangSong_GB2312" w:hAnsi="FangSong_GB2312" w:eastAsia="FangSong_GB2312" w:cs="FangSong_GB2312"/>
          <w:kern w:val="0"/>
          <w:sz w:val="32"/>
          <w:szCs w:val="32"/>
        </w:rPr>
        <w:t>台。</w:t>
      </w:r>
    </w:p>
    <w:p w14:paraId="418DCB4D">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十四、预算绩效情况说明</w:t>
      </w:r>
    </w:p>
    <w:p w14:paraId="774E4DA5">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（一）预算绩效管理工作开展情况。</w:t>
      </w:r>
    </w:p>
    <w:p w14:paraId="368FE747">
      <w:pPr>
        <w:pStyle w:val="28"/>
        <w:widowControl/>
        <w:spacing w:before="240" w:after="240" w:line="560" w:lineRule="atLeast"/>
        <w:ind w:firstLine="640"/>
        <w:jc w:val="left"/>
        <w:rPr>
          <w:rFonts w:hint="default" w:ascii="FangSong_GB2312" w:hAnsi="FangSong_GB2312" w:eastAsia="FangSong_GB2312" w:cs="FangSong_GB2312"/>
          <w:kern w:val="0"/>
          <w:sz w:val="32"/>
          <w:szCs w:val="32"/>
          <w:lang w:val="en-US" w:eastAsia="zh-CN"/>
        </w:rPr>
      </w:pPr>
      <w:r>
        <w:rPr>
          <w:rFonts w:ascii="FangSong_GB2312" w:hAnsi="FangSong_GB2312" w:eastAsia="FangSong_GB2312" w:cs="FangSong_GB2312"/>
          <w:kern w:val="0"/>
          <w:sz w:val="32"/>
          <w:szCs w:val="32"/>
        </w:rPr>
        <w:t>内蒙古自治区特种设备检验研究院兴安分院根据预算绩效管理要求组织对</w:t>
      </w:r>
      <w:r>
        <w:rPr>
          <w:rFonts w:eastAsia="Times New Roman"/>
          <w:kern w:val="0"/>
          <w:sz w:val="32"/>
          <w:szCs w:val="32"/>
          <w:lang w:eastAsia="en-US"/>
        </w:rPr>
        <w:t>2025</w:t>
      </w:r>
      <w:r>
        <w:rPr>
          <w:rFonts w:ascii="FangSong_GB2312" w:hAnsi="FangSong_GB2312" w:eastAsia="FangSong_GB2312" w:cs="FangSong_GB2312"/>
          <w:kern w:val="0"/>
          <w:sz w:val="32"/>
          <w:szCs w:val="32"/>
        </w:rPr>
        <w:t>年一般公共预算项目支出全面开展绩效自评，共涉及项目</w:t>
      </w:r>
      <w:r>
        <w:rPr>
          <w:rFonts w:hint="eastAsia" w:ascii="FangSong_GB2312" w:hAnsi="FangSong_GB2312" w:eastAsia="FangSong_GB2312" w:cs="FangSong_GB2312"/>
          <w:kern w:val="0"/>
          <w:sz w:val="32"/>
          <w:szCs w:val="32"/>
          <w:lang w:val="en-US" w:eastAsia="zh-CN"/>
        </w:rPr>
        <w:t>3</w:t>
      </w:r>
      <w:r>
        <w:rPr>
          <w:rFonts w:ascii="FangSong_GB2312" w:hAnsi="FangSong_GB2312" w:eastAsia="FangSong_GB2312" w:cs="FangSong_GB2312"/>
          <w:kern w:val="0"/>
          <w:sz w:val="32"/>
          <w:szCs w:val="32"/>
        </w:rPr>
        <w:t>个，资金</w:t>
      </w:r>
      <w:r>
        <w:rPr>
          <w:rFonts w:eastAsia="Times New Roman"/>
          <w:kern w:val="0"/>
          <w:sz w:val="32"/>
          <w:szCs w:val="32"/>
          <w:u w:val="single"/>
          <w:lang w:eastAsia="en-US"/>
        </w:rPr>
        <w:t xml:space="preserve"> 70.00</w:t>
      </w:r>
      <w:r>
        <w:rPr>
          <w:rFonts w:ascii="FangSong_GB2312" w:hAnsi="FangSong_GB2312" w:eastAsia="FangSong_GB2312" w:cs="FangSong_GB2312"/>
          <w:kern w:val="0"/>
          <w:sz w:val="32"/>
          <w:szCs w:val="32"/>
        </w:rPr>
        <w:t>万元，占一般公共预算项目支出总额的</w:t>
      </w:r>
      <w:r>
        <w:rPr>
          <w:rFonts w:eastAsia="Times New Roman"/>
          <w:kern w:val="0"/>
          <w:sz w:val="32"/>
          <w:szCs w:val="32"/>
          <w:lang w:eastAsia="en-US"/>
        </w:rPr>
        <w:t>100</w:t>
      </w:r>
      <w:r>
        <w:rPr>
          <w:rFonts w:ascii="FangSong_GB2312" w:hAnsi="FangSong_GB2312" w:eastAsia="FangSong_GB2312" w:cs="FangSong_GB2312"/>
          <w:kern w:val="0"/>
          <w:sz w:val="32"/>
          <w:szCs w:val="32"/>
          <w:lang w:eastAsia="en-US"/>
        </w:rPr>
        <w:t>%</w:t>
      </w:r>
      <w:r>
        <w:rPr>
          <w:rFonts w:hint="eastAsia" w:ascii="FangSong_GB2312" w:hAnsi="FangSong_GB2312" w:eastAsia="FangSong_GB2312" w:cs="FangSong_GB2312"/>
          <w:kern w:val="0"/>
          <w:sz w:val="32"/>
          <w:szCs w:val="32"/>
          <w:lang w:eastAsia="zh-CN"/>
        </w:rPr>
        <w:t>；</w:t>
      </w:r>
      <w:r>
        <w:rPr>
          <w:rFonts w:hint="eastAsia" w:ascii="FangSong_GB2312" w:hAnsi="FangSong_GB2312" w:eastAsia="FangSong_GB2312" w:cs="FangSong_GB2312"/>
          <w:kern w:val="0"/>
          <w:sz w:val="32"/>
          <w:szCs w:val="32"/>
          <w:lang w:val="en-US" w:eastAsia="zh-CN"/>
        </w:rPr>
        <w:t>经营支出项目共1个，资金138.88万元，占经营支出项目总额的100%。</w:t>
      </w:r>
    </w:p>
    <w:p w14:paraId="1C06EB85">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firstLine="640" w:firstLineChars="200"/>
        <w:jc w:val="both"/>
        <w:textAlignment w:val="auto"/>
        <w:rPr>
          <w:rFonts w:hint="eastAsia" w:ascii="FangSong_GB2312" w:hAnsi="FangSong_GB2312" w:eastAsia="FangSong_GB2312" w:cs="FangSong_GB2312"/>
          <w:kern w:val="0"/>
          <w:sz w:val="32"/>
          <w:szCs w:val="32"/>
          <w:lang w:eastAsia="zh-CN"/>
        </w:rPr>
      </w:pPr>
      <w:r>
        <w:rPr>
          <w:rFonts w:hint="eastAsia" w:ascii="Times New Roman" w:hAnsi="Times New Roman" w:eastAsia="仿宋_GB2312" w:cs="Times New Roman"/>
          <w:sz w:val="32"/>
          <w:szCs w:val="32"/>
          <w:u w:val="none"/>
          <w:lang w:val="en-US" w:eastAsia="zh-CN"/>
        </w:rPr>
        <w:t>内蒙古自治区市场监督管理局委托第三方机构对“锅炉压力容器与特种设备安全监管项目、事业发展经费支出项目、物业费项目”开展了部门评价，涉及本单位一般公共预算支出</w:t>
      </w:r>
      <w:r>
        <w:rPr>
          <w:rFonts w:hint="eastAsia" w:eastAsia="仿宋_GB2312" w:cs="Times New Roman"/>
          <w:sz w:val="32"/>
          <w:szCs w:val="32"/>
          <w:u w:val="none"/>
          <w:lang w:val="en-US" w:eastAsia="zh-CN"/>
        </w:rPr>
        <w:t>70.00</w:t>
      </w:r>
      <w:r>
        <w:rPr>
          <w:rFonts w:hint="eastAsia" w:ascii="Times New Roman" w:hAnsi="Times New Roman" w:eastAsia="仿宋_GB2312" w:cs="Times New Roman"/>
          <w:sz w:val="32"/>
          <w:szCs w:val="32"/>
          <w:u w:val="none"/>
          <w:lang w:val="en-US" w:eastAsia="zh-CN"/>
        </w:rPr>
        <w:t>万元。从评价情况看，整体上重点项目绩效评价完成情况良好，项目评价工作组织程序规范，评价指标体系合理，数据来源可靠，对绩效的反映准确，评价结果适当，查找问题基本准确，改进措施得当。下一步将按照财政部门关于绩效评价管理办法的规定，继续规范绩效管理工作，提升绩效管理工作水平。</w:t>
      </w:r>
    </w:p>
    <w:p w14:paraId="0E684F6C">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（二）单位决算中项目绩效自评结果。</w:t>
      </w:r>
    </w:p>
    <w:p w14:paraId="5AB183A2">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内蒙古自治区特种设备检验研究院兴安分院</w:t>
      </w:r>
      <w:r>
        <w:rPr>
          <w:rFonts w:eastAsia="Times New Roman"/>
          <w:kern w:val="0"/>
          <w:sz w:val="32"/>
          <w:szCs w:val="32"/>
          <w:lang w:eastAsia="en-US"/>
        </w:rPr>
        <w:t>2025</w:t>
      </w:r>
      <w:r>
        <w:rPr>
          <w:rFonts w:ascii="FangSong_GB2312" w:hAnsi="FangSong_GB2312" w:eastAsia="FangSong_GB2312" w:cs="FangSong_GB2312"/>
          <w:kern w:val="0"/>
          <w:sz w:val="32"/>
          <w:szCs w:val="32"/>
        </w:rPr>
        <w:t>年度在决算中反映</w:t>
      </w:r>
      <w:r>
        <w:rPr>
          <w:rFonts w:hint="eastAsia" w:ascii="FangSong_GB2312" w:hAnsi="FangSong_GB2312" w:eastAsia="FangSong_GB2312" w:cs="FangSong_GB2312"/>
          <w:kern w:val="0"/>
          <w:sz w:val="32"/>
          <w:szCs w:val="32"/>
          <w:lang w:val="en-US" w:eastAsia="zh-CN"/>
        </w:rPr>
        <w:t>3</w:t>
      </w:r>
      <w:r>
        <w:rPr>
          <w:rFonts w:ascii="FangSong_GB2312" w:hAnsi="FangSong_GB2312" w:eastAsia="FangSong_GB2312" w:cs="FangSong_GB2312"/>
          <w:kern w:val="0"/>
          <w:sz w:val="32"/>
          <w:szCs w:val="32"/>
        </w:rPr>
        <w:t>个一般公共预算项目，以及</w:t>
      </w:r>
      <w:r>
        <w:rPr>
          <w:rFonts w:hint="eastAsia" w:eastAsia="宋体"/>
          <w:kern w:val="0"/>
          <w:sz w:val="32"/>
          <w:szCs w:val="32"/>
          <w:u w:val="single"/>
          <w:lang w:val="en-US" w:eastAsia="zh-CN"/>
        </w:rPr>
        <w:t>1</w:t>
      </w:r>
      <w:r>
        <w:rPr>
          <w:rFonts w:ascii="FangSong_GB2312" w:hAnsi="FangSong_GB2312" w:eastAsia="FangSong_GB2312" w:cs="FangSong_GB2312"/>
          <w:kern w:val="0"/>
          <w:sz w:val="32"/>
          <w:szCs w:val="32"/>
        </w:rPr>
        <w:t>个</w:t>
      </w:r>
      <w:r>
        <w:rPr>
          <w:rFonts w:hint="eastAsia" w:ascii="FangSong_GB2312" w:hAnsi="FangSong_GB2312" w:eastAsia="FangSong_GB2312" w:cs="FangSong_GB2312"/>
          <w:kern w:val="0"/>
          <w:sz w:val="32"/>
          <w:szCs w:val="32"/>
          <w:lang w:val="en-US" w:eastAsia="zh-CN"/>
        </w:rPr>
        <w:t>经营支出</w:t>
      </w:r>
      <w:r>
        <w:rPr>
          <w:rFonts w:ascii="FangSong_GB2312" w:hAnsi="FangSong_GB2312" w:eastAsia="FangSong_GB2312" w:cs="FangSong_GB2312"/>
          <w:kern w:val="0"/>
          <w:sz w:val="32"/>
          <w:szCs w:val="32"/>
        </w:rPr>
        <w:t>项目，共</w:t>
      </w:r>
      <w:r>
        <w:rPr>
          <w:rFonts w:hint="eastAsia" w:ascii="FangSong_GB2312" w:hAnsi="FangSong_GB2312" w:eastAsia="FangSong_GB2312" w:cs="FangSong_GB2312"/>
          <w:kern w:val="0"/>
          <w:sz w:val="32"/>
          <w:szCs w:val="32"/>
          <w:lang w:val="en-US" w:eastAsia="zh-CN"/>
        </w:rPr>
        <w:t>4</w:t>
      </w:r>
      <w:r>
        <w:rPr>
          <w:rFonts w:ascii="FangSong_GB2312" w:hAnsi="FangSong_GB2312" w:eastAsia="FangSong_GB2312" w:cs="FangSong_GB2312"/>
          <w:kern w:val="0"/>
          <w:sz w:val="32"/>
          <w:szCs w:val="32"/>
        </w:rPr>
        <w:t>个项目的绩效自评结果。</w:t>
      </w:r>
    </w:p>
    <w:p w14:paraId="7E6555D0">
      <w:pPr>
        <w:pStyle w:val="28"/>
        <w:widowControl/>
        <w:numPr>
          <w:ilvl w:val="0"/>
          <w:numId w:val="2"/>
        </w:numPr>
        <w:spacing w:before="240" w:after="240" w:line="560" w:lineRule="atLeast"/>
        <w:ind w:firstLine="640"/>
        <w:jc w:val="left"/>
        <w:rPr>
          <w:rFonts w:ascii="仿宋" w:hAnsi="仿宋" w:eastAsia="仿宋" w:cs="仿宋"/>
          <w:sz w:val="32"/>
          <w:szCs w:val="32"/>
        </w:rPr>
      </w:pPr>
      <w:r>
        <w:rPr>
          <w:rFonts w:hint="eastAsia" w:ascii="FangSong_GB2312" w:hAnsi="FangSong_GB2312" w:eastAsia="FangSong_GB2312" w:cs="FangSong_GB2312"/>
          <w:kern w:val="0"/>
          <w:sz w:val="32"/>
          <w:szCs w:val="32"/>
          <w:lang w:val="en-US" w:eastAsia="zh-CN"/>
        </w:rPr>
        <w:t>特种设备安全监管</w:t>
      </w:r>
      <w:r>
        <w:rPr>
          <w:rFonts w:ascii="FangSong_GB2312" w:hAnsi="FangSong_GB2312" w:eastAsia="FangSong_GB2312" w:cs="FangSong_GB2312"/>
          <w:kern w:val="0"/>
          <w:sz w:val="32"/>
          <w:szCs w:val="32"/>
        </w:rPr>
        <w:t>项目自评综述：根据年初设定的绩效目标，项目自评得分</w:t>
      </w:r>
      <w:r>
        <w:rPr>
          <w:rFonts w:hint="eastAsia" w:eastAsia="宋体"/>
          <w:kern w:val="0"/>
          <w:sz w:val="32"/>
          <w:szCs w:val="32"/>
          <w:u w:val="single"/>
          <w:lang w:val="en-US" w:eastAsia="zh-CN"/>
        </w:rPr>
        <w:t>91.80</w:t>
      </w:r>
      <w:r>
        <w:rPr>
          <w:rFonts w:ascii="FangSong_GB2312" w:hAnsi="FangSong_GB2312" w:eastAsia="FangSong_GB2312" w:cs="FangSong_GB2312"/>
          <w:kern w:val="0"/>
          <w:sz w:val="32"/>
          <w:szCs w:val="32"/>
        </w:rPr>
        <w:t>分。全年预算数为</w:t>
      </w:r>
      <w:r>
        <w:rPr>
          <w:rFonts w:hint="eastAsia" w:eastAsia="宋体"/>
          <w:kern w:val="0"/>
          <w:sz w:val="32"/>
          <w:szCs w:val="32"/>
          <w:u w:val="single"/>
          <w:lang w:val="en-US" w:eastAsia="zh-CN"/>
        </w:rPr>
        <w:t>763.00</w:t>
      </w:r>
      <w:r>
        <w:rPr>
          <w:rFonts w:ascii="FangSong_GB2312" w:hAnsi="FangSong_GB2312" w:eastAsia="FangSong_GB2312" w:cs="FangSong_GB2312"/>
          <w:kern w:val="0"/>
          <w:sz w:val="32"/>
          <w:szCs w:val="32"/>
        </w:rPr>
        <w:t>万元，执行数为</w:t>
      </w:r>
      <w:r>
        <w:rPr>
          <w:rFonts w:hint="eastAsia" w:eastAsia="宋体"/>
          <w:kern w:val="0"/>
          <w:sz w:val="32"/>
          <w:szCs w:val="32"/>
          <w:u w:val="single"/>
          <w:lang w:val="en-US" w:eastAsia="zh-CN"/>
        </w:rPr>
        <w:t>373.12</w:t>
      </w:r>
      <w:r>
        <w:rPr>
          <w:rFonts w:ascii="FangSong_GB2312" w:hAnsi="FangSong_GB2312" w:eastAsia="FangSong_GB2312" w:cs="FangSong_GB2312"/>
          <w:kern w:val="0"/>
          <w:sz w:val="32"/>
          <w:szCs w:val="32"/>
        </w:rPr>
        <w:t>万元，完成预算的</w:t>
      </w:r>
      <w:r>
        <w:rPr>
          <w:rFonts w:hint="eastAsia" w:eastAsia="宋体"/>
          <w:kern w:val="0"/>
          <w:sz w:val="32"/>
          <w:szCs w:val="32"/>
          <w:u w:val="single"/>
          <w:lang w:val="en-US" w:eastAsia="zh-CN"/>
        </w:rPr>
        <w:t>48.90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2D0FE064">
      <w:pPr>
        <w:pStyle w:val="28"/>
        <w:widowControl/>
        <w:numPr>
          <w:ilvl w:val="0"/>
          <w:numId w:val="0"/>
        </w:numPr>
        <w:spacing w:before="240" w:after="240" w:line="560" w:lineRule="atLeast"/>
        <w:ind w:left="0" w:leftChars="0" w:firstLine="419" w:firstLineChars="131"/>
        <w:jc w:val="left"/>
        <w:rPr>
          <w:rFonts w:ascii="仿宋" w:hAnsi="仿宋" w:eastAsia="仿宋" w:cs="仿宋"/>
          <w:sz w:val="32"/>
          <w:szCs w:val="32"/>
        </w:rPr>
      </w:pPr>
      <w:r>
        <w:rPr>
          <w:rFonts w:ascii="FangSong_GB2312" w:hAnsi="FangSong_GB2312" w:eastAsia="FangSong_GB2312" w:cs="FangSong_GB2312"/>
          <w:kern w:val="0"/>
          <w:sz w:val="32"/>
          <w:szCs w:val="32"/>
        </w:rPr>
        <w:t>项目绩效目标完成情况：</w:t>
      </w:r>
      <w:r>
        <w:rPr>
          <w:rFonts w:ascii="仿宋" w:hAnsi="仿宋" w:eastAsia="仿宋" w:cs="仿宋"/>
          <w:sz w:val="32"/>
          <w:szCs w:val="32"/>
        </w:rPr>
        <w:t>截止2025年12月31日我院已完成工业机电站锅炉法定检验、电梯法定检验、起重机械、场内专用机动车法定检验、车载气瓶 安装监督检验、压力容器、压力管道等年初检验计划。2025年年初非税收入预算数为825万元，非税收入年末实际完成833.07万元，我院圆满完成了今年任务目标.共检验承压类特种设备1010台，压力管道58.65公里；检验机电类特种设备1570台。</w:t>
      </w:r>
    </w:p>
    <w:p w14:paraId="6DCAC4BF">
      <w:pPr>
        <w:topLinePunct/>
        <w:spacing w:line="580" w:lineRule="exact"/>
        <w:ind w:firstLineChars="150"/>
        <w:rPr>
          <w:rFonts w:hint="eastAsia" w:ascii="Times New Roman Regular" w:hAnsi="Times New Roman Regular" w:eastAsia="仿宋" w:cs="Times New Roman Regular"/>
          <w:sz w:val="32"/>
          <w:szCs w:val="32"/>
          <w:lang w:eastAsia="zh-CN"/>
        </w:rPr>
      </w:pPr>
      <w:r>
        <w:rPr>
          <w:rFonts w:ascii="FangSong_GB2312" w:hAnsi="FangSong_GB2312" w:eastAsia="FangSong_GB2312" w:cs="FangSong_GB2312"/>
          <w:kern w:val="0"/>
          <w:sz w:val="32"/>
          <w:szCs w:val="32"/>
        </w:rPr>
        <w:t>发现的主要问题及原因：</w:t>
      </w:r>
      <w:r>
        <w:rPr>
          <w:rFonts w:hint="eastAsia" w:ascii="FangSong_GB2312" w:hAnsi="FangSong_GB2312" w:eastAsia="FangSong_GB2312" w:cs="FangSong_GB2312"/>
          <w:kern w:val="0"/>
          <w:sz w:val="32"/>
          <w:szCs w:val="32"/>
          <w:lang w:val="en-US" w:eastAsia="zh-CN"/>
        </w:rPr>
        <w:t>1、</w:t>
      </w:r>
      <w:r>
        <w:rPr>
          <w:rFonts w:ascii="Times New Roman Regular" w:hAnsi="Times New Roman Regular" w:eastAsia="仿宋" w:cs="Times New Roman Regular"/>
          <w:sz w:val="32"/>
          <w:szCs w:val="32"/>
        </w:rPr>
        <w:t>由于地区资源有限，承压类特种设备未到期，因而完成承压类特种设备法定检验数量未达年度指标值。措施：根据实际业务合理设置目标值</w:t>
      </w:r>
      <w:r>
        <w:rPr>
          <w:rFonts w:hint="eastAsia" w:ascii="Times New Roman Regular" w:hAnsi="Times New Roman Regular" w:eastAsia="仿宋" w:cs="Times New Roman Regular"/>
          <w:sz w:val="32"/>
          <w:szCs w:val="32"/>
        </w:rPr>
        <w:t>；</w:t>
      </w:r>
      <w:r>
        <w:rPr>
          <w:rFonts w:hint="eastAsia" w:ascii="Times New Roman Regular" w:hAnsi="Times New Roman Regular" w:eastAsia="仿宋" w:cs="Times New Roman Regular"/>
          <w:sz w:val="32"/>
          <w:szCs w:val="32"/>
          <w:lang w:val="en-US" w:eastAsia="zh-CN"/>
        </w:rPr>
        <w:t>2、</w:t>
      </w:r>
      <w:r>
        <w:rPr>
          <w:rFonts w:ascii="Times New Roman Regular" w:hAnsi="Times New Roman Regular" w:eastAsia="仿宋" w:cs="Times New Roman Regular"/>
          <w:sz w:val="32"/>
          <w:szCs w:val="32"/>
        </w:rPr>
        <w:t>我院本年度省外业务增加，工作任务重，检验员未能充分备考，因而考试通过率未达标。措施：合理分配检验业务，搭建在线学习平台，提升考试通过率</w:t>
      </w:r>
      <w:r>
        <w:rPr>
          <w:rFonts w:hint="eastAsia" w:ascii="Times New Roman Regular" w:hAnsi="Times New Roman Regular" w:eastAsia="仿宋" w:cs="Times New Roman Regular"/>
          <w:sz w:val="32"/>
          <w:szCs w:val="32"/>
          <w:lang w:eastAsia="zh-CN"/>
        </w:rPr>
        <w:t>；</w:t>
      </w:r>
      <w:r>
        <w:rPr>
          <w:rFonts w:hint="eastAsia" w:ascii="Times New Roman Regular" w:hAnsi="Times New Roman Regular" w:eastAsia="仿宋" w:cs="Times New Roman Regular"/>
          <w:sz w:val="32"/>
          <w:szCs w:val="32"/>
          <w:lang w:val="en-US" w:eastAsia="zh-CN"/>
        </w:rPr>
        <w:t>3、</w:t>
      </w:r>
      <w:r>
        <w:rPr>
          <w:rFonts w:hint="eastAsia" w:ascii="Times New Roman Regular" w:hAnsi="Times New Roman Regular" w:eastAsia="仿宋" w:cs="Times New Roman Regular"/>
          <w:sz w:val="32"/>
          <w:szCs w:val="32"/>
        </w:rPr>
        <w:t>我院本年度特种设备安全监管项目年初预算数为763万元，全年执行数为373.12万元，其中13万元为财政资金，全部执行完毕，剩余360.12为上年结余资金，因而产生偏差。措施：根据实际业务合理设置目标值</w:t>
      </w:r>
      <w:r>
        <w:rPr>
          <w:rFonts w:hint="eastAsia" w:ascii="Times New Roman Regular" w:hAnsi="Times New Roman Regular" w:eastAsia="仿宋" w:cs="Times New Roman Regular"/>
          <w:sz w:val="32"/>
          <w:szCs w:val="32"/>
          <w:lang w:eastAsia="zh-CN"/>
        </w:rPr>
        <w:t>。</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06"/>
        <w:gridCol w:w="708"/>
        <w:gridCol w:w="706"/>
        <w:gridCol w:w="652"/>
        <w:gridCol w:w="652"/>
        <w:gridCol w:w="658"/>
        <w:gridCol w:w="846"/>
        <w:gridCol w:w="846"/>
        <w:gridCol w:w="661"/>
        <w:gridCol w:w="653"/>
        <w:gridCol w:w="678"/>
        <w:gridCol w:w="756"/>
      </w:tblGrid>
      <w:tr w14:paraId="0DF36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vAlign w:val="center"/>
          </w:tcPr>
          <w:p w14:paraId="48A2A9DD">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(2025年度）</w:t>
            </w:r>
          </w:p>
        </w:tc>
      </w:tr>
      <w:tr w14:paraId="2042B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tcBorders>
              <w:top w:val="single" w:color="000000" w:sz="4" w:space="0"/>
              <w:left w:val="single" w:color="000000" w:sz="4" w:space="0"/>
              <w:bottom w:val="single" w:color="000000" w:sz="4" w:space="0"/>
              <w:right w:val="single" w:color="000000" w:sz="4" w:space="0"/>
            </w:tcBorders>
            <w:shd w:val="clear"/>
            <w:vAlign w:val="center"/>
          </w:tcPr>
          <w:p w14:paraId="40C3F5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4126" w:type="pct"/>
            <w:gridSpan w:val="10"/>
            <w:tcBorders>
              <w:top w:val="single" w:color="000000" w:sz="4" w:space="0"/>
              <w:left w:val="single" w:color="000000" w:sz="4" w:space="0"/>
              <w:bottom w:val="single" w:color="000000" w:sz="4" w:space="0"/>
              <w:right w:val="single" w:color="000000" w:sz="4" w:space="0"/>
            </w:tcBorders>
            <w:shd w:val="clear"/>
            <w:vAlign w:val="center"/>
          </w:tcPr>
          <w:p w14:paraId="1AD921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特种设备安全监管经费</w:t>
            </w:r>
          </w:p>
        </w:tc>
      </w:tr>
      <w:tr w14:paraId="4C83B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tcBorders>
              <w:top w:val="single" w:color="000000" w:sz="4" w:space="0"/>
              <w:left w:val="single" w:color="000000" w:sz="4" w:space="0"/>
              <w:bottom w:val="single" w:color="000000" w:sz="4" w:space="0"/>
              <w:right w:val="single" w:color="000000" w:sz="4" w:space="0"/>
            </w:tcBorders>
            <w:shd w:val="clear"/>
            <w:vAlign w:val="center"/>
          </w:tcPr>
          <w:p w14:paraId="7B28B45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w:t>
            </w:r>
          </w:p>
        </w:tc>
        <w:tc>
          <w:tcPr>
            <w:tcW w:w="1651" w:type="pct"/>
            <w:gridSpan w:val="4"/>
            <w:tcBorders>
              <w:top w:val="single" w:color="000000" w:sz="4" w:space="0"/>
              <w:left w:val="single" w:color="000000" w:sz="4" w:space="0"/>
              <w:bottom w:val="single" w:color="000000" w:sz="4" w:space="0"/>
              <w:right w:val="single" w:color="000000" w:sz="4" w:space="0"/>
            </w:tcBorders>
            <w:shd w:val="clear"/>
            <w:vAlign w:val="center"/>
          </w:tcPr>
          <w:p w14:paraId="15AAFA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内蒙古自治区市场监督管理局部门</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3734FF9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vAlign w:val="center"/>
          </w:tcPr>
          <w:p w14:paraId="449B24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内蒙古自治区特种设备检验研究院兴安分院</w:t>
            </w:r>
          </w:p>
        </w:tc>
      </w:tr>
      <w:tr w14:paraId="005CF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09E521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1775930E">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574184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08193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058301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D000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4B78F1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332D7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408AF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61B6571">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0A4F4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D261E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763</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268738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763</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432D8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373.12</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6CD17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65ACFB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48.9</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715F96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4.89</w:t>
            </w:r>
          </w:p>
        </w:tc>
      </w:tr>
      <w:tr w14:paraId="425A4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BBBE2DC">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40FEA6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8EC45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415012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63FBD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5F73889">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5F9EA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37" w:type="pct"/>
            <w:tcBorders>
              <w:top w:val="single" w:color="000000" w:sz="4" w:space="0"/>
              <w:left w:val="single" w:color="000000" w:sz="4" w:space="0"/>
              <w:bottom w:val="single" w:color="000000" w:sz="4" w:space="0"/>
              <w:right w:val="single" w:color="000000" w:sz="4" w:space="0"/>
            </w:tcBorders>
            <w:shd w:val="clear"/>
            <w:noWrap/>
            <w:vAlign w:val="center"/>
          </w:tcPr>
          <w:p w14:paraId="02086C79">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09D40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EDFC5A0">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5EB71A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42BBD3DB">
            <w:pPr>
              <w:rPr>
                <w:rFonts w:hint="eastAsia" w:ascii="宋体" w:hAnsi="宋体" w:eastAsia="宋体" w:cs="宋体"/>
                <w:i w:val="0"/>
                <w:iCs w:val="0"/>
                <w:color w:val="000000"/>
                <w:sz w:val="18"/>
                <w:szCs w:val="18"/>
                <w:u w:val="none"/>
              </w:rPr>
            </w:pP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17F18B3A">
            <w:pPr>
              <w:jc w:val="center"/>
              <w:rPr>
                <w:rFonts w:hint="eastAsia" w:ascii="宋体" w:hAnsi="宋体" w:eastAsia="宋体" w:cs="宋体"/>
                <w:i w:val="0"/>
                <w:iCs w:val="0"/>
                <w:color w:val="000000"/>
                <w:sz w:val="18"/>
                <w:szCs w:val="18"/>
                <w:u w:val="none"/>
              </w:rPr>
            </w:pP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5BEDC27B">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59C75DF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1ACD6A34">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noWrap/>
            <w:vAlign w:val="center"/>
          </w:tcPr>
          <w:p w14:paraId="73C05826">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7E4E1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9EF489E">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409C5B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310CF5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750</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1B54D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750</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55343C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360.12</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32B79EFD">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6C11B8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48.02</w:t>
            </w:r>
          </w:p>
        </w:tc>
        <w:tc>
          <w:tcPr>
            <w:tcW w:w="437" w:type="pct"/>
            <w:tcBorders>
              <w:top w:val="single" w:color="000000" w:sz="4" w:space="0"/>
              <w:left w:val="single" w:color="000000" w:sz="4" w:space="0"/>
              <w:bottom w:val="single" w:color="000000" w:sz="4" w:space="0"/>
              <w:right w:val="single" w:color="000000" w:sz="4" w:space="0"/>
            </w:tcBorders>
            <w:shd w:val="clear"/>
            <w:noWrap/>
            <w:vAlign w:val="center"/>
          </w:tcPr>
          <w:p w14:paraId="5D645D2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32569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0EF5B2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vAlign w:val="center"/>
          </w:tcPr>
          <w:p w14:paraId="36EF3C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2071" w:type="pct"/>
            <w:gridSpan w:val="5"/>
            <w:tcBorders>
              <w:top w:val="single" w:color="000000" w:sz="4" w:space="0"/>
              <w:left w:val="single" w:color="000000" w:sz="4" w:space="0"/>
              <w:bottom w:val="single" w:color="000000" w:sz="4" w:space="0"/>
              <w:right w:val="single" w:color="000000" w:sz="4" w:space="0"/>
            </w:tcBorders>
            <w:shd w:val="clear"/>
            <w:vAlign w:val="center"/>
          </w:tcPr>
          <w:p w14:paraId="58B3A6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23321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2"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7D79795F">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vAlign w:val="center"/>
          </w:tcPr>
          <w:p w14:paraId="1E4F57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根据《特种设备安全监察条例》等相关规定，通过开展锅炉压力容器与特种设备安全监管，提高人员专业技能，为行政监管部门提供技术支撑，防止和减少事故发生，保障人民群众生命和财产安全。</w:t>
            </w:r>
          </w:p>
        </w:tc>
        <w:tc>
          <w:tcPr>
            <w:tcW w:w="2071" w:type="pct"/>
            <w:gridSpan w:val="5"/>
            <w:tcBorders>
              <w:top w:val="single" w:color="000000" w:sz="4" w:space="0"/>
              <w:left w:val="single" w:color="000000" w:sz="4" w:space="0"/>
              <w:bottom w:val="single" w:color="000000" w:sz="4" w:space="0"/>
              <w:right w:val="single" w:color="000000" w:sz="4" w:space="0"/>
            </w:tcBorders>
            <w:shd w:val="clear"/>
            <w:vAlign w:val="center"/>
          </w:tcPr>
          <w:p w14:paraId="03857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截止2025年12月31日我院已完成工业机电站锅炉法定检验、电梯法定检验、起重机械、场内专用机动车法定检验、车载气瓶 安装监督检验、压力容器、压力管道等年初检验计划。2025年年初非税收入预算数为825万元，非税收入年末实际完成833.07万元，我院圆满完成了今年任务目标.共检验承压类特种设备2265台，压力管道58.65公里；检验机电类特种设备5486台；检验各类气瓶15363只，校验安全阀4942只；今年共举办各类培训班133期，新培训、复审学员6535人次。</w:t>
            </w:r>
          </w:p>
        </w:tc>
      </w:tr>
      <w:tr w14:paraId="215A7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36" w:type="pct"/>
            <w:tcBorders>
              <w:top w:val="single" w:color="000000" w:sz="4" w:space="0"/>
              <w:left w:val="single" w:color="000000" w:sz="4" w:space="0"/>
              <w:bottom w:val="single" w:color="000000" w:sz="4" w:space="0"/>
              <w:right w:val="single" w:color="000000" w:sz="4" w:space="0"/>
            </w:tcBorders>
            <w:shd w:val="clear"/>
            <w:vAlign w:val="center"/>
          </w:tcPr>
          <w:p w14:paraId="63D1E4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3C99B1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2F3FE6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68141F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758665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33E61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49893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DF1E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9E37A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447007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418" w:type="pct"/>
            <w:tcBorders>
              <w:top w:val="single" w:color="000000" w:sz="4" w:space="0"/>
              <w:left w:val="single" w:color="000000" w:sz="4" w:space="0"/>
              <w:bottom w:val="single" w:color="000000" w:sz="4" w:space="0"/>
              <w:right w:val="single" w:color="000000" w:sz="4" w:space="0"/>
            </w:tcBorders>
            <w:shd w:val="clear"/>
            <w:vAlign w:val="center"/>
          </w:tcPr>
          <w:p w14:paraId="6899C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5B4A74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191C0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restart"/>
            <w:tcBorders>
              <w:top w:val="single" w:color="000000" w:sz="4" w:space="0"/>
              <w:left w:val="single" w:color="000000" w:sz="4" w:space="0"/>
              <w:bottom w:val="nil"/>
              <w:right w:val="single" w:color="000000" w:sz="4" w:space="0"/>
            </w:tcBorders>
            <w:shd w:val="clear"/>
            <w:vAlign w:val="center"/>
          </w:tcPr>
          <w:p w14:paraId="18FE3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436" w:type="pct"/>
            <w:vMerge w:val="restart"/>
            <w:tcBorders>
              <w:top w:val="single" w:color="000000" w:sz="4" w:space="0"/>
              <w:left w:val="single" w:color="000000" w:sz="4" w:space="0"/>
              <w:bottom w:val="nil"/>
              <w:right w:val="single" w:color="000000" w:sz="4" w:space="0"/>
            </w:tcBorders>
            <w:shd w:val="clear"/>
            <w:vAlign w:val="center"/>
          </w:tcPr>
          <w:p w14:paraId="44C860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436" w:type="pct"/>
            <w:vMerge w:val="restart"/>
            <w:tcBorders>
              <w:top w:val="single" w:color="000000" w:sz="4" w:space="0"/>
              <w:left w:val="single" w:color="000000" w:sz="4" w:space="0"/>
              <w:bottom w:val="nil"/>
              <w:right w:val="single" w:color="000000" w:sz="4" w:space="0"/>
            </w:tcBorders>
            <w:shd w:val="clear"/>
            <w:vAlign w:val="center"/>
          </w:tcPr>
          <w:p w14:paraId="52DED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vAlign w:val="center"/>
          </w:tcPr>
          <w:p w14:paraId="28A162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完成机电类特种设备法定检验数量</w:t>
            </w:r>
          </w:p>
        </w:tc>
        <w:tc>
          <w:tcPr>
            <w:tcW w:w="404" w:type="pct"/>
            <w:tcBorders>
              <w:top w:val="single" w:color="000000" w:sz="4" w:space="0"/>
              <w:left w:val="single" w:color="000000" w:sz="4" w:space="0"/>
              <w:bottom w:val="nil"/>
              <w:right w:val="single" w:color="000000" w:sz="4" w:space="0"/>
            </w:tcBorders>
            <w:shd w:val="clear"/>
            <w:vAlign w:val="center"/>
          </w:tcPr>
          <w:p w14:paraId="554DB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483480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356B2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950</w:t>
            </w:r>
          </w:p>
        </w:tc>
        <w:tc>
          <w:tcPr>
            <w:tcW w:w="404" w:type="pct"/>
            <w:tcBorders>
              <w:top w:val="single" w:color="000000" w:sz="4" w:space="0"/>
              <w:left w:val="single" w:color="000000" w:sz="4" w:space="0"/>
              <w:bottom w:val="nil"/>
              <w:right w:val="single" w:color="000000" w:sz="4" w:space="0"/>
            </w:tcBorders>
            <w:shd w:val="clear"/>
            <w:vAlign w:val="center"/>
          </w:tcPr>
          <w:p w14:paraId="0DF26D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1570</w:t>
            </w:r>
          </w:p>
        </w:tc>
        <w:tc>
          <w:tcPr>
            <w:tcW w:w="404" w:type="pct"/>
            <w:tcBorders>
              <w:top w:val="single" w:color="000000" w:sz="4" w:space="0"/>
              <w:left w:val="single" w:color="000000" w:sz="4" w:space="0"/>
              <w:bottom w:val="nil"/>
              <w:right w:val="single" w:color="000000" w:sz="4" w:space="0"/>
            </w:tcBorders>
            <w:shd w:val="clear"/>
            <w:vAlign w:val="center"/>
          </w:tcPr>
          <w:p w14:paraId="41465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404" w:type="pct"/>
            <w:tcBorders>
              <w:top w:val="single" w:color="000000" w:sz="4" w:space="0"/>
              <w:left w:val="single" w:color="000000" w:sz="4" w:space="0"/>
              <w:bottom w:val="nil"/>
              <w:right w:val="single" w:color="000000" w:sz="4" w:space="0"/>
            </w:tcBorders>
            <w:shd w:val="clear"/>
            <w:vAlign w:val="center"/>
          </w:tcPr>
          <w:p w14:paraId="6B98CE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18" w:type="pct"/>
            <w:tcBorders>
              <w:top w:val="single" w:color="000000" w:sz="4" w:space="0"/>
              <w:left w:val="single" w:color="000000" w:sz="4" w:space="0"/>
              <w:bottom w:val="nil"/>
              <w:right w:val="single" w:color="000000" w:sz="4" w:space="0"/>
            </w:tcBorders>
            <w:shd w:val="clear"/>
            <w:vAlign w:val="center"/>
          </w:tcPr>
          <w:p w14:paraId="1EAD6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37" w:type="pct"/>
            <w:tcBorders>
              <w:top w:val="single" w:color="000000" w:sz="4" w:space="0"/>
              <w:left w:val="single" w:color="000000" w:sz="4" w:space="0"/>
              <w:bottom w:val="nil"/>
              <w:right w:val="single" w:color="000000" w:sz="4" w:space="0"/>
            </w:tcBorders>
            <w:shd w:val="clear"/>
            <w:vAlign w:val="center"/>
          </w:tcPr>
          <w:p w14:paraId="119F87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我院本年度机电类省外检验业务增加，因而超过目标值产生偏离度。整改措施：根据业务实际合理设置目标值。</w:t>
            </w:r>
          </w:p>
        </w:tc>
      </w:tr>
      <w:tr w14:paraId="0B19D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9"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04A9479">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6F1A851F">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FF3BC28">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084CB6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完成承压类特种设备法定检验数量</w:t>
            </w:r>
          </w:p>
        </w:tc>
        <w:tc>
          <w:tcPr>
            <w:tcW w:w="404" w:type="pct"/>
            <w:tcBorders>
              <w:top w:val="single" w:color="000000" w:sz="4" w:space="0"/>
              <w:left w:val="single" w:color="000000" w:sz="4" w:space="0"/>
              <w:bottom w:val="nil"/>
              <w:right w:val="single" w:color="000000" w:sz="4" w:space="0"/>
            </w:tcBorders>
            <w:shd w:val="clear"/>
            <w:vAlign w:val="center"/>
          </w:tcPr>
          <w:p w14:paraId="30DFC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349400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637123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1298</w:t>
            </w:r>
          </w:p>
        </w:tc>
        <w:tc>
          <w:tcPr>
            <w:tcW w:w="404" w:type="pct"/>
            <w:tcBorders>
              <w:top w:val="single" w:color="000000" w:sz="4" w:space="0"/>
              <w:left w:val="single" w:color="000000" w:sz="4" w:space="0"/>
              <w:bottom w:val="nil"/>
              <w:right w:val="single" w:color="000000" w:sz="4" w:space="0"/>
            </w:tcBorders>
            <w:shd w:val="clear"/>
            <w:vAlign w:val="center"/>
          </w:tcPr>
          <w:p w14:paraId="14EF54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w:t>
            </w:r>
          </w:p>
        </w:tc>
        <w:tc>
          <w:tcPr>
            <w:tcW w:w="404" w:type="pct"/>
            <w:tcBorders>
              <w:top w:val="single" w:color="000000" w:sz="4" w:space="0"/>
              <w:left w:val="single" w:color="000000" w:sz="4" w:space="0"/>
              <w:bottom w:val="nil"/>
              <w:right w:val="single" w:color="000000" w:sz="4" w:space="0"/>
            </w:tcBorders>
            <w:shd w:val="clear"/>
            <w:vAlign w:val="center"/>
          </w:tcPr>
          <w:p w14:paraId="7A14DF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404" w:type="pct"/>
            <w:tcBorders>
              <w:top w:val="single" w:color="000000" w:sz="4" w:space="0"/>
              <w:left w:val="single" w:color="000000" w:sz="4" w:space="0"/>
              <w:bottom w:val="nil"/>
              <w:right w:val="single" w:color="000000" w:sz="4" w:space="0"/>
            </w:tcBorders>
            <w:shd w:val="clear"/>
            <w:vAlign w:val="center"/>
          </w:tcPr>
          <w:p w14:paraId="6BECB2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18" w:type="pct"/>
            <w:tcBorders>
              <w:top w:val="single" w:color="000000" w:sz="4" w:space="0"/>
              <w:left w:val="single" w:color="000000" w:sz="4" w:space="0"/>
              <w:bottom w:val="nil"/>
              <w:right w:val="single" w:color="000000" w:sz="4" w:space="0"/>
            </w:tcBorders>
            <w:shd w:val="clear"/>
            <w:vAlign w:val="center"/>
          </w:tcPr>
          <w:p w14:paraId="6C308E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1.56</w:t>
            </w:r>
          </w:p>
        </w:tc>
        <w:tc>
          <w:tcPr>
            <w:tcW w:w="437" w:type="pct"/>
            <w:tcBorders>
              <w:top w:val="single" w:color="000000" w:sz="4" w:space="0"/>
              <w:left w:val="single" w:color="000000" w:sz="4" w:space="0"/>
              <w:bottom w:val="nil"/>
              <w:right w:val="single" w:color="000000" w:sz="4" w:space="0"/>
            </w:tcBorders>
            <w:shd w:val="clear"/>
            <w:vAlign w:val="center"/>
          </w:tcPr>
          <w:p w14:paraId="4226E1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由于地区资源有限，承压类特种设备未到期，因而完成承压类特种设备法定检验数量未达年度指标值。措施：根据实际业务合理设置目标值。</w:t>
            </w:r>
          </w:p>
        </w:tc>
      </w:tr>
      <w:tr w14:paraId="5674B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26BC71D8">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625C904">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65723A24">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33933A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完成压力管道法定检验数量</w:t>
            </w:r>
          </w:p>
        </w:tc>
        <w:tc>
          <w:tcPr>
            <w:tcW w:w="404" w:type="pct"/>
            <w:tcBorders>
              <w:top w:val="single" w:color="000000" w:sz="4" w:space="0"/>
              <w:left w:val="single" w:color="000000" w:sz="4" w:space="0"/>
              <w:bottom w:val="nil"/>
              <w:right w:val="single" w:color="000000" w:sz="4" w:space="0"/>
            </w:tcBorders>
            <w:shd w:val="clear"/>
            <w:vAlign w:val="center"/>
          </w:tcPr>
          <w:p w14:paraId="4D0438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16F237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6A495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w:t>
            </w:r>
          </w:p>
        </w:tc>
        <w:tc>
          <w:tcPr>
            <w:tcW w:w="404" w:type="pct"/>
            <w:tcBorders>
              <w:top w:val="single" w:color="000000" w:sz="4" w:space="0"/>
              <w:left w:val="single" w:color="000000" w:sz="4" w:space="0"/>
              <w:bottom w:val="nil"/>
              <w:right w:val="single" w:color="000000" w:sz="4" w:space="0"/>
            </w:tcBorders>
            <w:shd w:val="clear"/>
            <w:vAlign w:val="center"/>
          </w:tcPr>
          <w:p w14:paraId="4E8A13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58.65</w:t>
            </w:r>
          </w:p>
        </w:tc>
        <w:tc>
          <w:tcPr>
            <w:tcW w:w="404" w:type="pct"/>
            <w:tcBorders>
              <w:top w:val="single" w:color="000000" w:sz="4" w:space="0"/>
              <w:left w:val="single" w:color="000000" w:sz="4" w:space="0"/>
              <w:bottom w:val="nil"/>
              <w:right w:val="single" w:color="000000" w:sz="4" w:space="0"/>
            </w:tcBorders>
            <w:shd w:val="clear"/>
            <w:vAlign w:val="center"/>
          </w:tcPr>
          <w:p w14:paraId="24886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千米</w:t>
            </w:r>
          </w:p>
        </w:tc>
        <w:tc>
          <w:tcPr>
            <w:tcW w:w="404" w:type="pct"/>
            <w:tcBorders>
              <w:top w:val="single" w:color="000000" w:sz="4" w:space="0"/>
              <w:left w:val="single" w:color="000000" w:sz="4" w:space="0"/>
              <w:bottom w:val="nil"/>
              <w:right w:val="single" w:color="000000" w:sz="4" w:space="0"/>
            </w:tcBorders>
            <w:shd w:val="clear"/>
            <w:vAlign w:val="center"/>
          </w:tcPr>
          <w:p w14:paraId="0E77F5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18" w:type="pct"/>
            <w:tcBorders>
              <w:top w:val="single" w:color="000000" w:sz="4" w:space="0"/>
              <w:left w:val="single" w:color="000000" w:sz="4" w:space="0"/>
              <w:bottom w:val="nil"/>
              <w:right w:val="single" w:color="000000" w:sz="4" w:space="0"/>
            </w:tcBorders>
            <w:shd w:val="clear"/>
            <w:vAlign w:val="center"/>
          </w:tcPr>
          <w:p w14:paraId="5BAAA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37" w:type="pct"/>
            <w:tcBorders>
              <w:top w:val="single" w:color="000000" w:sz="4" w:space="0"/>
              <w:left w:val="single" w:color="000000" w:sz="4" w:space="0"/>
              <w:bottom w:val="nil"/>
              <w:right w:val="single" w:color="000000" w:sz="4" w:space="0"/>
            </w:tcBorders>
            <w:shd w:val="clear"/>
            <w:vAlign w:val="center"/>
          </w:tcPr>
          <w:p w14:paraId="0475D29E">
            <w:pPr>
              <w:jc w:val="center"/>
              <w:rPr>
                <w:rFonts w:hint="eastAsia" w:ascii="宋体" w:hAnsi="宋体" w:eastAsia="宋体" w:cs="宋体"/>
                <w:i w:val="0"/>
                <w:iCs w:val="0"/>
                <w:color w:val="000000"/>
                <w:sz w:val="18"/>
                <w:szCs w:val="18"/>
                <w:u w:val="none"/>
              </w:rPr>
            </w:pPr>
          </w:p>
        </w:tc>
      </w:tr>
      <w:tr w14:paraId="448B6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6C9B9299">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90672D5">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5E3ECF90">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558F5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计划完成工业锅炉检验</w:t>
            </w:r>
          </w:p>
        </w:tc>
        <w:tc>
          <w:tcPr>
            <w:tcW w:w="404" w:type="pct"/>
            <w:tcBorders>
              <w:top w:val="single" w:color="000000" w:sz="4" w:space="0"/>
              <w:left w:val="single" w:color="000000" w:sz="4" w:space="0"/>
              <w:bottom w:val="nil"/>
              <w:right w:val="single" w:color="000000" w:sz="4" w:space="0"/>
            </w:tcBorders>
            <w:shd w:val="clear"/>
            <w:vAlign w:val="center"/>
          </w:tcPr>
          <w:p w14:paraId="0DE1A8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685F2D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000D4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120</w:t>
            </w:r>
          </w:p>
        </w:tc>
        <w:tc>
          <w:tcPr>
            <w:tcW w:w="404" w:type="pct"/>
            <w:tcBorders>
              <w:top w:val="single" w:color="000000" w:sz="4" w:space="0"/>
              <w:left w:val="single" w:color="000000" w:sz="4" w:space="0"/>
              <w:bottom w:val="nil"/>
              <w:right w:val="single" w:color="000000" w:sz="4" w:space="0"/>
            </w:tcBorders>
            <w:shd w:val="clear"/>
            <w:vAlign w:val="center"/>
          </w:tcPr>
          <w:p w14:paraId="76E46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174</w:t>
            </w:r>
          </w:p>
        </w:tc>
        <w:tc>
          <w:tcPr>
            <w:tcW w:w="404" w:type="pct"/>
            <w:tcBorders>
              <w:top w:val="single" w:color="000000" w:sz="4" w:space="0"/>
              <w:left w:val="single" w:color="000000" w:sz="4" w:space="0"/>
              <w:bottom w:val="nil"/>
              <w:right w:val="single" w:color="000000" w:sz="4" w:space="0"/>
            </w:tcBorders>
            <w:shd w:val="clear"/>
            <w:vAlign w:val="center"/>
          </w:tcPr>
          <w:p w14:paraId="446753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404" w:type="pct"/>
            <w:tcBorders>
              <w:top w:val="single" w:color="000000" w:sz="4" w:space="0"/>
              <w:left w:val="single" w:color="000000" w:sz="4" w:space="0"/>
              <w:bottom w:val="nil"/>
              <w:right w:val="single" w:color="000000" w:sz="4" w:space="0"/>
            </w:tcBorders>
            <w:shd w:val="clear"/>
            <w:vAlign w:val="center"/>
          </w:tcPr>
          <w:p w14:paraId="1D3BDA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18" w:type="pct"/>
            <w:tcBorders>
              <w:top w:val="single" w:color="000000" w:sz="4" w:space="0"/>
              <w:left w:val="single" w:color="000000" w:sz="4" w:space="0"/>
              <w:bottom w:val="nil"/>
              <w:right w:val="single" w:color="000000" w:sz="4" w:space="0"/>
            </w:tcBorders>
            <w:shd w:val="clear"/>
            <w:vAlign w:val="center"/>
          </w:tcPr>
          <w:p w14:paraId="2A4FE4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37" w:type="pct"/>
            <w:tcBorders>
              <w:top w:val="single" w:color="000000" w:sz="4" w:space="0"/>
              <w:left w:val="single" w:color="000000" w:sz="4" w:space="0"/>
              <w:bottom w:val="nil"/>
              <w:right w:val="single" w:color="000000" w:sz="4" w:space="0"/>
            </w:tcBorders>
            <w:shd w:val="clear"/>
            <w:vAlign w:val="center"/>
          </w:tcPr>
          <w:p w14:paraId="6F030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我院本年度工业锅炉检验业务增加。因而产生偏离度。整改措施：根据业务实际合理设置目标值。</w:t>
            </w:r>
          </w:p>
        </w:tc>
      </w:tr>
      <w:tr w14:paraId="26DB2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E5380BF">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49FE707A">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6A4C8795">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01B88B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计划完成工业锅炉监督检验</w:t>
            </w:r>
          </w:p>
        </w:tc>
        <w:tc>
          <w:tcPr>
            <w:tcW w:w="404" w:type="pct"/>
            <w:tcBorders>
              <w:top w:val="single" w:color="000000" w:sz="4" w:space="0"/>
              <w:left w:val="single" w:color="000000" w:sz="4" w:space="0"/>
              <w:bottom w:val="nil"/>
              <w:right w:val="single" w:color="000000" w:sz="4" w:space="0"/>
            </w:tcBorders>
            <w:shd w:val="clear"/>
            <w:vAlign w:val="center"/>
          </w:tcPr>
          <w:p w14:paraId="0EDFBA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2B3FB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38D91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04" w:type="pct"/>
            <w:tcBorders>
              <w:top w:val="single" w:color="000000" w:sz="4" w:space="0"/>
              <w:left w:val="single" w:color="000000" w:sz="4" w:space="0"/>
              <w:bottom w:val="nil"/>
              <w:right w:val="single" w:color="000000" w:sz="4" w:space="0"/>
            </w:tcBorders>
            <w:shd w:val="clear"/>
            <w:vAlign w:val="center"/>
          </w:tcPr>
          <w:p w14:paraId="047304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04" w:type="pct"/>
            <w:tcBorders>
              <w:top w:val="single" w:color="000000" w:sz="4" w:space="0"/>
              <w:left w:val="single" w:color="000000" w:sz="4" w:space="0"/>
              <w:bottom w:val="nil"/>
              <w:right w:val="single" w:color="000000" w:sz="4" w:space="0"/>
            </w:tcBorders>
            <w:shd w:val="clear"/>
            <w:vAlign w:val="center"/>
          </w:tcPr>
          <w:p w14:paraId="2BACC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404" w:type="pct"/>
            <w:tcBorders>
              <w:top w:val="single" w:color="000000" w:sz="4" w:space="0"/>
              <w:left w:val="single" w:color="000000" w:sz="4" w:space="0"/>
              <w:bottom w:val="nil"/>
              <w:right w:val="single" w:color="000000" w:sz="4" w:space="0"/>
            </w:tcBorders>
            <w:shd w:val="clear"/>
            <w:vAlign w:val="center"/>
          </w:tcPr>
          <w:p w14:paraId="2E6EA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18" w:type="pct"/>
            <w:tcBorders>
              <w:top w:val="single" w:color="000000" w:sz="4" w:space="0"/>
              <w:left w:val="single" w:color="000000" w:sz="4" w:space="0"/>
              <w:bottom w:val="nil"/>
              <w:right w:val="single" w:color="000000" w:sz="4" w:space="0"/>
            </w:tcBorders>
            <w:shd w:val="clear"/>
            <w:vAlign w:val="center"/>
          </w:tcPr>
          <w:p w14:paraId="45C35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37" w:type="pct"/>
            <w:tcBorders>
              <w:top w:val="single" w:color="000000" w:sz="4" w:space="0"/>
              <w:left w:val="single" w:color="000000" w:sz="4" w:space="0"/>
              <w:bottom w:val="nil"/>
              <w:right w:val="single" w:color="000000" w:sz="4" w:space="0"/>
            </w:tcBorders>
            <w:shd w:val="clear"/>
            <w:vAlign w:val="center"/>
          </w:tcPr>
          <w:p w14:paraId="784063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我院本年度计划完成工业锅炉监督检验超过预期值，因而产生偏离度。整改措施：根据业务实际合理设置目标值。</w:t>
            </w:r>
          </w:p>
        </w:tc>
      </w:tr>
      <w:tr w14:paraId="089A4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4DB37735">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E6CD4AE">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4996060F">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2C776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管理特种设备检验检测面积</w:t>
            </w:r>
          </w:p>
        </w:tc>
        <w:tc>
          <w:tcPr>
            <w:tcW w:w="404" w:type="pct"/>
            <w:tcBorders>
              <w:top w:val="single" w:color="000000" w:sz="4" w:space="0"/>
              <w:left w:val="single" w:color="000000" w:sz="4" w:space="0"/>
              <w:bottom w:val="nil"/>
              <w:right w:val="single" w:color="000000" w:sz="4" w:space="0"/>
            </w:tcBorders>
            <w:shd w:val="clear"/>
            <w:vAlign w:val="center"/>
          </w:tcPr>
          <w:p w14:paraId="2499D9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5D6965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404" w:type="pct"/>
            <w:tcBorders>
              <w:top w:val="single" w:color="000000" w:sz="4" w:space="0"/>
              <w:left w:val="single" w:color="000000" w:sz="4" w:space="0"/>
              <w:bottom w:val="nil"/>
              <w:right w:val="single" w:color="000000" w:sz="4" w:space="0"/>
            </w:tcBorders>
            <w:shd w:val="clear"/>
            <w:vAlign w:val="center"/>
          </w:tcPr>
          <w:p w14:paraId="29E6D2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7082.57</w:t>
            </w:r>
          </w:p>
        </w:tc>
        <w:tc>
          <w:tcPr>
            <w:tcW w:w="404" w:type="pct"/>
            <w:tcBorders>
              <w:top w:val="single" w:color="000000" w:sz="4" w:space="0"/>
              <w:left w:val="single" w:color="000000" w:sz="4" w:space="0"/>
              <w:bottom w:val="nil"/>
              <w:right w:val="single" w:color="000000" w:sz="4" w:space="0"/>
            </w:tcBorders>
            <w:shd w:val="clear"/>
            <w:vAlign w:val="center"/>
          </w:tcPr>
          <w:p w14:paraId="4D9C28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7082.57</w:t>
            </w:r>
          </w:p>
        </w:tc>
        <w:tc>
          <w:tcPr>
            <w:tcW w:w="404" w:type="pct"/>
            <w:tcBorders>
              <w:top w:val="single" w:color="000000" w:sz="4" w:space="0"/>
              <w:left w:val="single" w:color="000000" w:sz="4" w:space="0"/>
              <w:bottom w:val="nil"/>
              <w:right w:val="single" w:color="000000" w:sz="4" w:space="0"/>
            </w:tcBorders>
            <w:shd w:val="clear"/>
            <w:vAlign w:val="center"/>
          </w:tcPr>
          <w:p w14:paraId="198AB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平方米</w:t>
            </w:r>
          </w:p>
        </w:tc>
        <w:tc>
          <w:tcPr>
            <w:tcW w:w="404" w:type="pct"/>
            <w:tcBorders>
              <w:top w:val="single" w:color="000000" w:sz="4" w:space="0"/>
              <w:left w:val="single" w:color="000000" w:sz="4" w:space="0"/>
              <w:bottom w:val="nil"/>
              <w:right w:val="single" w:color="000000" w:sz="4" w:space="0"/>
            </w:tcBorders>
            <w:shd w:val="clear"/>
            <w:vAlign w:val="center"/>
          </w:tcPr>
          <w:p w14:paraId="0C716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18" w:type="pct"/>
            <w:tcBorders>
              <w:top w:val="single" w:color="000000" w:sz="4" w:space="0"/>
              <w:left w:val="single" w:color="000000" w:sz="4" w:space="0"/>
              <w:bottom w:val="nil"/>
              <w:right w:val="single" w:color="000000" w:sz="4" w:space="0"/>
            </w:tcBorders>
            <w:shd w:val="clear"/>
            <w:vAlign w:val="center"/>
          </w:tcPr>
          <w:p w14:paraId="349BF4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37" w:type="pct"/>
            <w:tcBorders>
              <w:top w:val="single" w:color="000000" w:sz="4" w:space="0"/>
              <w:left w:val="single" w:color="000000" w:sz="4" w:space="0"/>
              <w:bottom w:val="nil"/>
              <w:right w:val="single" w:color="000000" w:sz="4" w:space="0"/>
            </w:tcBorders>
            <w:shd w:val="clear"/>
            <w:vAlign w:val="center"/>
          </w:tcPr>
          <w:p w14:paraId="4A97BC44">
            <w:pPr>
              <w:jc w:val="center"/>
              <w:rPr>
                <w:rFonts w:hint="eastAsia" w:ascii="宋体" w:hAnsi="宋体" w:eastAsia="宋体" w:cs="宋体"/>
                <w:i w:val="0"/>
                <w:iCs w:val="0"/>
                <w:color w:val="000000"/>
                <w:sz w:val="18"/>
                <w:szCs w:val="18"/>
                <w:u w:val="none"/>
              </w:rPr>
            </w:pPr>
          </w:p>
        </w:tc>
      </w:tr>
      <w:tr w14:paraId="3FC55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51306E90">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8F505D5">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5DE4D8B8">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12CA7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特种设备检验人员培训数量</w:t>
            </w:r>
          </w:p>
        </w:tc>
        <w:tc>
          <w:tcPr>
            <w:tcW w:w="404" w:type="pct"/>
            <w:tcBorders>
              <w:top w:val="single" w:color="000000" w:sz="4" w:space="0"/>
              <w:left w:val="single" w:color="000000" w:sz="4" w:space="0"/>
              <w:bottom w:val="nil"/>
              <w:right w:val="single" w:color="000000" w:sz="4" w:space="0"/>
            </w:tcBorders>
            <w:shd w:val="clear"/>
            <w:vAlign w:val="center"/>
          </w:tcPr>
          <w:p w14:paraId="7C03EA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6F7FF7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0D2F7F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404" w:type="pct"/>
            <w:tcBorders>
              <w:top w:val="single" w:color="000000" w:sz="4" w:space="0"/>
              <w:left w:val="single" w:color="000000" w:sz="4" w:space="0"/>
              <w:bottom w:val="nil"/>
              <w:right w:val="single" w:color="000000" w:sz="4" w:space="0"/>
            </w:tcBorders>
            <w:shd w:val="clear"/>
            <w:vAlign w:val="center"/>
          </w:tcPr>
          <w:p w14:paraId="6E9119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62</w:t>
            </w:r>
          </w:p>
        </w:tc>
        <w:tc>
          <w:tcPr>
            <w:tcW w:w="404" w:type="pct"/>
            <w:tcBorders>
              <w:top w:val="single" w:color="000000" w:sz="4" w:space="0"/>
              <w:left w:val="single" w:color="000000" w:sz="4" w:space="0"/>
              <w:bottom w:val="nil"/>
              <w:right w:val="single" w:color="000000" w:sz="4" w:space="0"/>
            </w:tcBorders>
            <w:shd w:val="clear"/>
            <w:vAlign w:val="center"/>
          </w:tcPr>
          <w:p w14:paraId="68352E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人/次</w:t>
            </w:r>
          </w:p>
        </w:tc>
        <w:tc>
          <w:tcPr>
            <w:tcW w:w="404" w:type="pct"/>
            <w:tcBorders>
              <w:top w:val="single" w:color="000000" w:sz="4" w:space="0"/>
              <w:left w:val="single" w:color="000000" w:sz="4" w:space="0"/>
              <w:bottom w:val="nil"/>
              <w:right w:val="single" w:color="000000" w:sz="4" w:space="0"/>
            </w:tcBorders>
            <w:shd w:val="clear"/>
            <w:vAlign w:val="center"/>
          </w:tcPr>
          <w:p w14:paraId="6FB24C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18" w:type="pct"/>
            <w:tcBorders>
              <w:top w:val="single" w:color="000000" w:sz="4" w:space="0"/>
              <w:left w:val="single" w:color="000000" w:sz="4" w:space="0"/>
              <w:bottom w:val="nil"/>
              <w:right w:val="single" w:color="000000" w:sz="4" w:space="0"/>
            </w:tcBorders>
            <w:shd w:val="clear"/>
            <w:vAlign w:val="center"/>
          </w:tcPr>
          <w:p w14:paraId="5881C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37" w:type="pct"/>
            <w:tcBorders>
              <w:top w:val="single" w:color="000000" w:sz="4" w:space="0"/>
              <w:left w:val="single" w:color="000000" w:sz="4" w:space="0"/>
              <w:bottom w:val="nil"/>
              <w:right w:val="single" w:color="000000" w:sz="4" w:space="0"/>
            </w:tcBorders>
            <w:shd w:val="clear"/>
            <w:vAlign w:val="center"/>
          </w:tcPr>
          <w:p w14:paraId="7B394F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我院积极鼓励检验员考取相关证书，出台各项激励措施，因而本年度我院参加培训数量增加。整改措施：根据业务实际合理设置目标值。</w:t>
            </w:r>
          </w:p>
        </w:tc>
      </w:tr>
      <w:tr w14:paraId="5A2C1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0037F68F">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2C4D727">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503434B4">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3B1D4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特种设备检验专用仪器设备数量</w:t>
            </w:r>
          </w:p>
        </w:tc>
        <w:tc>
          <w:tcPr>
            <w:tcW w:w="404" w:type="pct"/>
            <w:tcBorders>
              <w:top w:val="single" w:color="000000" w:sz="4" w:space="0"/>
              <w:left w:val="single" w:color="000000" w:sz="4" w:space="0"/>
              <w:bottom w:val="nil"/>
              <w:right w:val="single" w:color="000000" w:sz="4" w:space="0"/>
            </w:tcBorders>
            <w:shd w:val="clear"/>
            <w:vAlign w:val="center"/>
          </w:tcPr>
          <w:p w14:paraId="13DDC7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54E06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28558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w:t>
            </w:r>
          </w:p>
        </w:tc>
        <w:tc>
          <w:tcPr>
            <w:tcW w:w="404" w:type="pct"/>
            <w:tcBorders>
              <w:top w:val="single" w:color="000000" w:sz="4" w:space="0"/>
              <w:left w:val="single" w:color="000000" w:sz="4" w:space="0"/>
              <w:bottom w:val="nil"/>
              <w:right w:val="single" w:color="000000" w:sz="4" w:space="0"/>
            </w:tcBorders>
            <w:shd w:val="clear"/>
            <w:vAlign w:val="center"/>
          </w:tcPr>
          <w:p w14:paraId="2561A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606</w:t>
            </w:r>
          </w:p>
        </w:tc>
        <w:tc>
          <w:tcPr>
            <w:tcW w:w="404" w:type="pct"/>
            <w:tcBorders>
              <w:top w:val="single" w:color="000000" w:sz="4" w:space="0"/>
              <w:left w:val="single" w:color="000000" w:sz="4" w:space="0"/>
              <w:bottom w:val="nil"/>
              <w:right w:val="single" w:color="000000" w:sz="4" w:space="0"/>
            </w:tcBorders>
            <w:shd w:val="clear"/>
            <w:vAlign w:val="center"/>
          </w:tcPr>
          <w:p w14:paraId="713EBE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台/套</w:t>
            </w:r>
          </w:p>
        </w:tc>
        <w:tc>
          <w:tcPr>
            <w:tcW w:w="404" w:type="pct"/>
            <w:tcBorders>
              <w:top w:val="single" w:color="000000" w:sz="4" w:space="0"/>
              <w:left w:val="single" w:color="000000" w:sz="4" w:space="0"/>
              <w:bottom w:val="nil"/>
              <w:right w:val="single" w:color="000000" w:sz="4" w:space="0"/>
            </w:tcBorders>
            <w:shd w:val="clear"/>
            <w:vAlign w:val="center"/>
          </w:tcPr>
          <w:p w14:paraId="55DADB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18" w:type="pct"/>
            <w:tcBorders>
              <w:top w:val="single" w:color="000000" w:sz="4" w:space="0"/>
              <w:left w:val="single" w:color="000000" w:sz="4" w:space="0"/>
              <w:bottom w:val="nil"/>
              <w:right w:val="single" w:color="000000" w:sz="4" w:space="0"/>
            </w:tcBorders>
            <w:shd w:val="clear"/>
            <w:vAlign w:val="center"/>
          </w:tcPr>
          <w:p w14:paraId="6B669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37" w:type="pct"/>
            <w:tcBorders>
              <w:top w:val="single" w:color="000000" w:sz="4" w:space="0"/>
              <w:left w:val="single" w:color="000000" w:sz="4" w:space="0"/>
              <w:bottom w:val="nil"/>
              <w:right w:val="single" w:color="000000" w:sz="4" w:space="0"/>
            </w:tcBorders>
            <w:shd w:val="clear"/>
            <w:vAlign w:val="center"/>
          </w:tcPr>
          <w:p w14:paraId="48068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我院检验检测业务量大，需要专业仪器设备数量较大，由于年初设置目标值不准确，因而产生偏离度。整改措施：根据业务实际合理设置目标值。</w:t>
            </w:r>
          </w:p>
        </w:tc>
      </w:tr>
      <w:tr w14:paraId="3320B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6C2B4815">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F1D265F">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7B020A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vAlign w:val="center"/>
          </w:tcPr>
          <w:p w14:paraId="0BA915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特种设备检验技术指标验收合格率</w:t>
            </w:r>
          </w:p>
        </w:tc>
        <w:tc>
          <w:tcPr>
            <w:tcW w:w="404" w:type="pct"/>
            <w:tcBorders>
              <w:top w:val="single" w:color="000000" w:sz="4" w:space="0"/>
              <w:left w:val="single" w:color="000000" w:sz="4" w:space="0"/>
              <w:bottom w:val="nil"/>
              <w:right w:val="single" w:color="000000" w:sz="4" w:space="0"/>
            </w:tcBorders>
            <w:shd w:val="clear"/>
            <w:vAlign w:val="center"/>
          </w:tcPr>
          <w:p w14:paraId="6FF7A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4B594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4EBF3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4" w:type="pct"/>
            <w:tcBorders>
              <w:top w:val="single" w:color="000000" w:sz="4" w:space="0"/>
              <w:left w:val="single" w:color="000000" w:sz="4" w:space="0"/>
              <w:bottom w:val="nil"/>
              <w:right w:val="single" w:color="000000" w:sz="4" w:space="0"/>
            </w:tcBorders>
            <w:shd w:val="clear"/>
            <w:vAlign w:val="center"/>
          </w:tcPr>
          <w:p w14:paraId="1B861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75.68</w:t>
            </w:r>
          </w:p>
        </w:tc>
        <w:tc>
          <w:tcPr>
            <w:tcW w:w="404" w:type="pct"/>
            <w:tcBorders>
              <w:top w:val="single" w:color="000000" w:sz="4" w:space="0"/>
              <w:left w:val="single" w:color="000000" w:sz="4" w:space="0"/>
              <w:bottom w:val="nil"/>
              <w:right w:val="single" w:color="000000" w:sz="4" w:space="0"/>
            </w:tcBorders>
            <w:shd w:val="clear"/>
            <w:vAlign w:val="center"/>
          </w:tcPr>
          <w:p w14:paraId="403F4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64BEC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784B0D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2.39</w:t>
            </w:r>
          </w:p>
        </w:tc>
        <w:tc>
          <w:tcPr>
            <w:tcW w:w="437" w:type="pct"/>
            <w:tcBorders>
              <w:top w:val="single" w:color="000000" w:sz="4" w:space="0"/>
              <w:left w:val="single" w:color="000000" w:sz="4" w:space="0"/>
              <w:bottom w:val="nil"/>
              <w:right w:val="single" w:color="000000" w:sz="4" w:space="0"/>
            </w:tcBorders>
            <w:shd w:val="clear"/>
            <w:vAlign w:val="center"/>
          </w:tcPr>
          <w:p w14:paraId="63B275D8">
            <w:pPr>
              <w:jc w:val="center"/>
              <w:rPr>
                <w:rFonts w:hint="eastAsia" w:ascii="宋体" w:hAnsi="宋体" w:eastAsia="宋体" w:cs="宋体"/>
                <w:i w:val="0"/>
                <w:iCs w:val="0"/>
                <w:color w:val="000000"/>
                <w:sz w:val="18"/>
                <w:szCs w:val="18"/>
                <w:u w:val="none"/>
              </w:rPr>
            </w:pPr>
          </w:p>
        </w:tc>
      </w:tr>
      <w:tr w14:paraId="0E4B4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20241B8D">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4CE99F1E">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04AE83FD">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5D007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检验检测报告差错率</w:t>
            </w:r>
          </w:p>
        </w:tc>
        <w:tc>
          <w:tcPr>
            <w:tcW w:w="404" w:type="pct"/>
            <w:tcBorders>
              <w:top w:val="single" w:color="000000" w:sz="4" w:space="0"/>
              <w:left w:val="single" w:color="000000" w:sz="4" w:space="0"/>
              <w:bottom w:val="nil"/>
              <w:right w:val="single" w:color="000000" w:sz="4" w:space="0"/>
            </w:tcBorders>
            <w:shd w:val="clear"/>
            <w:vAlign w:val="center"/>
          </w:tcPr>
          <w:p w14:paraId="6BC8C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5DB879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67599D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04" w:type="pct"/>
            <w:tcBorders>
              <w:top w:val="single" w:color="000000" w:sz="4" w:space="0"/>
              <w:left w:val="single" w:color="000000" w:sz="4" w:space="0"/>
              <w:bottom w:val="nil"/>
              <w:right w:val="single" w:color="000000" w:sz="4" w:space="0"/>
            </w:tcBorders>
            <w:shd w:val="clear"/>
            <w:vAlign w:val="center"/>
          </w:tcPr>
          <w:p w14:paraId="5C897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404" w:type="pct"/>
            <w:tcBorders>
              <w:top w:val="single" w:color="000000" w:sz="4" w:space="0"/>
              <w:left w:val="single" w:color="000000" w:sz="4" w:space="0"/>
              <w:bottom w:val="nil"/>
              <w:right w:val="single" w:color="000000" w:sz="4" w:space="0"/>
            </w:tcBorders>
            <w:shd w:val="clear"/>
            <w:vAlign w:val="center"/>
          </w:tcPr>
          <w:p w14:paraId="693C89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259C73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00388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7" w:type="pct"/>
            <w:tcBorders>
              <w:top w:val="single" w:color="000000" w:sz="4" w:space="0"/>
              <w:left w:val="single" w:color="000000" w:sz="4" w:space="0"/>
              <w:bottom w:val="nil"/>
              <w:right w:val="single" w:color="000000" w:sz="4" w:space="0"/>
            </w:tcBorders>
            <w:shd w:val="clear"/>
            <w:vAlign w:val="center"/>
          </w:tcPr>
          <w:p w14:paraId="79EBAD6E">
            <w:pPr>
              <w:jc w:val="center"/>
              <w:rPr>
                <w:rFonts w:hint="eastAsia" w:ascii="宋体" w:hAnsi="宋体" w:eastAsia="宋体" w:cs="宋体"/>
                <w:i w:val="0"/>
                <w:iCs w:val="0"/>
                <w:color w:val="000000"/>
                <w:sz w:val="18"/>
                <w:szCs w:val="18"/>
                <w:u w:val="none"/>
              </w:rPr>
            </w:pPr>
          </w:p>
        </w:tc>
      </w:tr>
      <w:tr w14:paraId="45513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9"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A300522">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733B93A">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C92FA4F">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5885E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特种设备检验人员考试通过率</w:t>
            </w:r>
          </w:p>
        </w:tc>
        <w:tc>
          <w:tcPr>
            <w:tcW w:w="404" w:type="pct"/>
            <w:tcBorders>
              <w:top w:val="single" w:color="000000" w:sz="4" w:space="0"/>
              <w:left w:val="single" w:color="000000" w:sz="4" w:space="0"/>
              <w:bottom w:val="nil"/>
              <w:right w:val="single" w:color="000000" w:sz="4" w:space="0"/>
            </w:tcBorders>
            <w:shd w:val="clear"/>
            <w:vAlign w:val="center"/>
          </w:tcPr>
          <w:p w14:paraId="10225B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5D67AF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5247DA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4" w:type="pct"/>
            <w:tcBorders>
              <w:top w:val="single" w:color="000000" w:sz="4" w:space="0"/>
              <w:left w:val="single" w:color="000000" w:sz="4" w:space="0"/>
              <w:bottom w:val="nil"/>
              <w:right w:val="single" w:color="000000" w:sz="4" w:space="0"/>
            </w:tcBorders>
            <w:shd w:val="clear"/>
            <w:vAlign w:val="center"/>
          </w:tcPr>
          <w:p w14:paraId="13C731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w:t>
            </w:r>
          </w:p>
        </w:tc>
        <w:tc>
          <w:tcPr>
            <w:tcW w:w="404" w:type="pct"/>
            <w:tcBorders>
              <w:top w:val="single" w:color="000000" w:sz="4" w:space="0"/>
              <w:left w:val="single" w:color="000000" w:sz="4" w:space="0"/>
              <w:bottom w:val="nil"/>
              <w:right w:val="single" w:color="000000" w:sz="4" w:space="0"/>
            </w:tcBorders>
            <w:shd w:val="clear"/>
            <w:vAlign w:val="center"/>
          </w:tcPr>
          <w:p w14:paraId="00703C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21701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725E51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0.98</w:t>
            </w:r>
          </w:p>
        </w:tc>
        <w:tc>
          <w:tcPr>
            <w:tcW w:w="437" w:type="pct"/>
            <w:tcBorders>
              <w:top w:val="single" w:color="000000" w:sz="4" w:space="0"/>
              <w:left w:val="single" w:color="000000" w:sz="4" w:space="0"/>
              <w:bottom w:val="nil"/>
              <w:right w:val="single" w:color="000000" w:sz="4" w:space="0"/>
            </w:tcBorders>
            <w:shd w:val="clear"/>
            <w:vAlign w:val="center"/>
          </w:tcPr>
          <w:p w14:paraId="3B2FD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我院本年度省外业务增加，工作任务重，检验员未能充分备考，因而考试通过率未达标。措施：合理分配检验业务，搭建在线学习平台，提升考试通过率。</w:t>
            </w:r>
          </w:p>
        </w:tc>
      </w:tr>
      <w:tr w14:paraId="735BF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53FC8DD8">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38CB368">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680494A9">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7D29CB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政府采购执行率</w:t>
            </w:r>
          </w:p>
        </w:tc>
        <w:tc>
          <w:tcPr>
            <w:tcW w:w="404" w:type="pct"/>
            <w:tcBorders>
              <w:top w:val="single" w:color="000000" w:sz="4" w:space="0"/>
              <w:left w:val="single" w:color="000000" w:sz="4" w:space="0"/>
              <w:bottom w:val="nil"/>
              <w:right w:val="single" w:color="000000" w:sz="4" w:space="0"/>
            </w:tcBorders>
            <w:shd w:val="clear"/>
            <w:vAlign w:val="center"/>
          </w:tcPr>
          <w:p w14:paraId="39FC8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65D289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404" w:type="pct"/>
            <w:tcBorders>
              <w:top w:val="single" w:color="000000" w:sz="4" w:space="0"/>
              <w:left w:val="single" w:color="000000" w:sz="4" w:space="0"/>
              <w:bottom w:val="nil"/>
              <w:right w:val="single" w:color="000000" w:sz="4" w:space="0"/>
            </w:tcBorders>
            <w:shd w:val="clear"/>
            <w:vAlign w:val="center"/>
          </w:tcPr>
          <w:p w14:paraId="0465E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67FA6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99.23</w:t>
            </w:r>
          </w:p>
        </w:tc>
        <w:tc>
          <w:tcPr>
            <w:tcW w:w="404" w:type="pct"/>
            <w:tcBorders>
              <w:top w:val="single" w:color="000000" w:sz="4" w:space="0"/>
              <w:left w:val="single" w:color="000000" w:sz="4" w:space="0"/>
              <w:bottom w:val="nil"/>
              <w:right w:val="single" w:color="000000" w:sz="4" w:space="0"/>
            </w:tcBorders>
            <w:shd w:val="clear"/>
            <w:vAlign w:val="center"/>
          </w:tcPr>
          <w:p w14:paraId="2A41A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14F2E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3C9770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2.98</w:t>
            </w:r>
          </w:p>
        </w:tc>
        <w:tc>
          <w:tcPr>
            <w:tcW w:w="437" w:type="pct"/>
            <w:tcBorders>
              <w:top w:val="single" w:color="000000" w:sz="4" w:space="0"/>
              <w:left w:val="single" w:color="000000" w:sz="4" w:space="0"/>
              <w:bottom w:val="nil"/>
              <w:right w:val="single" w:color="000000" w:sz="4" w:space="0"/>
            </w:tcBorders>
            <w:shd w:val="clear"/>
            <w:vAlign w:val="center"/>
          </w:tcPr>
          <w:p w14:paraId="4C61DA14">
            <w:pPr>
              <w:jc w:val="center"/>
              <w:rPr>
                <w:rFonts w:hint="eastAsia" w:ascii="宋体" w:hAnsi="宋体" w:eastAsia="宋体" w:cs="宋体"/>
                <w:i w:val="0"/>
                <w:iCs w:val="0"/>
                <w:color w:val="000000"/>
                <w:sz w:val="18"/>
                <w:szCs w:val="18"/>
                <w:u w:val="none"/>
              </w:rPr>
            </w:pPr>
          </w:p>
        </w:tc>
      </w:tr>
      <w:tr w14:paraId="07D5C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22633A9">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7AFBFCA">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B01CA28">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7B8C8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设备验收合格率</w:t>
            </w:r>
          </w:p>
        </w:tc>
        <w:tc>
          <w:tcPr>
            <w:tcW w:w="404" w:type="pct"/>
            <w:tcBorders>
              <w:top w:val="single" w:color="000000" w:sz="4" w:space="0"/>
              <w:left w:val="single" w:color="000000" w:sz="4" w:space="0"/>
              <w:bottom w:val="nil"/>
              <w:right w:val="single" w:color="000000" w:sz="4" w:space="0"/>
            </w:tcBorders>
            <w:shd w:val="clear"/>
            <w:vAlign w:val="center"/>
          </w:tcPr>
          <w:p w14:paraId="63E7C8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7C37CD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5E9AF4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4" w:type="pct"/>
            <w:tcBorders>
              <w:top w:val="single" w:color="000000" w:sz="4" w:space="0"/>
              <w:left w:val="single" w:color="000000" w:sz="4" w:space="0"/>
              <w:bottom w:val="nil"/>
              <w:right w:val="single" w:color="000000" w:sz="4" w:space="0"/>
            </w:tcBorders>
            <w:shd w:val="clear"/>
            <w:vAlign w:val="center"/>
          </w:tcPr>
          <w:p w14:paraId="28C6B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2EF903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4F4F17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579E0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7" w:type="pct"/>
            <w:tcBorders>
              <w:top w:val="single" w:color="000000" w:sz="4" w:space="0"/>
              <w:left w:val="single" w:color="000000" w:sz="4" w:space="0"/>
              <w:bottom w:val="nil"/>
              <w:right w:val="single" w:color="000000" w:sz="4" w:space="0"/>
            </w:tcBorders>
            <w:shd w:val="clear"/>
            <w:vAlign w:val="center"/>
          </w:tcPr>
          <w:p w14:paraId="3210248F">
            <w:pPr>
              <w:jc w:val="center"/>
              <w:rPr>
                <w:rFonts w:hint="eastAsia" w:ascii="宋体" w:hAnsi="宋体" w:eastAsia="宋体" w:cs="宋体"/>
                <w:i w:val="0"/>
                <w:iCs w:val="0"/>
                <w:color w:val="000000"/>
                <w:sz w:val="18"/>
                <w:szCs w:val="18"/>
                <w:u w:val="none"/>
              </w:rPr>
            </w:pPr>
          </w:p>
        </w:tc>
      </w:tr>
      <w:tr w14:paraId="22203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233EBDE1">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B235D9C">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3DB552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vAlign w:val="center"/>
          </w:tcPr>
          <w:p w14:paraId="3D61C4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提出检验申请后受理时间</w:t>
            </w:r>
          </w:p>
        </w:tc>
        <w:tc>
          <w:tcPr>
            <w:tcW w:w="404" w:type="pct"/>
            <w:tcBorders>
              <w:top w:val="single" w:color="000000" w:sz="4" w:space="0"/>
              <w:left w:val="single" w:color="000000" w:sz="4" w:space="0"/>
              <w:bottom w:val="nil"/>
              <w:right w:val="single" w:color="000000" w:sz="4" w:space="0"/>
            </w:tcBorders>
            <w:shd w:val="clear"/>
            <w:vAlign w:val="center"/>
          </w:tcPr>
          <w:p w14:paraId="1D2335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4D33C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50F9A4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04" w:type="pct"/>
            <w:tcBorders>
              <w:top w:val="single" w:color="000000" w:sz="4" w:space="0"/>
              <w:left w:val="single" w:color="000000" w:sz="4" w:space="0"/>
              <w:bottom w:val="nil"/>
              <w:right w:val="single" w:color="000000" w:sz="4" w:space="0"/>
            </w:tcBorders>
            <w:shd w:val="clear"/>
            <w:vAlign w:val="center"/>
          </w:tcPr>
          <w:p w14:paraId="203B9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04" w:type="pct"/>
            <w:tcBorders>
              <w:top w:val="single" w:color="000000" w:sz="4" w:space="0"/>
              <w:left w:val="single" w:color="000000" w:sz="4" w:space="0"/>
              <w:bottom w:val="nil"/>
              <w:right w:val="single" w:color="000000" w:sz="4" w:space="0"/>
            </w:tcBorders>
            <w:shd w:val="clear"/>
            <w:vAlign w:val="center"/>
          </w:tcPr>
          <w:p w14:paraId="19D7E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工作日</w:t>
            </w:r>
          </w:p>
        </w:tc>
        <w:tc>
          <w:tcPr>
            <w:tcW w:w="404" w:type="pct"/>
            <w:tcBorders>
              <w:top w:val="single" w:color="000000" w:sz="4" w:space="0"/>
              <w:left w:val="single" w:color="000000" w:sz="4" w:space="0"/>
              <w:bottom w:val="nil"/>
              <w:right w:val="single" w:color="000000" w:sz="4" w:space="0"/>
            </w:tcBorders>
            <w:shd w:val="clear"/>
            <w:vAlign w:val="center"/>
          </w:tcPr>
          <w:p w14:paraId="5F8C3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2B326B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37B9C95E">
            <w:pPr>
              <w:jc w:val="center"/>
              <w:rPr>
                <w:rFonts w:hint="eastAsia" w:ascii="宋体" w:hAnsi="宋体" w:eastAsia="宋体" w:cs="宋体"/>
                <w:i w:val="0"/>
                <w:iCs w:val="0"/>
                <w:color w:val="000000"/>
                <w:sz w:val="18"/>
                <w:szCs w:val="18"/>
                <w:u w:val="none"/>
              </w:rPr>
            </w:pPr>
          </w:p>
        </w:tc>
      </w:tr>
      <w:tr w14:paraId="6B711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68B58BC1">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09C22CC">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D5C4A2E">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53CA3F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形成检验结论后检验报告出具时间</w:t>
            </w:r>
          </w:p>
        </w:tc>
        <w:tc>
          <w:tcPr>
            <w:tcW w:w="404" w:type="pct"/>
            <w:tcBorders>
              <w:top w:val="single" w:color="000000" w:sz="4" w:space="0"/>
              <w:left w:val="single" w:color="000000" w:sz="4" w:space="0"/>
              <w:bottom w:val="nil"/>
              <w:right w:val="single" w:color="000000" w:sz="4" w:space="0"/>
            </w:tcBorders>
            <w:shd w:val="clear"/>
            <w:vAlign w:val="center"/>
          </w:tcPr>
          <w:p w14:paraId="5D4FD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101245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0907B6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404" w:type="pct"/>
            <w:tcBorders>
              <w:top w:val="single" w:color="000000" w:sz="4" w:space="0"/>
              <w:left w:val="single" w:color="000000" w:sz="4" w:space="0"/>
              <w:bottom w:val="nil"/>
              <w:right w:val="single" w:color="000000" w:sz="4" w:space="0"/>
            </w:tcBorders>
            <w:shd w:val="clear"/>
            <w:vAlign w:val="center"/>
          </w:tcPr>
          <w:p w14:paraId="391908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404" w:type="pct"/>
            <w:tcBorders>
              <w:top w:val="single" w:color="000000" w:sz="4" w:space="0"/>
              <w:left w:val="single" w:color="000000" w:sz="4" w:space="0"/>
              <w:bottom w:val="nil"/>
              <w:right w:val="single" w:color="000000" w:sz="4" w:space="0"/>
            </w:tcBorders>
            <w:shd w:val="clear"/>
            <w:vAlign w:val="center"/>
          </w:tcPr>
          <w:p w14:paraId="52A2B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工作日</w:t>
            </w:r>
          </w:p>
        </w:tc>
        <w:tc>
          <w:tcPr>
            <w:tcW w:w="404" w:type="pct"/>
            <w:tcBorders>
              <w:top w:val="single" w:color="000000" w:sz="4" w:space="0"/>
              <w:left w:val="single" w:color="000000" w:sz="4" w:space="0"/>
              <w:bottom w:val="nil"/>
              <w:right w:val="single" w:color="000000" w:sz="4" w:space="0"/>
            </w:tcBorders>
            <w:shd w:val="clear"/>
            <w:vAlign w:val="center"/>
          </w:tcPr>
          <w:p w14:paraId="01DCC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1093A3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6EC0B236">
            <w:pPr>
              <w:jc w:val="center"/>
              <w:rPr>
                <w:rFonts w:hint="eastAsia" w:ascii="宋体" w:hAnsi="宋体" w:eastAsia="宋体" w:cs="宋体"/>
                <w:i w:val="0"/>
                <w:iCs w:val="0"/>
                <w:color w:val="000000"/>
                <w:sz w:val="18"/>
                <w:szCs w:val="18"/>
                <w:u w:val="none"/>
              </w:rPr>
            </w:pPr>
          </w:p>
        </w:tc>
      </w:tr>
      <w:tr w14:paraId="52445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5843A918">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89048A4">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780C3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vAlign w:val="center"/>
          </w:tcPr>
          <w:p w14:paraId="4F7BD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机电类特种设备检验成本</w:t>
            </w:r>
          </w:p>
        </w:tc>
        <w:tc>
          <w:tcPr>
            <w:tcW w:w="404" w:type="pct"/>
            <w:tcBorders>
              <w:top w:val="single" w:color="000000" w:sz="4" w:space="0"/>
              <w:left w:val="single" w:color="000000" w:sz="4" w:space="0"/>
              <w:bottom w:val="nil"/>
              <w:right w:val="single" w:color="000000" w:sz="4" w:space="0"/>
            </w:tcBorders>
            <w:shd w:val="clear"/>
            <w:vAlign w:val="center"/>
          </w:tcPr>
          <w:p w14:paraId="704BF1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1DE4D3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4304D4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350</w:t>
            </w:r>
          </w:p>
        </w:tc>
        <w:tc>
          <w:tcPr>
            <w:tcW w:w="404" w:type="pct"/>
            <w:tcBorders>
              <w:top w:val="single" w:color="000000" w:sz="4" w:space="0"/>
              <w:left w:val="single" w:color="000000" w:sz="4" w:space="0"/>
              <w:bottom w:val="nil"/>
              <w:right w:val="single" w:color="000000" w:sz="4" w:space="0"/>
            </w:tcBorders>
            <w:shd w:val="clear"/>
            <w:vAlign w:val="center"/>
          </w:tcPr>
          <w:p w14:paraId="658B05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174.12</w:t>
            </w:r>
          </w:p>
        </w:tc>
        <w:tc>
          <w:tcPr>
            <w:tcW w:w="404" w:type="pct"/>
            <w:tcBorders>
              <w:top w:val="single" w:color="000000" w:sz="4" w:space="0"/>
              <w:left w:val="single" w:color="000000" w:sz="4" w:space="0"/>
              <w:bottom w:val="nil"/>
              <w:right w:val="single" w:color="000000" w:sz="4" w:space="0"/>
            </w:tcBorders>
            <w:shd w:val="clear"/>
            <w:vAlign w:val="center"/>
          </w:tcPr>
          <w:p w14:paraId="35E1B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04" w:type="pct"/>
            <w:tcBorders>
              <w:top w:val="single" w:color="000000" w:sz="4" w:space="0"/>
              <w:left w:val="single" w:color="000000" w:sz="4" w:space="0"/>
              <w:bottom w:val="nil"/>
              <w:right w:val="single" w:color="000000" w:sz="4" w:space="0"/>
            </w:tcBorders>
            <w:shd w:val="clear"/>
            <w:vAlign w:val="center"/>
          </w:tcPr>
          <w:p w14:paraId="4A6D0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69E00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39E35C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我院本年度特种设备安全监管项目年初预算数为763万元，全年执行数为373.12万元，其中13万元为财政资金，全部执行完毕，剩余360.12为上年结余资金，因而产生偏差。措施：根据实际业务合理设置目标值。</w:t>
            </w:r>
          </w:p>
        </w:tc>
      </w:tr>
      <w:tr w14:paraId="3B715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048D9538">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0E86E034">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6067D389">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7CA54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承压类特种设备检验成本</w:t>
            </w:r>
          </w:p>
        </w:tc>
        <w:tc>
          <w:tcPr>
            <w:tcW w:w="404" w:type="pct"/>
            <w:tcBorders>
              <w:top w:val="single" w:color="000000" w:sz="4" w:space="0"/>
              <w:left w:val="single" w:color="000000" w:sz="4" w:space="0"/>
              <w:bottom w:val="nil"/>
              <w:right w:val="single" w:color="000000" w:sz="4" w:space="0"/>
            </w:tcBorders>
            <w:shd w:val="clear"/>
            <w:vAlign w:val="center"/>
          </w:tcPr>
          <w:p w14:paraId="0D47C9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4833B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21ADD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400</w:t>
            </w:r>
          </w:p>
        </w:tc>
        <w:tc>
          <w:tcPr>
            <w:tcW w:w="404" w:type="pct"/>
            <w:tcBorders>
              <w:top w:val="single" w:color="000000" w:sz="4" w:space="0"/>
              <w:left w:val="single" w:color="000000" w:sz="4" w:space="0"/>
              <w:bottom w:val="nil"/>
              <w:right w:val="single" w:color="000000" w:sz="4" w:space="0"/>
            </w:tcBorders>
            <w:shd w:val="clear"/>
            <w:vAlign w:val="center"/>
          </w:tcPr>
          <w:p w14:paraId="7FF608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199</w:t>
            </w:r>
          </w:p>
        </w:tc>
        <w:tc>
          <w:tcPr>
            <w:tcW w:w="404" w:type="pct"/>
            <w:tcBorders>
              <w:top w:val="single" w:color="000000" w:sz="4" w:space="0"/>
              <w:left w:val="single" w:color="000000" w:sz="4" w:space="0"/>
              <w:bottom w:val="nil"/>
              <w:right w:val="single" w:color="000000" w:sz="4" w:space="0"/>
            </w:tcBorders>
            <w:shd w:val="clear"/>
            <w:vAlign w:val="center"/>
          </w:tcPr>
          <w:p w14:paraId="1E7DBB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04" w:type="pct"/>
            <w:tcBorders>
              <w:top w:val="single" w:color="000000" w:sz="4" w:space="0"/>
              <w:left w:val="single" w:color="000000" w:sz="4" w:space="0"/>
              <w:bottom w:val="nil"/>
              <w:right w:val="single" w:color="000000" w:sz="4" w:space="0"/>
            </w:tcBorders>
            <w:shd w:val="clear"/>
            <w:vAlign w:val="center"/>
          </w:tcPr>
          <w:p w14:paraId="5B4797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18" w:type="pct"/>
            <w:tcBorders>
              <w:top w:val="single" w:color="000000" w:sz="4" w:space="0"/>
              <w:left w:val="single" w:color="000000" w:sz="4" w:space="0"/>
              <w:bottom w:val="nil"/>
              <w:right w:val="single" w:color="000000" w:sz="4" w:space="0"/>
            </w:tcBorders>
            <w:shd w:val="clear"/>
            <w:vAlign w:val="center"/>
          </w:tcPr>
          <w:p w14:paraId="4067DE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37" w:type="pct"/>
            <w:tcBorders>
              <w:top w:val="single" w:color="000000" w:sz="4" w:space="0"/>
              <w:left w:val="single" w:color="000000" w:sz="4" w:space="0"/>
              <w:bottom w:val="nil"/>
              <w:right w:val="single" w:color="000000" w:sz="4" w:space="0"/>
            </w:tcBorders>
            <w:shd w:val="clear"/>
            <w:vAlign w:val="center"/>
          </w:tcPr>
          <w:p w14:paraId="12BCA3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我院本年度特种设备安全监管项目年初预算数为763万元，全年执行数为373.12万元，其中13万元为财政资金，全部执行完毕，剩余360.12为上年结余资金，因而产生偏差。措施：根据实际业务合理设置目标值。</w:t>
            </w:r>
          </w:p>
        </w:tc>
      </w:tr>
      <w:tr w14:paraId="0C02B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240AE127">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D90113C">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B69C26F">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4C8FC5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特种设备作业人员培训成本</w:t>
            </w:r>
          </w:p>
        </w:tc>
        <w:tc>
          <w:tcPr>
            <w:tcW w:w="404" w:type="pct"/>
            <w:tcBorders>
              <w:top w:val="single" w:color="000000" w:sz="4" w:space="0"/>
              <w:left w:val="single" w:color="000000" w:sz="4" w:space="0"/>
              <w:bottom w:val="nil"/>
              <w:right w:val="single" w:color="000000" w:sz="4" w:space="0"/>
            </w:tcBorders>
            <w:shd w:val="clear"/>
            <w:vAlign w:val="center"/>
          </w:tcPr>
          <w:p w14:paraId="7680AA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6A6F71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2A297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400</w:t>
            </w:r>
          </w:p>
        </w:tc>
        <w:tc>
          <w:tcPr>
            <w:tcW w:w="404" w:type="pct"/>
            <w:tcBorders>
              <w:top w:val="single" w:color="000000" w:sz="4" w:space="0"/>
              <w:left w:val="single" w:color="000000" w:sz="4" w:space="0"/>
              <w:bottom w:val="nil"/>
              <w:right w:val="single" w:color="000000" w:sz="4" w:space="0"/>
            </w:tcBorders>
            <w:shd w:val="clear"/>
            <w:vAlign w:val="center"/>
          </w:tcPr>
          <w:p w14:paraId="436BFA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400</w:t>
            </w:r>
          </w:p>
        </w:tc>
        <w:tc>
          <w:tcPr>
            <w:tcW w:w="404" w:type="pct"/>
            <w:tcBorders>
              <w:top w:val="single" w:color="000000" w:sz="4" w:space="0"/>
              <w:left w:val="single" w:color="000000" w:sz="4" w:space="0"/>
              <w:bottom w:val="nil"/>
              <w:right w:val="single" w:color="000000" w:sz="4" w:space="0"/>
            </w:tcBorders>
            <w:shd w:val="clear"/>
            <w:vAlign w:val="center"/>
          </w:tcPr>
          <w:p w14:paraId="02C738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元/人/天</w:t>
            </w:r>
          </w:p>
        </w:tc>
        <w:tc>
          <w:tcPr>
            <w:tcW w:w="404" w:type="pct"/>
            <w:tcBorders>
              <w:top w:val="single" w:color="000000" w:sz="4" w:space="0"/>
              <w:left w:val="single" w:color="000000" w:sz="4" w:space="0"/>
              <w:bottom w:val="nil"/>
              <w:right w:val="single" w:color="000000" w:sz="4" w:space="0"/>
            </w:tcBorders>
            <w:shd w:val="clear"/>
            <w:vAlign w:val="center"/>
          </w:tcPr>
          <w:p w14:paraId="38DCC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649A91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7" w:type="pct"/>
            <w:tcBorders>
              <w:top w:val="single" w:color="000000" w:sz="4" w:space="0"/>
              <w:left w:val="single" w:color="000000" w:sz="4" w:space="0"/>
              <w:bottom w:val="nil"/>
              <w:right w:val="single" w:color="000000" w:sz="4" w:space="0"/>
            </w:tcBorders>
            <w:shd w:val="clear"/>
            <w:vAlign w:val="center"/>
          </w:tcPr>
          <w:p w14:paraId="3802B1C5">
            <w:pPr>
              <w:jc w:val="center"/>
              <w:rPr>
                <w:rFonts w:hint="eastAsia" w:ascii="宋体" w:hAnsi="宋体" w:eastAsia="宋体" w:cs="宋体"/>
                <w:i w:val="0"/>
                <w:iCs w:val="0"/>
                <w:color w:val="000000"/>
                <w:sz w:val="18"/>
                <w:szCs w:val="18"/>
                <w:u w:val="none"/>
              </w:rPr>
            </w:pPr>
          </w:p>
        </w:tc>
      </w:tr>
      <w:tr w14:paraId="3D8C4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32F8C37A">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3B0902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436" w:type="pct"/>
            <w:tcBorders>
              <w:top w:val="single" w:color="000000" w:sz="4" w:space="0"/>
              <w:left w:val="single" w:color="000000" w:sz="4" w:space="0"/>
              <w:bottom w:val="nil"/>
              <w:right w:val="single" w:color="000000" w:sz="4" w:space="0"/>
            </w:tcBorders>
            <w:shd w:val="clear"/>
            <w:vAlign w:val="center"/>
          </w:tcPr>
          <w:p w14:paraId="2920D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404" w:type="pct"/>
            <w:tcBorders>
              <w:top w:val="single" w:color="000000" w:sz="4" w:space="0"/>
              <w:left w:val="single" w:color="000000" w:sz="4" w:space="0"/>
              <w:bottom w:val="nil"/>
              <w:right w:val="single" w:color="000000" w:sz="4" w:space="0"/>
            </w:tcBorders>
            <w:shd w:val="clear"/>
            <w:vAlign w:val="center"/>
          </w:tcPr>
          <w:p w14:paraId="2AEFE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完成年非税收入金额</w:t>
            </w:r>
          </w:p>
        </w:tc>
        <w:tc>
          <w:tcPr>
            <w:tcW w:w="404" w:type="pct"/>
            <w:tcBorders>
              <w:top w:val="single" w:color="000000" w:sz="4" w:space="0"/>
              <w:left w:val="single" w:color="000000" w:sz="4" w:space="0"/>
              <w:bottom w:val="nil"/>
              <w:right w:val="single" w:color="000000" w:sz="4" w:space="0"/>
            </w:tcBorders>
            <w:shd w:val="clear"/>
            <w:vAlign w:val="center"/>
          </w:tcPr>
          <w:p w14:paraId="6C91FE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1A8FA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20CAED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825</w:t>
            </w:r>
          </w:p>
        </w:tc>
        <w:tc>
          <w:tcPr>
            <w:tcW w:w="404" w:type="pct"/>
            <w:tcBorders>
              <w:top w:val="single" w:color="000000" w:sz="4" w:space="0"/>
              <w:left w:val="single" w:color="000000" w:sz="4" w:space="0"/>
              <w:bottom w:val="nil"/>
              <w:right w:val="single" w:color="000000" w:sz="4" w:space="0"/>
            </w:tcBorders>
            <w:shd w:val="clear"/>
            <w:vAlign w:val="center"/>
          </w:tcPr>
          <w:p w14:paraId="694C3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833.07</w:t>
            </w:r>
          </w:p>
        </w:tc>
        <w:tc>
          <w:tcPr>
            <w:tcW w:w="404" w:type="pct"/>
            <w:tcBorders>
              <w:top w:val="single" w:color="000000" w:sz="4" w:space="0"/>
              <w:left w:val="single" w:color="000000" w:sz="4" w:space="0"/>
              <w:bottom w:val="nil"/>
              <w:right w:val="single" w:color="000000" w:sz="4" w:space="0"/>
            </w:tcBorders>
            <w:shd w:val="clear"/>
            <w:vAlign w:val="center"/>
          </w:tcPr>
          <w:p w14:paraId="3EE52D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04" w:type="pct"/>
            <w:tcBorders>
              <w:top w:val="single" w:color="000000" w:sz="4" w:space="0"/>
              <w:left w:val="single" w:color="000000" w:sz="4" w:space="0"/>
              <w:bottom w:val="nil"/>
              <w:right w:val="single" w:color="000000" w:sz="4" w:space="0"/>
            </w:tcBorders>
            <w:shd w:val="clear"/>
            <w:vAlign w:val="center"/>
          </w:tcPr>
          <w:p w14:paraId="11DA5B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18" w:type="pct"/>
            <w:tcBorders>
              <w:top w:val="single" w:color="000000" w:sz="4" w:space="0"/>
              <w:left w:val="single" w:color="000000" w:sz="4" w:space="0"/>
              <w:bottom w:val="nil"/>
              <w:right w:val="single" w:color="000000" w:sz="4" w:space="0"/>
            </w:tcBorders>
            <w:shd w:val="clear"/>
            <w:vAlign w:val="center"/>
          </w:tcPr>
          <w:p w14:paraId="7F0EB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37" w:type="pct"/>
            <w:tcBorders>
              <w:top w:val="single" w:color="000000" w:sz="4" w:space="0"/>
              <w:left w:val="single" w:color="000000" w:sz="4" w:space="0"/>
              <w:bottom w:val="nil"/>
              <w:right w:val="single" w:color="000000" w:sz="4" w:space="0"/>
            </w:tcBorders>
            <w:shd w:val="clear"/>
            <w:vAlign w:val="center"/>
          </w:tcPr>
          <w:p w14:paraId="045448CC">
            <w:pPr>
              <w:jc w:val="center"/>
              <w:rPr>
                <w:rFonts w:hint="eastAsia" w:ascii="宋体" w:hAnsi="宋体" w:eastAsia="宋体" w:cs="宋体"/>
                <w:i w:val="0"/>
                <w:iCs w:val="0"/>
                <w:color w:val="000000"/>
                <w:sz w:val="18"/>
                <w:szCs w:val="18"/>
                <w:u w:val="none"/>
              </w:rPr>
            </w:pPr>
          </w:p>
        </w:tc>
      </w:tr>
      <w:tr w14:paraId="1060F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5DFFE6F0">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35D27A57">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vAlign w:val="center"/>
          </w:tcPr>
          <w:p w14:paraId="675AB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社会效益指标</w:t>
            </w:r>
          </w:p>
        </w:tc>
        <w:tc>
          <w:tcPr>
            <w:tcW w:w="404" w:type="pct"/>
            <w:tcBorders>
              <w:top w:val="single" w:color="000000" w:sz="4" w:space="0"/>
              <w:left w:val="single" w:color="000000" w:sz="4" w:space="0"/>
              <w:bottom w:val="nil"/>
              <w:right w:val="single" w:color="000000" w:sz="4" w:space="0"/>
            </w:tcBorders>
            <w:shd w:val="clear"/>
            <w:vAlign w:val="center"/>
          </w:tcPr>
          <w:p w14:paraId="02956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检验合格特种设备重大安全事故发生数量</w:t>
            </w:r>
          </w:p>
        </w:tc>
        <w:tc>
          <w:tcPr>
            <w:tcW w:w="404" w:type="pct"/>
            <w:tcBorders>
              <w:top w:val="single" w:color="000000" w:sz="4" w:space="0"/>
              <w:left w:val="single" w:color="000000" w:sz="4" w:space="0"/>
              <w:bottom w:val="nil"/>
              <w:right w:val="single" w:color="000000" w:sz="4" w:space="0"/>
            </w:tcBorders>
            <w:shd w:val="clear"/>
            <w:vAlign w:val="center"/>
          </w:tcPr>
          <w:p w14:paraId="074AC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3EA861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404" w:type="pct"/>
            <w:tcBorders>
              <w:top w:val="single" w:color="000000" w:sz="4" w:space="0"/>
              <w:left w:val="single" w:color="000000" w:sz="4" w:space="0"/>
              <w:bottom w:val="nil"/>
              <w:right w:val="single" w:color="000000" w:sz="4" w:space="0"/>
            </w:tcBorders>
            <w:shd w:val="clear"/>
            <w:vAlign w:val="center"/>
          </w:tcPr>
          <w:p w14:paraId="663A45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404" w:type="pct"/>
            <w:tcBorders>
              <w:top w:val="single" w:color="000000" w:sz="4" w:space="0"/>
              <w:left w:val="single" w:color="000000" w:sz="4" w:space="0"/>
              <w:bottom w:val="nil"/>
              <w:right w:val="single" w:color="000000" w:sz="4" w:space="0"/>
            </w:tcBorders>
            <w:shd w:val="clear"/>
            <w:vAlign w:val="center"/>
          </w:tcPr>
          <w:p w14:paraId="29D10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404" w:type="pct"/>
            <w:tcBorders>
              <w:top w:val="single" w:color="000000" w:sz="4" w:space="0"/>
              <w:left w:val="single" w:color="000000" w:sz="4" w:space="0"/>
              <w:bottom w:val="nil"/>
              <w:right w:val="single" w:color="000000" w:sz="4" w:space="0"/>
            </w:tcBorders>
            <w:shd w:val="clear"/>
            <w:vAlign w:val="center"/>
          </w:tcPr>
          <w:p w14:paraId="79E7F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起</w:t>
            </w:r>
          </w:p>
        </w:tc>
        <w:tc>
          <w:tcPr>
            <w:tcW w:w="404" w:type="pct"/>
            <w:tcBorders>
              <w:top w:val="single" w:color="000000" w:sz="4" w:space="0"/>
              <w:left w:val="single" w:color="000000" w:sz="4" w:space="0"/>
              <w:bottom w:val="nil"/>
              <w:right w:val="single" w:color="000000" w:sz="4" w:space="0"/>
            </w:tcBorders>
            <w:shd w:val="clear"/>
            <w:vAlign w:val="center"/>
          </w:tcPr>
          <w:p w14:paraId="2BC79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418" w:type="pct"/>
            <w:tcBorders>
              <w:top w:val="single" w:color="000000" w:sz="4" w:space="0"/>
              <w:left w:val="single" w:color="000000" w:sz="4" w:space="0"/>
              <w:bottom w:val="nil"/>
              <w:right w:val="single" w:color="000000" w:sz="4" w:space="0"/>
            </w:tcBorders>
            <w:shd w:val="clear"/>
            <w:vAlign w:val="center"/>
          </w:tcPr>
          <w:p w14:paraId="11F751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437" w:type="pct"/>
            <w:tcBorders>
              <w:top w:val="single" w:color="000000" w:sz="4" w:space="0"/>
              <w:left w:val="single" w:color="000000" w:sz="4" w:space="0"/>
              <w:bottom w:val="nil"/>
              <w:right w:val="single" w:color="000000" w:sz="4" w:space="0"/>
            </w:tcBorders>
            <w:shd w:val="clear"/>
            <w:vAlign w:val="center"/>
          </w:tcPr>
          <w:p w14:paraId="036E4E7E">
            <w:pPr>
              <w:jc w:val="center"/>
              <w:rPr>
                <w:rFonts w:hint="eastAsia" w:ascii="宋体" w:hAnsi="宋体" w:eastAsia="宋体" w:cs="宋体"/>
                <w:i w:val="0"/>
                <w:iCs w:val="0"/>
                <w:color w:val="000000"/>
                <w:sz w:val="18"/>
                <w:szCs w:val="18"/>
                <w:u w:val="none"/>
              </w:rPr>
            </w:pPr>
          </w:p>
        </w:tc>
      </w:tr>
      <w:tr w14:paraId="4F0DE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37F3F60F">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29CFA97">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vAlign w:val="center"/>
          </w:tcPr>
          <w:p w14:paraId="6B5A4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可持续影响指标</w:t>
            </w:r>
          </w:p>
        </w:tc>
        <w:tc>
          <w:tcPr>
            <w:tcW w:w="404" w:type="pct"/>
            <w:tcBorders>
              <w:top w:val="single" w:color="000000" w:sz="4" w:space="0"/>
              <w:left w:val="single" w:color="000000" w:sz="4" w:space="0"/>
              <w:bottom w:val="nil"/>
              <w:right w:val="single" w:color="000000" w:sz="4" w:space="0"/>
            </w:tcBorders>
            <w:shd w:val="clear"/>
            <w:vAlign w:val="center"/>
          </w:tcPr>
          <w:p w14:paraId="1FF0B9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特种设备使用单位安全意识</w:t>
            </w:r>
          </w:p>
        </w:tc>
        <w:tc>
          <w:tcPr>
            <w:tcW w:w="404" w:type="pct"/>
            <w:tcBorders>
              <w:top w:val="single" w:color="000000" w:sz="4" w:space="0"/>
              <w:left w:val="single" w:color="000000" w:sz="4" w:space="0"/>
              <w:bottom w:val="nil"/>
              <w:right w:val="single" w:color="000000" w:sz="4" w:space="0"/>
            </w:tcBorders>
            <w:shd w:val="clear"/>
            <w:vAlign w:val="center"/>
          </w:tcPr>
          <w:p w14:paraId="50D38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404" w:type="pct"/>
            <w:tcBorders>
              <w:top w:val="single" w:color="000000" w:sz="4" w:space="0"/>
              <w:left w:val="single" w:color="000000" w:sz="4" w:space="0"/>
              <w:bottom w:val="nil"/>
              <w:right w:val="single" w:color="000000" w:sz="4" w:space="0"/>
            </w:tcBorders>
            <w:shd w:val="clear"/>
            <w:vAlign w:val="center"/>
          </w:tcPr>
          <w:p w14:paraId="25F7F266">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3F38A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稳步提高</w:t>
            </w:r>
          </w:p>
        </w:tc>
        <w:tc>
          <w:tcPr>
            <w:tcW w:w="404" w:type="pct"/>
            <w:tcBorders>
              <w:top w:val="single" w:color="000000" w:sz="4" w:space="0"/>
              <w:left w:val="single" w:color="000000" w:sz="4" w:space="0"/>
              <w:bottom w:val="nil"/>
              <w:right w:val="single" w:color="000000" w:sz="4" w:space="0"/>
            </w:tcBorders>
            <w:shd w:val="clear"/>
            <w:vAlign w:val="center"/>
          </w:tcPr>
          <w:p w14:paraId="66169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稳步提高</w:t>
            </w:r>
          </w:p>
        </w:tc>
        <w:tc>
          <w:tcPr>
            <w:tcW w:w="404" w:type="pct"/>
            <w:tcBorders>
              <w:top w:val="single" w:color="000000" w:sz="4" w:space="0"/>
              <w:left w:val="single" w:color="000000" w:sz="4" w:space="0"/>
              <w:bottom w:val="nil"/>
              <w:right w:val="single" w:color="000000" w:sz="4" w:space="0"/>
            </w:tcBorders>
            <w:shd w:val="clear"/>
            <w:vAlign w:val="center"/>
          </w:tcPr>
          <w:p w14:paraId="2FA568F9">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65B01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418" w:type="pct"/>
            <w:tcBorders>
              <w:top w:val="single" w:color="000000" w:sz="4" w:space="0"/>
              <w:left w:val="single" w:color="000000" w:sz="4" w:space="0"/>
              <w:bottom w:val="nil"/>
              <w:right w:val="single" w:color="000000" w:sz="4" w:space="0"/>
            </w:tcBorders>
            <w:shd w:val="clear"/>
            <w:vAlign w:val="center"/>
          </w:tcPr>
          <w:p w14:paraId="01FF6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437" w:type="pct"/>
            <w:tcBorders>
              <w:top w:val="single" w:color="000000" w:sz="4" w:space="0"/>
              <w:left w:val="single" w:color="000000" w:sz="4" w:space="0"/>
              <w:bottom w:val="nil"/>
              <w:right w:val="single" w:color="000000" w:sz="4" w:space="0"/>
            </w:tcBorders>
            <w:shd w:val="clear"/>
            <w:vAlign w:val="center"/>
          </w:tcPr>
          <w:p w14:paraId="4F61B040">
            <w:pPr>
              <w:jc w:val="center"/>
              <w:rPr>
                <w:rFonts w:hint="eastAsia" w:ascii="宋体" w:hAnsi="宋体" w:eastAsia="宋体" w:cs="宋体"/>
                <w:i w:val="0"/>
                <w:iCs w:val="0"/>
                <w:color w:val="000000"/>
                <w:sz w:val="18"/>
                <w:szCs w:val="18"/>
                <w:u w:val="none"/>
              </w:rPr>
            </w:pPr>
          </w:p>
        </w:tc>
      </w:tr>
      <w:tr w14:paraId="26292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0C9E880F">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2B0796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w:t>
            </w:r>
          </w:p>
        </w:tc>
        <w:tc>
          <w:tcPr>
            <w:tcW w:w="436" w:type="pct"/>
            <w:vMerge w:val="restart"/>
            <w:tcBorders>
              <w:top w:val="single" w:color="000000" w:sz="4" w:space="0"/>
              <w:left w:val="single" w:color="000000" w:sz="4" w:space="0"/>
              <w:bottom w:val="nil"/>
              <w:right w:val="single" w:color="000000" w:sz="4" w:space="0"/>
            </w:tcBorders>
            <w:shd w:val="clear"/>
            <w:vAlign w:val="center"/>
          </w:tcPr>
          <w:p w14:paraId="1E4EDD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服务对象满意度指标</w:t>
            </w:r>
          </w:p>
        </w:tc>
        <w:tc>
          <w:tcPr>
            <w:tcW w:w="404" w:type="pct"/>
            <w:tcBorders>
              <w:top w:val="single" w:color="000000" w:sz="4" w:space="0"/>
              <w:left w:val="single" w:color="000000" w:sz="4" w:space="0"/>
              <w:bottom w:val="nil"/>
              <w:right w:val="single" w:color="000000" w:sz="4" w:space="0"/>
            </w:tcBorders>
            <w:shd w:val="clear"/>
            <w:vAlign w:val="center"/>
          </w:tcPr>
          <w:p w14:paraId="0DADDA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被检验单位满意度</w:t>
            </w:r>
          </w:p>
        </w:tc>
        <w:tc>
          <w:tcPr>
            <w:tcW w:w="404" w:type="pct"/>
            <w:tcBorders>
              <w:top w:val="single" w:color="000000" w:sz="4" w:space="0"/>
              <w:left w:val="single" w:color="000000" w:sz="4" w:space="0"/>
              <w:bottom w:val="nil"/>
              <w:right w:val="single" w:color="000000" w:sz="4" w:space="0"/>
            </w:tcBorders>
            <w:shd w:val="clear"/>
            <w:vAlign w:val="center"/>
          </w:tcPr>
          <w:p w14:paraId="25E934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4FC55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208CD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4" w:type="pct"/>
            <w:tcBorders>
              <w:top w:val="single" w:color="000000" w:sz="4" w:space="0"/>
              <w:left w:val="single" w:color="000000" w:sz="4" w:space="0"/>
              <w:bottom w:val="nil"/>
              <w:right w:val="single" w:color="000000" w:sz="4" w:space="0"/>
            </w:tcBorders>
            <w:shd w:val="clear"/>
            <w:vAlign w:val="center"/>
          </w:tcPr>
          <w:p w14:paraId="29B1F7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2B6A6E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3CD627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1BF0A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6EF4D97C">
            <w:pPr>
              <w:jc w:val="center"/>
              <w:rPr>
                <w:rFonts w:hint="eastAsia" w:ascii="宋体" w:hAnsi="宋体" w:eastAsia="宋体" w:cs="宋体"/>
                <w:i w:val="0"/>
                <w:iCs w:val="0"/>
                <w:color w:val="000000"/>
                <w:sz w:val="18"/>
                <w:szCs w:val="18"/>
                <w:u w:val="none"/>
              </w:rPr>
            </w:pPr>
          </w:p>
        </w:tc>
      </w:tr>
      <w:tr w14:paraId="063F8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8AA8B28">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56B37BB1">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4CE4E243">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3CE7FA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参加业务技能培训人员满意度</w:t>
            </w:r>
          </w:p>
        </w:tc>
        <w:tc>
          <w:tcPr>
            <w:tcW w:w="404" w:type="pct"/>
            <w:tcBorders>
              <w:top w:val="single" w:color="000000" w:sz="4" w:space="0"/>
              <w:left w:val="single" w:color="000000" w:sz="4" w:space="0"/>
              <w:bottom w:val="nil"/>
              <w:right w:val="single" w:color="000000" w:sz="4" w:space="0"/>
            </w:tcBorders>
            <w:shd w:val="clear"/>
            <w:vAlign w:val="center"/>
          </w:tcPr>
          <w:p w14:paraId="7BB225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1D3AE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12C23A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4" w:type="pct"/>
            <w:tcBorders>
              <w:top w:val="single" w:color="000000" w:sz="4" w:space="0"/>
              <w:left w:val="single" w:color="000000" w:sz="4" w:space="0"/>
              <w:bottom w:val="nil"/>
              <w:right w:val="single" w:color="000000" w:sz="4" w:space="0"/>
            </w:tcBorders>
            <w:shd w:val="clear"/>
            <w:vAlign w:val="center"/>
          </w:tcPr>
          <w:p w14:paraId="65CD0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0E450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432EE5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12CE80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535D773C">
            <w:pPr>
              <w:jc w:val="center"/>
              <w:rPr>
                <w:rFonts w:hint="eastAsia" w:ascii="宋体" w:hAnsi="宋体" w:eastAsia="宋体" w:cs="宋体"/>
                <w:i w:val="0"/>
                <w:iCs w:val="0"/>
                <w:color w:val="000000"/>
                <w:sz w:val="18"/>
                <w:szCs w:val="18"/>
                <w:u w:val="none"/>
              </w:rPr>
            </w:pPr>
          </w:p>
        </w:tc>
      </w:tr>
      <w:tr w14:paraId="3C07D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38" w:type="pct"/>
            <w:gridSpan w:val="9"/>
            <w:tcBorders>
              <w:top w:val="single" w:color="000000" w:sz="4" w:space="0"/>
              <w:left w:val="single" w:color="000000" w:sz="4" w:space="0"/>
              <w:bottom w:val="single" w:color="000000" w:sz="4" w:space="0"/>
              <w:right w:val="single" w:color="000000" w:sz="4" w:space="0"/>
            </w:tcBorders>
            <w:shd w:val="clear"/>
            <w:vAlign w:val="center"/>
          </w:tcPr>
          <w:p w14:paraId="2AF92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61C901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vAlign w:val="center"/>
          </w:tcPr>
          <w:p w14:paraId="461B6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91.8</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62BF3BA1">
            <w:pPr>
              <w:jc w:val="center"/>
              <w:rPr>
                <w:rFonts w:hint="eastAsia" w:ascii="宋体" w:hAnsi="宋体" w:eastAsia="宋体" w:cs="宋体"/>
                <w:i w:val="0"/>
                <w:iCs w:val="0"/>
                <w:color w:val="000000"/>
                <w:sz w:val="18"/>
                <w:szCs w:val="18"/>
                <w:u w:val="none"/>
              </w:rPr>
            </w:pPr>
          </w:p>
        </w:tc>
      </w:tr>
    </w:tbl>
    <w:p w14:paraId="0D738959">
      <w:pPr>
        <w:topLinePunct/>
        <w:spacing w:line="580" w:lineRule="exact"/>
        <w:ind w:left="0" w:leftChars="0" w:firstLine="0" w:firstLineChars="0"/>
        <w:rPr>
          <w:rFonts w:hint="eastAsia" w:ascii="Times New Roman Regular" w:hAnsi="Times New Roman Regular" w:eastAsia="仿宋" w:cs="Times New Roman Regular"/>
          <w:sz w:val="32"/>
          <w:szCs w:val="32"/>
          <w:lang w:eastAsia="zh-CN"/>
        </w:rPr>
      </w:pPr>
    </w:p>
    <w:p w14:paraId="1BFA3905">
      <w:pPr>
        <w:pStyle w:val="28"/>
        <w:widowControl/>
        <w:numPr>
          <w:ilvl w:val="0"/>
          <w:numId w:val="0"/>
        </w:numPr>
        <w:spacing w:before="240" w:after="240" w:line="560" w:lineRule="atLeast"/>
        <w:ind w:left="-197" w:leftChars="-94" w:firstLine="617" w:firstLineChars="193"/>
        <w:jc w:val="left"/>
        <w:rPr>
          <w:rFonts w:ascii="仿宋" w:hAnsi="仿宋" w:eastAsia="仿宋" w:cs="仿宋"/>
          <w:sz w:val="32"/>
          <w:szCs w:val="32"/>
        </w:rPr>
      </w:pPr>
      <w:r>
        <w:rPr>
          <w:rFonts w:hint="eastAsia" w:ascii="FangSong_GB2312" w:hAnsi="FangSong_GB2312" w:eastAsia="FangSong_GB2312" w:cs="FangSong_GB2312"/>
          <w:kern w:val="0"/>
          <w:sz w:val="32"/>
          <w:szCs w:val="32"/>
          <w:lang w:val="en-US" w:eastAsia="zh-CN"/>
        </w:rPr>
        <w:t>2.事业发展经费支出</w:t>
      </w:r>
      <w:r>
        <w:rPr>
          <w:rFonts w:ascii="FangSong_GB2312" w:hAnsi="FangSong_GB2312" w:eastAsia="FangSong_GB2312" w:cs="FangSong_GB2312"/>
          <w:kern w:val="0"/>
          <w:sz w:val="32"/>
          <w:szCs w:val="32"/>
        </w:rPr>
        <w:t>项目自评综述：根据年初设定的绩效目标，项目自评得分</w:t>
      </w:r>
      <w:r>
        <w:rPr>
          <w:rFonts w:hint="eastAsia"/>
          <w:kern w:val="0"/>
          <w:sz w:val="32"/>
          <w:szCs w:val="32"/>
          <w:u w:val="single"/>
          <w:lang w:val="en-US" w:eastAsia="zh-CN"/>
        </w:rPr>
        <w:t>100</w:t>
      </w:r>
      <w:r>
        <w:rPr>
          <w:rFonts w:ascii="FangSong_GB2312" w:hAnsi="FangSong_GB2312" w:eastAsia="FangSong_GB2312" w:cs="FangSong_GB2312"/>
          <w:kern w:val="0"/>
          <w:sz w:val="32"/>
          <w:szCs w:val="32"/>
        </w:rPr>
        <w:t>分。全年预算数为</w:t>
      </w:r>
      <w:r>
        <w:rPr>
          <w:rFonts w:hint="eastAsia"/>
          <w:kern w:val="0"/>
          <w:sz w:val="32"/>
          <w:szCs w:val="32"/>
          <w:u w:val="single"/>
          <w:lang w:val="en-US" w:eastAsia="zh-CN"/>
        </w:rPr>
        <w:t>45.38</w:t>
      </w:r>
      <w:r>
        <w:rPr>
          <w:rFonts w:ascii="FangSong_GB2312" w:hAnsi="FangSong_GB2312" w:eastAsia="FangSong_GB2312" w:cs="FangSong_GB2312"/>
          <w:kern w:val="0"/>
          <w:sz w:val="32"/>
          <w:szCs w:val="32"/>
        </w:rPr>
        <w:t>万元，执行数为</w:t>
      </w:r>
      <w:r>
        <w:rPr>
          <w:rFonts w:hint="eastAsia"/>
          <w:kern w:val="0"/>
          <w:sz w:val="32"/>
          <w:szCs w:val="32"/>
          <w:u w:val="single"/>
          <w:lang w:val="en-US" w:eastAsia="zh-CN"/>
        </w:rPr>
        <w:t>45.38</w:t>
      </w:r>
      <w:r>
        <w:rPr>
          <w:rFonts w:ascii="FangSong_GB2312" w:hAnsi="FangSong_GB2312" w:eastAsia="FangSong_GB2312" w:cs="FangSong_GB2312"/>
          <w:kern w:val="0"/>
          <w:sz w:val="32"/>
          <w:szCs w:val="32"/>
        </w:rPr>
        <w:t>万元，完成预算的</w:t>
      </w:r>
      <w:r>
        <w:rPr>
          <w:rFonts w:hint="eastAsia"/>
          <w:kern w:val="0"/>
          <w:sz w:val="32"/>
          <w:szCs w:val="32"/>
          <w:u w:val="single"/>
          <w:lang w:val="en-US" w:eastAsia="zh-CN"/>
        </w:rPr>
        <w:t>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0FB86C47">
      <w:pPr>
        <w:topLinePunct/>
        <w:spacing w:line="520" w:lineRule="exact"/>
        <w:ind w:firstLine="640"/>
        <w:rPr>
          <w:rFonts w:hint="default" w:ascii="仿宋" w:hAnsi="仿宋" w:eastAsia="仿宋" w:cs="仿宋"/>
          <w:sz w:val="32"/>
          <w:szCs w:val="32"/>
          <w:lang w:val="en-US" w:eastAsia="zh-CN"/>
        </w:rPr>
      </w:pPr>
      <w:r>
        <w:rPr>
          <w:rFonts w:ascii="FangSong_GB2312" w:hAnsi="FangSong_GB2312" w:eastAsia="FangSong_GB2312" w:cs="FangSong_GB2312"/>
          <w:kern w:val="0"/>
          <w:sz w:val="32"/>
          <w:szCs w:val="32"/>
        </w:rPr>
        <w:t>项目绩效目标完成情况</w:t>
      </w:r>
      <w:r>
        <w:rPr>
          <w:rFonts w:hint="eastAsia" w:ascii="FangSong_GB2312" w:hAnsi="FangSong_GB2312" w:eastAsia="FangSong_GB2312" w:cs="FangSong_GB2312"/>
          <w:kern w:val="0"/>
          <w:sz w:val="32"/>
          <w:szCs w:val="32"/>
          <w:lang w:eastAsia="zh-CN"/>
        </w:rPr>
        <w:t>：</w:t>
      </w:r>
      <w:r>
        <w:rPr>
          <w:rFonts w:hint="eastAsia" w:ascii="仿宋" w:hAnsi="仿宋" w:eastAsia="仿宋" w:cs="仿宋"/>
          <w:sz w:val="32"/>
          <w:szCs w:val="32"/>
        </w:rPr>
        <w:t>截止2025年12月31日，事业发展经费项目支出45.38万元，用于维护本单位水、电、暖、电话、通讯专线等正常使用，提供人员日常办公需求，保障了本单位各项工作开展，有效提高了特种设备检验研究事业发展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其中保障取暖面积7083.00平方米；保障正常办公人员数量87人；保障正常用水用电面积7083.00平方米；保障电话机正常使用数量31部；保障通讯专线数量6条；电话机正常使用率100%等。</w:t>
      </w:r>
      <w:bookmarkStart w:id="11" w:name="_GoBack"/>
      <w:bookmarkEnd w:id="11"/>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9"/>
        <w:gridCol w:w="741"/>
        <w:gridCol w:w="739"/>
        <w:gridCol w:w="685"/>
        <w:gridCol w:w="685"/>
        <w:gridCol w:w="690"/>
        <w:gridCol w:w="685"/>
        <w:gridCol w:w="686"/>
        <w:gridCol w:w="693"/>
        <w:gridCol w:w="685"/>
        <w:gridCol w:w="756"/>
        <w:gridCol w:w="738"/>
      </w:tblGrid>
      <w:tr w14:paraId="0B6DD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vAlign w:val="center"/>
          </w:tcPr>
          <w:p w14:paraId="5896077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(2025年度）</w:t>
            </w:r>
          </w:p>
        </w:tc>
      </w:tr>
      <w:tr w14:paraId="06912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tcBorders>
              <w:top w:val="single" w:color="000000" w:sz="4" w:space="0"/>
              <w:left w:val="single" w:color="000000" w:sz="4" w:space="0"/>
              <w:bottom w:val="single" w:color="000000" w:sz="4" w:space="0"/>
              <w:right w:val="single" w:color="000000" w:sz="4" w:space="0"/>
            </w:tcBorders>
            <w:shd w:val="clear"/>
            <w:vAlign w:val="center"/>
          </w:tcPr>
          <w:p w14:paraId="51E9004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4126" w:type="pct"/>
            <w:gridSpan w:val="10"/>
            <w:tcBorders>
              <w:top w:val="single" w:color="000000" w:sz="4" w:space="0"/>
              <w:left w:val="single" w:color="000000" w:sz="4" w:space="0"/>
              <w:bottom w:val="single" w:color="000000" w:sz="4" w:space="0"/>
              <w:right w:val="single" w:color="000000" w:sz="4" w:space="0"/>
            </w:tcBorders>
            <w:shd w:val="clear"/>
            <w:vAlign w:val="center"/>
          </w:tcPr>
          <w:p w14:paraId="7399C0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事业发展经费支出</w:t>
            </w:r>
          </w:p>
        </w:tc>
      </w:tr>
      <w:tr w14:paraId="5754C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tcBorders>
              <w:top w:val="single" w:color="000000" w:sz="4" w:space="0"/>
              <w:left w:val="single" w:color="000000" w:sz="4" w:space="0"/>
              <w:bottom w:val="single" w:color="000000" w:sz="4" w:space="0"/>
              <w:right w:val="single" w:color="000000" w:sz="4" w:space="0"/>
            </w:tcBorders>
            <w:shd w:val="clear"/>
            <w:vAlign w:val="center"/>
          </w:tcPr>
          <w:p w14:paraId="5F4996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w:t>
            </w:r>
          </w:p>
        </w:tc>
        <w:tc>
          <w:tcPr>
            <w:tcW w:w="1651" w:type="pct"/>
            <w:gridSpan w:val="4"/>
            <w:tcBorders>
              <w:top w:val="single" w:color="000000" w:sz="4" w:space="0"/>
              <w:left w:val="single" w:color="000000" w:sz="4" w:space="0"/>
              <w:bottom w:val="single" w:color="000000" w:sz="4" w:space="0"/>
              <w:right w:val="single" w:color="000000" w:sz="4" w:space="0"/>
            </w:tcBorders>
            <w:shd w:val="clear"/>
            <w:vAlign w:val="center"/>
          </w:tcPr>
          <w:p w14:paraId="6BCEAB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内蒙古自治区市场监督管理局部门</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104C78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vAlign w:val="center"/>
          </w:tcPr>
          <w:p w14:paraId="434998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内蒙古自治区特种设备检验研究院兴安分院</w:t>
            </w:r>
          </w:p>
        </w:tc>
      </w:tr>
      <w:tr w14:paraId="54594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3D02D0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1382E92D">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578FC9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621A0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1C22D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9EAC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1A6D43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030A9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137C0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6E73EC3">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2A539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C9C12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45.38</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3A6C6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45.38</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6D68D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45.38</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714DB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254156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6DF10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r>
      <w:tr w14:paraId="564B0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9"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4E3BB96">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3B8346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A374A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20151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2CBD89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66EE8E2E">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333F9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37" w:type="pct"/>
            <w:tcBorders>
              <w:top w:val="single" w:color="000000" w:sz="4" w:space="0"/>
              <w:left w:val="single" w:color="000000" w:sz="4" w:space="0"/>
              <w:bottom w:val="single" w:color="000000" w:sz="4" w:space="0"/>
              <w:right w:val="single" w:color="000000" w:sz="4" w:space="0"/>
            </w:tcBorders>
            <w:shd w:val="clear"/>
            <w:noWrap/>
            <w:vAlign w:val="center"/>
          </w:tcPr>
          <w:p w14:paraId="0E9B74C1">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5536A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492C047">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595C0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DF060B0">
            <w:pPr>
              <w:rPr>
                <w:rFonts w:hint="eastAsia" w:ascii="宋体" w:hAnsi="宋体" w:eastAsia="宋体" w:cs="宋体"/>
                <w:i w:val="0"/>
                <w:iCs w:val="0"/>
                <w:color w:val="000000"/>
                <w:sz w:val="18"/>
                <w:szCs w:val="18"/>
                <w:u w:val="none"/>
              </w:rPr>
            </w:pP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5BFD94D1">
            <w:pPr>
              <w:jc w:val="center"/>
              <w:rPr>
                <w:rFonts w:hint="eastAsia" w:ascii="宋体" w:hAnsi="宋体" w:eastAsia="宋体" w:cs="宋体"/>
                <w:i w:val="0"/>
                <w:iCs w:val="0"/>
                <w:color w:val="000000"/>
                <w:sz w:val="18"/>
                <w:szCs w:val="18"/>
                <w:u w:val="none"/>
              </w:rPr>
            </w:pP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6B0A8EED">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662AA61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11F66A93">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noWrap/>
            <w:vAlign w:val="center"/>
          </w:tcPr>
          <w:p w14:paraId="556E8CBD">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7F0D5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9"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51C9040">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630518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3A0F4A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0.38</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58A32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0.38</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28DB31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0.38</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17C969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568EE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37" w:type="pct"/>
            <w:tcBorders>
              <w:top w:val="single" w:color="000000" w:sz="4" w:space="0"/>
              <w:left w:val="single" w:color="000000" w:sz="4" w:space="0"/>
              <w:bottom w:val="single" w:color="000000" w:sz="4" w:space="0"/>
              <w:right w:val="single" w:color="000000" w:sz="4" w:space="0"/>
            </w:tcBorders>
            <w:shd w:val="clear"/>
            <w:noWrap/>
            <w:vAlign w:val="center"/>
          </w:tcPr>
          <w:p w14:paraId="31BE3F14">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10029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0A448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vAlign w:val="center"/>
          </w:tcPr>
          <w:p w14:paraId="73792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2071" w:type="pct"/>
            <w:gridSpan w:val="5"/>
            <w:tcBorders>
              <w:top w:val="single" w:color="000000" w:sz="4" w:space="0"/>
              <w:left w:val="single" w:color="000000" w:sz="4" w:space="0"/>
              <w:bottom w:val="single" w:color="000000" w:sz="4" w:space="0"/>
              <w:right w:val="single" w:color="000000" w:sz="4" w:space="0"/>
            </w:tcBorders>
            <w:shd w:val="clear"/>
            <w:vAlign w:val="center"/>
          </w:tcPr>
          <w:p w14:paraId="0620B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02377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2"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FD302B4">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vAlign w:val="center"/>
          </w:tcPr>
          <w:p w14:paraId="70EDF9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通过维护本单位水、电、暖、电话、通讯专线等正常使用，提供人员日常办公需求，切实保障本单位各项工作开展，有效提高特种设备检验研究事业发展。</w:t>
            </w:r>
          </w:p>
        </w:tc>
        <w:tc>
          <w:tcPr>
            <w:tcW w:w="2071" w:type="pct"/>
            <w:gridSpan w:val="5"/>
            <w:tcBorders>
              <w:top w:val="single" w:color="000000" w:sz="4" w:space="0"/>
              <w:left w:val="single" w:color="000000" w:sz="4" w:space="0"/>
              <w:bottom w:val="single" w:color="000000" w:sz="4" w:space="0"/>
              <w:right w:val="single" w:color="000000" w:sz="4" w:space="0"/>
            </w:tcBorders>
            <w:shd w:val="clear"/>
            <w:vAlign w:val="center"/>
          </w:tcPr>
          <w:p w14:paraId="6186DC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截止2025年12月31日，事业发展经费项目支出45.38万元，用于维护本单位水、电、暖、电话、通讯专线等正常使用，提供人员日常办公需求，保障了本单位各项工作开展，有效提高了特种设备检验研究事业发展。</w:t>
            </w:r>
          </w:p>
        </w:tc>
      </w:tr>
      <w:tr w14:paraId="0B0F8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36" w:type="pct"/>
            <w:tcBorders>
              <w:top w:val="single" w:color="000000" w:sz="4" w:space="0"/>
              <w:left w:val="single" w:color="000000" w:sz="4" w:space="0"/>
              <w:bottom w:val="single" w:color="000000" w:sz="4" w:space="0"/>
              <w:right w:val="single" w:color="000000" w:sz="4" w:space="0"/>
            </w:tcBorders>
            <w:shd w:val="clear"/>
            <w:vAlign w:val="center"/>
          </w:tcPr>
          <w:p w14:paraId="5183C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7B2DA6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0069E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3A3C3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00EB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87594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4A324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88C2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57CAE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7F5452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418" w:type="pct"/>
            <w:tcBorders>
              <w:top w:val="single" w:color="000000" w:sz="4" w:space="0"/>
              <w:left w:val="single" w:color="000000" w:sz="4" w:space="0"/>
              <w:bottom w:val="single" w:color="000000" w:sz="4" w:space="0"/>
              <w:right w:val="single" w:color="000000" w:sz="4" w:space="0"/>
            </w:tcBorders>
            <w:shd w:val="clear"/>
            <w:vAlign w:val="center"/>
          </w:tcPr>
          <w:p w14:paraId="62F63B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44B631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27687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restart"/>
            <w:tcBorders>
              <w:top w:val="single" w:color="000000" w:sz="4" w:space="0"/>
              <w:left w:val="single" w:color="000000" w:sz="4" w:space="0"/>
              <w:bottom w:val="nil"/>
              <w:right w:val="single" w:color="000000" w:sz="4" w:space="0"/>
            </w:tcBorders>
            <w:shd w:val="clear"/>
            <w:vAlign w:val="center"/>
          </w:tcPr>
          <w:p w14:paraId="673B6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436" w:type="pct"/>
            <w:vMerge w:val="restart"/>
            <w:tcBorders>
              <w:top w:val="single" w:color="000000" w:sz="4" w:space="0"/>
              <w:left w:val="single" w:color="000000" w:sz="4" w:space="0"/>
              <w:bottom w:val="nil"/>
              <w:right w:val="single" w:color="000000" w:sz="4" w:space="0"/>
            </w:tcBorders>
            <w:shd w:val="clear"/>
            <w:vAlign w:val="center"/>
          </w:tcPr>
          <w:p w14:paraId="6C4BAD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436" w:type="pct"/>
            <w:vMerge w:val="restart"/>
            <w:tcBorders>
              <w:top w:val="single" w:color="000000" w:sz="4" w:space="0"/>
              <w:left w:val="single" w:color="000000" w:sz="4" w:space="0"/>
              <w:bottom w:val="nil"/>
              <w:right w:val="single" w:color="000000" w:sz="4" w:space="0"/>
            </w:tcBorders>
            <w:shd w:val="clear"/>
            <w:vAlign w:val="center"/>
          </w:tcPr>
          <w:p w14:paraId="0125A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vAlign w:val="center"/>
          </w:tcPr>
          <w:p w14:paraId="617482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保障取暖面积</w:t>
            </w:r>
          </w:p>
        </w:tc>
        <w:tc>
          <w:tcPr>
            <w:tcW w:w="404" w:type="pct"/>
            <w:tcBorders>
              <w:top w:val="single" w:color="000000" w:sz="4" w:space="0"/>
              <w:left w:val="single" w:color="000000" w:sz="4" w:space="0"/>
              <w:bottom w:val="nil"/>
              <w:right w:val="single" w:color="000000" w:sz="4" w:space="0"/>
            </w:tcBorders>
            <w:shd w:val="clear"/>
            <w:vAlign w:val="center"/>
          </w:tcPr>
          <w:p w14:paraId="382F0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6C6D9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3209F0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7083</w:t>
            </w:r>
          </w:p>
        </w:tc>
        <w:tc>
          <w:tcPr>
            <w:tcW w:w="404" w:type="pct"/>
            <w:tcBorders>
              <w:top w:val="single" w:color="000000" w:sz="4" w:space="0"/>
              <w:left w:val="single" w:color="000000" w:sz="4" w:space="0"/>
              <w:bottom w:val="nil"/>
              <w:right w:val="single" w:color="000000" w:sz="4" w:space="0"/>
            </w:tcBorders>
            <w:shd w:val="clear"/>
            <w:vAlign w:val="center"/>
          </w:tcPr>
          <w:p w14:paraId="72A285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7083</w:t>
            </w:r>
          </w:p>
        </w:tc>
        <w:tc>
          <w:tcPr>
            <w:tcW w:w="404" w:type="pct"/>
            <w:tcBorders>
              <w:top w:val="single" w:color="000000" w:sz="4" w:space="0"/>
              <w:left w:val="single" w:color="000000" w:sz="4" w:space="0"/>
              <w:bottom w:val="nil"/>
              <w:right w:val="single" w:color="000000" w:sz="4" w:space="0"/>
            </w:tcBorders>
            <w:shd w:val="clear"/>
            <w:vAlign w:val="center"/>
          </w:tcPr>
          <w:p w14:paraId="1DABE0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平方米</w:t>
            </w:r>
          </w:p>
        </w:tc>
        <w:tc>
          <w:tcPr>
            <w:tcW w:w="404" w:type="pct"/>
            <w:tcBorders>
              <w:top w:val="single" w:color="000000" w:sz="4" w:space="0"/>
              <w:left w:val="single" w:color="000000" w:sz="4" w:space="0"/>
              <w:bottom w:val="nil"/>
              <w:right w:val="single" w:color="000000" w:sz="4" w:space="0"/>
            </w:tcBorders>
            <w:shd w:val="clear"/>
            <w:vAlign w:val="center"/>
          </w:tcPr>
          <w:p w14:paraId="427518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39762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7" w:type="pct"/>
            <w:tcBorders>
              <w:top w:val="single" w:color="000000" w:sz="4" w:space="0"/>
              <w:left w:val="single" w:color="000000" w:sz="4" w:space="0"/>
              <w:bottom w:val="nil"/>
              <w:right w:val="single" w:color="000000" w:sz="4" w:space="0"/>
            </w:tcBorders>
            <w:shd w:val="clear"/>
            <w:vAlign w:val="center"/>
          </w:tcPr>
          <w:p w14:paraId="176104F8">
            <w:pPr>
              <w:jc w:val="center"/>
              <w:rPr>
                <w:rFonts w:hint="eastAsia" w:ascii="宋体" w:hAnsi="宋体" w:eastAsia="宋体" w:cs="宋体"/>
                <w:i w:val="0"/>
                <w:iCs w:val="0"/>
                <w:color w:val="000000"/>
                <w:sz w:val="18"/>
                <w:szCs w:val="18"/>
                <w:u w:val="none"/>
              </w:rPr>
            </w:pPr>
          </w:p>
        </w:tc>
      </w:tr>
      <w:tr w14:paraId="182DC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3C2950BA">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39B415A">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0B8FCF2">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670E2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保障正常办公人员数量</w:t>
            </w:r>
          </w:p>
        </w:tc>
        <w:tc>
          <w:tcPr>
            <w:tcW w:w="404" w:type="pct"/>
            <w:tcBorders>
              <w:top w:val="single" w:color="000000" w:sz="4" w:space="0"/>
              <w:left w:val="single" w:color="000000" w:sz="4" w:space="0"/>
              <w:bottom w:val="nil"/>
              <w:right w:val="single" w:color="000000" w:sz="4" w:space="0"/>
            </w:tcBorders>
            <w:shd w:val="clear"/>
            <w:vAlign w:val="center"/>
          </w:tcPr>
          <w:p w14:paraId="00590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05DF3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41141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87</w:t>
            </w:r>
          </w:p>
        </w:tc>
        <w:tc>
          <w:tcPr>
            <w:tcW w:w="404" w:type="pct"/>
            <w:tcBorders>
              <w:top w:val="single" w:color="000000" w:sz="4" w:space="0"/>
              <w:left w:val="single" w:color="000000" w:sz="4" w:space="0"/>
              <w:bottom w:val="nil"/>
              <w:right w:val="single" w:color="000000" w:sz="4" w:space="0"/>
            </w:tcBorders>
            <w:shd w:val="clear"/>
            <w:vAlign w:val="center"/>
          </w:tcPr>
          <w:p w14:paraId="5EA210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87</w:t>
            </w:r>
          </w:p>
        </w:tc>
        <w:tc>
          <w:tcPr>
            <w:tcW w:w="404" w:type="pct"/>
            <w:tcBorders>
              <w:top w:val="single" w:color="000000" w:sz="4" w:space="0"/>
              <w:left w:val="single" w:color="000000" w:sz="4" w:space="0"/>
              <w:bottom w:val="nil"/>
              <w:right w:val="single" w:color="000000" w:sz="4" w:space="0"/>
            </w:tcBorders>
            <w:shd w:val="clear"/>
            <w:vAlign w:val="center"/>
          </w:tcPr>
          <w:p w14:paraId="2A7CCC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w:t>
            </w:r>
          </w:p>
        </w:tc>
        <w:tc>
          <w:tcPr>
            <w:tcW w:w="404" w:type="pct"/>
            <w:tcBorders>
              <w:top w:val="single" w:color="000000" w:sz="4" w:space="0"/>
              <w:left w:val="single" w:color="000000" w:sz="4" w:space="0"/>
              <w:bottom w:val="nil"/>
              <w:right w:val="single" w:color="000000" w:sz="4" w:space="0"/>
            </w:tcBorders>
            <w:shd w:val="clear"/>
            <w:vAlign w:val="center"/>
          </w:tcPr>
          <w:p w14:paraId="62205A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30FEFB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7" w:type="pct"/>
            <w:tcBorders>
              <w:top w:val="single" w:color="000000" w:sz="4" w:space="0"/>
              <w:left w:val="single" w:color="000000" w:sz="4" w:space="0"/>
              <w:bottom w:val="nil"/>
              <w:right w:val="single" w:color="000000" w:sz="4" w:space="0"/>
            </w:tcBorders>
            <w:shd w:val="clear"/>
            <w:vAlign w:val="center"/>
          </w:tcPr>
          <w:p w14:paraId="2B943858">
            <w:pPr>
              <w:jc w:val="center"/>
              <w:rPr>
                <w:rFonts w:hint="eastAsia" w:ascii="宋体" w:hAnsi="宋体" w:eastAsia="宋体" w:cs="宋体"/>
                <w:i w:val="0"/>
                <w:iCs w:val="0"/>
                <w:color w:val="000000"/>
                <w:sz w:val="18"/>
                <w:szCs w:val="18"/>
                <w:u w:val="none"/>
              </w:rPr>
            </w:pPr>
          </w:p>
        </w:tc>
      </w:tr>
      <w:tr w14:paraId="75852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0422836E">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34986B27">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5EC116C0">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1DC64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保障正常用水用电面积</w:t>
            </w:r>
          </w:p>
        </w:tc>
        <w:tc>
          <w:tcPr>
            <w:tcW w:w="404" w:type="pct"/>
            <w:tcBorders>
              <w:top w:val="single" w:color="000000" w:sz="4" w:space="0"/>
              <w:left w:val="single" w:color="000000" w:sz="4" w:space="0"/>
              <w:bottom w:val="nil"/>
              <w:right w:val="single" w:color="000000" w:sz="4" w:space="0"/>
            </w:tcBorders>
            <w:shd w:val="clear"/>
            <w:vAlign w:val="center"/>
          </w:tcPr>
          <w:p w14:paraId="035A8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07988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11E13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7083</w:t>
            </w:r>
          </w:p>
        </w:tc>
        <w:tc>
          <w:tcPr>
            <w:tcW w:w="404" w:type="pct"/>
            <w:tcBorders>
              <w:top w:val="single" w:color="000000" w:sz="4" w:space="0"/>
              <w:left w:val="single" w:color="000000" w:sz="4" w:space="0"/>
              <w:bottom w:val="nil"/>
              <w:right w:val="single" w:color="000000" w:sz="4" w:space="0"/>
            </w:tcBorders>
            <w:shd w:val="clear"/>
            <w:vAlign w:val="center"/>
          </w:tcPr>
          <w:p w14:paraId="3BA8D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7083</w:t>
            </w:r>
          </w:p>
        </w:tc>
        <w:tc>
          <w:tcPr>
            <w:tcW w:w="404" w:type="pct"/>
            <w:tcBorders>
              <w:top w:val="single" w:color="000000" w:sz="4" w:space="0"/>
              <w:left w:val="single" w:color="000000" w:sz="4" w:space="0"/>
              <w:bottom w:val="nil"/>
              <w:right w:val="single" w:color="000000" w:sz="4" w:space="0"/>
            </w:tcBorders>
            <w:shd w:val="clear"/>
            <w:vAlign w:val="center"/>
          </w:tcPr>
          <w:p w14:paraId="79D52E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平方米</w:t>
            </w:r>
          </w:p>
        </w:tc>
        <w:tc>
          <w:tcPr>
            <w:tcW w:w="404" w:type="pct"/>
            <w:tcBorders>
              <w:top w:val="single" w:color="000000" w:sz="4" w:space="0"/>
              <w:left w:val="single" w:color="000000" w:sz="4" w:space="0"/>
              <w:bottom w:val="nil"/>
              <w:right w:val="single" w:color="000000" w:sz="4" w:space="0"/>
            </w:tcBorders>
            <w:shd w:val="clear"/>
            <w:vAlign w:val="center"/>
          </w:tcPr>
          <w:p w14:paraId="416A2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089CF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7" w:type="pct"/>
            <w:tcBorders>
              <w:top w:val="single" w:color="000000" w:sz="4" w:space="0"/>
              <w:left w:val="single" w:color="000000" w:sz="4" w:space="0"/>
              <w:bottom w:val="nil"/>
              <w:right w:val="single" w:color="000000" w:sz="4" w:space="0"/>
            </w:tcBorders>
            <w:shd w:val="clear"/>
            <w:vAlign w:val="center"/>
          </w:tcPr>
          <w:p w14:paraId="04C06637">
            <w:pPr>
              <w:jc w:val="center"/>
              <w:rPr>
                <w:rFonts w:hint="eastAsia" w:ascii="宋体" w:hAnsi="宋体" w:eastAsia="宋体" w:cs="宋体"/>
                <w:i w:val="0"/>
                <w:iCs w:val="0"/>
                <w:color w:val="000000"/>
                <w:sz w:val="18"/>
                <w:szCs w:val="18"/>
                <w:u w:val="none"/>
              </w:rPr>
            </w:pPr>
          </w:p>
        </w:tc>
      </w:tr>
      <w:tr w14:paraId="46691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40623C3A">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6E7D0746">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04230EC4">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37775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保障电话机正常使用数量</w:t>
            </w:r>
          </w:p>
        </w:tc>
        <w:tc>
          <w:tcPr>
            <w:tcW w:w="404" w:type="pct"/>
            <w:tcBorders>
              <w:top w:val="single" w:color="000000" w:sz="4" w:space="0"/>
              <w:left w:val="single" w:color="000000" w:sz="4" w:space="0"/>
              <w:bottom w:val="nil"/>
              <w:right w:val="single" w:color="000000" w:sz="4" w:space="0"/>
            </w:tcBorders>
            <w:shd w:val="clear"/>
            <w:vAlign w:val="center"/>
          </w:tcPr>
          <w:p w14:paraId="229D6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71FB34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22E29B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w:t>
            </w:r>
          </w:p>
        </w:tc>
        <w:tc>
          <w:tcPr>
            <w:tcW w:w="404" w:type="pct"/>
            <w:tcBorders>
              <w:top w:val="single" w:color="000000" w:sz="4" w:space="0"/>
              <w:left w:val="single" w:color="000000" w:sz="4" w:space="0"/>
              <w:bottom w:val="nil"/>
              <w:right w:val="single" w:color="000000" w:sz="4" w:space="0"/>
            </w:tcBorders>
            <w:shd w:val="clear"/>
            <w:vAlign w:val="center"/>
          </w:tcPr>
          <w:p w14:paraId="37EC0D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w:t>
            </w:r>
          </w:p>
        </w:tc>
        <w:tc>
          <w:tcPr>
            <w:tcW w:w="404" w:type="pct"/>
            <w:tcBorders>
              <w:top w:val="single" w:color="000000" w:sz="4" w:space="0"/>
              <w:left w:val="single" w:color="000000" w:sz="4" w:space="0"/>
              <w:bottom w:val="nil"/>
              <w:right w:val="single" w:color="000000" w:sz="4" w:space="0"/>
            </w:tcBorders>
            <w:shd w:val="clear"/>
            <w:vAlign w:val="center"/>
          </w:tcPr>
          <w:p w14:paraId="3C90B5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w:t>
            </w:r>
          </w:p>
        </w:tc>
        <w:tc>
          <w:tcPr>
            <w:tcW w:w="404" w:type="pct"/>
            <w:tcBorders>
              <w:top w:val="single" w:color="000000" w:sz="4" w:space="0"/>
              <w:left w:val="single" w:color="000000" w:sz="4" w:space="0"/>
              <w:bottom w:val="nil"/>
              <w:right w:val="single" w:color="000000" w:sz="4" w:space="0"/>
            </w:tcBorders>
            <w:shd w:val="clear"/>
            <w:vAlign w:val="center"/>
          </w:tcPr>
          <w:p w14:paraId="432E2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72E26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7" w:type="pct"/>
            <w:tcBorders>
              <w:top w:val="single" w:color="000000" w:sz="4" w:space="0"/>
              <w:left w:val="single" w:color="000000" w:sz="4" w:space="0"/>
              <w:bottom w:val="nil"/>
              <w:right w:val="single" w:color="000000" w:sz="4" w:space="0"/>
            </w:tcBorders>
            <w:shd w:val="clear"/>
            <w:vAlign w:val="center"/>
          </w:tcPr>
          <w:p w14:paraId="1CB0A27A">
            <w:pPr>
              <w:jc w:val="center"/>
              <w:rPr>
                <w:rFonts w:hint="eastAsia" w:ascii="宋体" w:hAnsi="宋体" w:eastAsia="宋体" w:cs="宋体"/>
                <w:i w:val="0"/>
                <w:iCs w:val="0"/>
                <w:color w:val="000000"/>
                <w:sz w:val="18"/>
                <w:szCs w:val="18"/>
                <w:u w:val="none"/>
              </w:rPr>
            </w:pPr>
          </w:p>
        </w:tc>
      </w:tr>
      <w:tr w14:paraId="31B92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34B073D8">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44FA176">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58E87D2">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3691D1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保障通讯专线数量</w:t>
            </w:r>
          </w:p>
        </w:tc>
        <w:tc>
          <w:tcPr>
            <w:tcW w:w="404" w:type="pct"/>
            <w:tcBorders>
              <w:top w:val="single" w:color="000000" w:sz="4" w:space="0"/>
              <w:left w:val="single" w:color="000000" w:sz="4" w:space="0"/>
              <w:bottom w:val="nil"/>
              <w:right w:val="single" w:color="000000" w:sz="4" w:space="0"/>
            </w:tcBorders>
            <w:shd w:val="clear"/>
            <w:vAlign w:val="center"/>
          </w:tcPr>
          <w:p w14:paraId="4F4E3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0024D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389D6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404" w:type="pct"/>
            <w:tcBorders>
              <w:top w:val="single" w:color="000000" w:sz="4" w:space="0"/>
              <w:left w:val="single" w:color="000000" w:sz="4" w:space="0"/>
              <w:bottom w:val="nil"/>
              <w:right w:val="single" w:color="000000" w:sz="4" w:space="0"/>
            </w:tcBorders>
            <w:shd w:val="clear"/>
            <w:vAlign w:val="center"/>
          </w:tcPr>
          <w:p w14:paraId="49140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404" w:type="pct"/>
            <w:tcBorders>
              <w:top w:val="single" w:color="000000" w:sz="4" w:space="0"/>
              <w:left w:val="single" w:color="000000" w:sz="4" w:space="0"/>
              <w:bottom w:val="nil"/>
              <w:right w:val="single" w:color="000000" w:sz="4" w:space="0"/>
            </w:tcBorders>
            <w:shd w:val="clear"/>
            <w:vAlign w:val="center"/>
          </w:tcPr>
          <w:p w14:paraId="597051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条</w:t>
            </w:r>
          </w:p>
        </w:tc>
        <w:tc>
          <w:tcPr>
            <w:tcW w:w="404" w:type="pct"/>
            <w:tcBorders>
              <w:top w:val="single" w:color="000000" w:sz="4" w:space="0"/>
              <w:left w:val="single" w:color="000000" w:sz="4" w:space="0"/>
              <w:bottom w:val="nil"/>
              <w:right w:val="single" w:color="000000" w:sz="4" w:space="0"/>
            </w:tcBorders>
            <w:shd w:val="clear"/>
            <w:vAlign w:val="center"/>
          </w:tcPr>
          <w:p w14:paraId="0FE83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7A096B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7" w:type="pct"/>
            <w:tcBorders>
              <w:top w:val="single" w:color="000000" w:sz="4" w:space="0"/>
              <w:left w:val="single" w:color="000000" w:sz="4" w:space="0"/>
              <w:bottom w:val="nil"/>
              <w:right w:val="single" w:color="000000" w:sz="4" w:space="0"/>
            </w:tcBorders>
            <w:shd w:val="clear"/>
            <w:vAlign w:val="center"/>
          </w:tcPr>
          <w:p w14:paraId="3F5D49B1">
            <w:pPr>
              <w:jc w:val="center"/>
              <w:rPr>
                <w:rFonts w:hint="eastAsia" w:ascii="宋体" w:hAnsi="宋体" w:eastAsia="宋体" w:cs="宋体"/>
                <w:i w:val="0"/>
                <w:iCs w:val="0"/>
                <w:color w:val="000000"/>
                <w:sz w:val="18"/>
                <w:szCs w:val="18"/>
                <w:u w:val="none"/>
              </w:rPr>
            </w:pPr>
          </w:p>
        </w:tc>
      </w:tr>
      <w:tr w14:paraId="62429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0F2CBC85">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86791EA">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70896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vAlign w:val="center"/>
          </w:tcPr>
          <w:p w14:paraId="5DDFF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单位停水停电率</w:t>
            </w:r>
          </w:p>
        </w:tc>
        <w:tc>
          <w:tcPr>
            <w:tcW w:w="404" w:type="pct"/>
            <w:tcBorders>
              <w:top w:val="single" w:color="000000" w:sz="4" w:space="0"/>
              <w:left w:val="single" w:color="000000" w:sz="4" w:space="0"/>
              <w:bottom w:val="nil"/>
              <w:right w:val="single" w:color="000000" w:sz="4" w:space="0"/>
            </w:tcBorders>
            <w:shd w:val="clear"/>
            <w:vAlign w:val="center"/>
          </w:tcPr>
          <w:p w14:paraId="3DCE7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48098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267F0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404" w:type="pct"/>
            <w:tcBorders>
              <w:top w:val="single" w:color="000000" w:sz="4" w:space="0"/>
              <w:left w:val="single" w:color="000000" w:sz="4" w:space="0"/>
              <w:bottom w:val="nil"/>
              <w:right w:val="single" w:color="000000" w:sz="4" w:space="0"/>
            </w:tcBorders>
            <w:shd w:val="clear"/>
            <w:vAlign w:val="center"/>
          </w:tcPr>
          <w:p w14:paraId="48028E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404" w:type="pct"/>
            <w:tcBorders>
              <w:top w:val="single" w:color="000000" w:sz="4" w:space="0"/>
              <w:left w:val="single" w:color="000000" w:sz="4" w:space="0"/>
              <w:bottom w:val="nil"/>
              <w:right w:val="single" w:color="000000" w:sz="4" w:space="0"/>
            </w:tcBorders>
            <w:shd w:val="clear"/>
            <w:vAlign w:val="center"/>
          </w:tcPr>
          <w:p w14:paraId="308FB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44E601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2E911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66B5810A">
            <w:pPr>
              <w:jc w:val="center"/>
              <w:rPr>
                <w:rFonts w:hint="eastAsia" w:ascii="宋体" w:hAnsi="宋体" w:eastAsia="宋体" w:cs="宋体"/>
                <w:i w:val="0"/>
                <w:iCs w:val="0"/>
                <w:color w:val="000000"/>
                <w:sz w:val="18"/>
                <w:szCs w:val="18"/>
                <w:u w:val="none"/>
              </w:rPr>
            </w:pPr>
          </w:p>
        </w:tc>
      </w:tr>
      <w:tr w14:paraId="13669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674A206C">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BE54D4E">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187CD34">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1DDC2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电话机正常使用率</w:t>
            </w:r>
          </w:p>
        </w:tc>
        <w:tc>
          <w:tcPr>
            <w:tcW w:w="404" w:type="pct"/>
            <w:tcBorders>
              <w:top w:val="single" w:color="000000" w:sz="4" w:space="0"/>
              <w:left w:val="single" w:color="000000" w:sz="4" w:space="0"/>
              <w:bottom w:val="nil"/>
              <w:right w:val="single" w:color="000000" w:sz="4" w:space="0"/>
            </w:tcBorders>
            <w:shd w:val="clear"/>
            <w:vAlign w:val="center"/>
          </w:tcPr>
          <w:p w14:paraId="2E1147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472C7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74B62E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4" w:type="pct"/>
            <w:tcBorders>
              <w:top w:val="single" w:color="000000" w:sz="4" w:space="0"/>
              <w:left w:val="single" w:color="000000" w:sz="4" w:space="0"/>
              <w:bottom w:val="nil"/>
              <w:right w:val="single" w:color="000000" w:sz="4" w:space="0"/>
            </w:tcBorders>
            <w:shd w:val="clear"/>
            <w:vAlign w:val="center"/>
          </w:tcPr>
          <w:p w14:paraId="27AE9A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76593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591C7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5003B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086B7A5D">
            <w:pPr>
              <w:jc w:val="center"/>
              <w:rPr>
                <w:rFonts w:hint="eastAsia" w:ascii="宋体" w:hAnsi="宋体" w:eastAsia="宋体" w:cs="宋体"/>
                <w:i w:val="0"/>
                <w:iCs w:val="0"/>
                <w:color w:val="000000"/>
                <w:sz w:val="18"/>
                <w:szCs w:val="18"/>
                <w:u w:val="none"/>
              </w:rPr>
            </w:pPr>
          </w:p>
        </w:tc>
      </w:tr>
      <w:tr w14:paraId="29C01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3C29B8D9">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06A04453">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4607B72D">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6AE84F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通讯专线正常使用率</w:t>
            </w:r>
          </w:p>
        </w:tc>
        <w:tc>
          <w:tcPr>
            <w:tcW w:w="404" w:type="pct"/>
            <w:tcBorders>
              <w:top w:val="single" w:color="000000" w:sz="4" w:space="0"/>
              <w:left w:val="single" w:color="000000" w:sz="4" w:space="0"/>
              <w:bottom w:val="nil"/>
              <w:right w:val="single" w:color="000000" w:sz="4" w:space="0"/>
            </w:tcBorders>
            <w:shd w:val="clear"/>
            <w:vAlign w:val="center"/>
          </w:tcPr>
          <w:p w14:paraId="20D9E6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446425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50EB5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4" w:type="pct"/>
            <w:tcBorders>
              <w:top w:val="single" w:color="000000" w:sz="4" w:space="0"/>
              <w:left w:val="single" w:color="000000" w:sz="4" w:space="0"/>
              <w:bottom w:val="nil"/>
              <w:right w:val="single" w:color="000000" w:sz="4" w:space="0"/>
            </w:tcBorders>
            <w:shd w:val="clear"/>
            <w:vAlign w:val="center"/>
          </w:tcPr>
          <w:p w14:paraId="0EF2E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392C3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78232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37343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6FE308A8">
            <w:pPr>
              <w:jc w:val="center"/>
              <w:rPr>
                <w:rFonts w:hint="eastAsia" w:ascii="宋体" w:hAnsi="宋体" w:eastAsia="宋体" w:cs="宋体"/>
                <w:i w:val="0"/>
                <w:iCs w:val="0"/>
                <w:color w:val="000000"/>
                <w:sz w:val="18"/>
                <w:szCs w:val="18"/>
                <w:u w:val="none"/>
              </w:rPr>
            </w:pPr>
          </w:p>
        </w:tc>
      </w:tr>
      <w:tr w14:paraId="5D814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0B4ED1B8">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0F5E7BDE">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1101C3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vAlign w:val="center"/>
          </w:tcPr>
          <w:p w14:paraId="02C9A2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电话及通讯专项故障排除平均时间</w:t>
            </w:r>
          </w:p>
        </w:tc>
        <w:tc>
          <w:tcPr>
            <w:tcW w:w="404" w:type="pct"/>
            <w:tcBorders>
              <w:top w:val="single" w:color="000000" w:sz="4" w:space="0"/>
              <w:left w:val="single" w:color="000000" w:sz="4" w:space="0"/>
              <w:bottom w:val="nil"/>
              <w:right w:val="single" w:color="000000" w:sz="4" w:space="0"/>
            </w:tcBorders>
            <w:shd w:val="clear"/>
            <w:vAlign w:val="center"/>
          </w:tcPr>
          <w:p w14:paraId="68E108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4D3283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446BBA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404" w:type="pct"/>
            <w:tcBorders>
              <w:top w:val="single" w:color="000000" w:sz="4" w:space="0"/>
              <w:left w:val="single" w:color="000000" w:sz="4" w:space="0"/>
              <w:bottom w:val="nil"/>
              <w:right w:val="single" w:color="000000" w:sz="4" w:space="0"/>
            </w:tcBorders>
            <w:shd w:val="clear"/>
            <w:vAlign w:val="center"/>
          </w:tcPr>
          <w:p w14:paraId="5EF21F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404" w:type="pct"/>
            <w:tcBorders>
              <w:top w:val="single" w:color="000000" w:sz="4" w:space="0"/>
              <w:left w:val="single" w:color="000000" w:sz="4" w:space="0"/>
              <w:bottom w:val="nil"/>
              <w:right w:val="single" w:color="000000" w:sz="4" w:space="0"/>
            </w:tcBorders>
            <w:shd w:val="clear"/>
            <w:vAlign w:val="center"/>
          </w:tcPr>
          <w:p w14:paraId="6D203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工作日</w:t>
            </w:r>
          </w:p>
        </w:tc>
        <w:tc>
          <w:tcPr>
            <w:tcW w:w="404" w:type="pct"/>
            <w:tcBorders>
              <w:top w:val="single" w:color="000000" w:sz="4" w:space="0"/>
              <w:left w:val="single" w:color="000000" w:sz="4" w:space="0"/>
              <w:bottom w:val="nil"/>
              <w:right w:val="single" w:color="000000" w:sz="4" w:space="0"/>
            </w:tcBorders>
            <w:shd w:val="clear"/>
            <w:vAlign w:val="center"/>
          </w:tcPr>
          <w:p w14:paraId="46A1D4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238359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0C222947">
            <w:pPr>
              <w:jc w:val="center"/>
              <w:rPr>
                <w:rFonts w:hint="eastAsia" w:ascii="宋体" w:hAnsi="宋体" w:eastAsia="宋体" w:cs="宋体"/>
                <w:i w:val="0"/>
                <w:iCs w:val="0"/>
                <w:color w:val="000000"/>
                <w:sz w:val="18"/>
                <w:szCs w:val="18"/>
                <w:u w:val="none"/>
              </w:rPr>
            </w:pPr>
          </w:p>
        </w:tc>
      </w:tr>
      <w:tr w14:paraId="0C41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40018155">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4D291194">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339BA04">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0ED208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保障供暖时长</w:t>
            </w:r>
          </w:p>
        </w:tc>
        <w:tc>
          <w:tcPr>
            <w:tcW w:w="404" w:type="pct"/>
            <w:tcBorders>
              <w:top w:val="single" w:color="000000" w:sz="4" w:space="0"/>
              <w:left w:val="single" w:color="000000" w:sz="4" w:space="0"/>
              <w:bottom w:val="nil"/>
              <w:right w:val="single" w:color="000000" w:sz="4" w:space="0"/>
            </w:tcBorders>
            <w:shd w:val="clear"/>
            <w:vAlign w:val="center"/>
          </w:tcPr>
          <w:p w14:paraId="2CD31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3BA443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2FC039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404" w:type="pct"/>
            <w:tcBorders>
              <w:top w:val="single" w:color="000000" w:sz="4" w:space="0"/>
              <w:left w:val="single" w:color="000000" w:sz="4" w:space="0"/>
              <w:bottom w:val="nil"/>
              <w:right w:val="single" w:color="000000" w:sz="4" w:space="0"/>
            </w:tcBorders>
            <w:shd w:val="clear"/>
            <w:vAlign w:val="center"/>
          </w:tcPr>
          <w:p w14:paraId="3713A9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404" w:type="pct"/>
            <w:tcBorders>
              <w:top w:val="single" w:color="000000" w:sz="4" w:space="0"/>
              <w:left w:val="single" w:color="000000" w:sz="4" w:space="0"/>
              <w:bottom w:val="nil"/>
              <w:right w:val="single" w:color="000000" w:sz="4" w:space="0"/>
            </w:tcBorders>
            <w:shd w:val="clear"/>
            <w:vAlign w:val="center"/>
          </w:tcPr>
          <w:p w14:paraId="6E3B0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月</w:t>
            </w:r>
          </w:p>
        </w:tc>
        <w:tc>
          <w:tcPr>
            <w:tcW w:w="404" w:type="pct"/>
            <w:tcBorders>
              <w:top w:val="single" w:color="000000" w:sz="4" w:space="0"/>
              <w:left w:val="single" w:color="000000" w:sz="4" w:space="0"/>
              <w:bottom w:val="nil"/>
              <w:right w:val="single" w:color="000000" w:sz="4" w:space="0"/>
            </w:tcBorders>
            <w:shd w:val="clear"/>
            <w:vAlign w:val="center"/>
          </w:tcPr>
          <w:p w14:paraId="066B0D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7C6B32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1993A157">
            <w:pPr>
              <w:jc w:val="center"/>
              <w:rPr>
                <w:rFonts w:hint="eastAsia" w:ascii="宋体" w:hAnsi="宋体" w:eastAsia="宋体" w:cs="宋体"/>
                <w:i w:val="0"/>
                <w:iCs w:val="0"/>
                <w:color w:val="000000"/>
                <w:sz w:val="18"/>
                <w:szCs w:val="18"/>
                <w:u w:val="none"/>
              </w:rPr>
            </w:pPr>
          </w:p>
        </w:tc>
      </w:tr>
      <w:tr w14:paraId="2FFA5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36B66741">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40273E13">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022E8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vAlign w:val="center"/>
          </w:tcPr>
          <w:p w14:paraId="75586A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取暖费成本</w:t>
            </w:r>
          </w:p>
        </w:tc>
        <w:tc>
          <w:tcPr>
            <w:tcW w:w="404" w:type="pct"/>
            <w:tcBorders>
              <w:top w:val="single" w:color="000000" w:sz="4" w:space="0"/>
              <w:left w:val="single" w:color="000000" w:sz="4" w:space="0"/>
              <w:bottom w:val="nil"/>
              <w:right w:val="single" w:color="000000" w:sz="4" w:space="0"/>
            </w:tcBorders>
            <w:shd w:val="clear"/>
            <w:vAlign w:val="center"/>
          </w:tcPr>
          <w:p w14:paraId="174B1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3C21E8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1A860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35.5</w:t>
            </w:r>
          </w:p>
        </w:tc>
        <w:tc>
          <w:tcPr>
            <w:tcW w:w="404" w:type="pct"/>
            <w:tcBorders>
              <w:top w:val="single" w:color="000000" w:sz="4" w:space="0"/>
              <w:left w:val="single" w:color="000000" w:sz="4" w:space="0"/>
              <w:bottom w:val="nil"/>
              <w:right w:val="single" w:color="000000" w:sz="4" w:space="0"/>
            </w:tcBorders>
            <w:shd w:val="clear"/>
            <w:vAlign w:val="center"/>
          </w:tcPr>
          <w:p w14:paraId="4A5D61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35.5</w:t>
            </w:r>
          </w:p>
        </w:tc>
        <w:tc>
          <w:tcPr>
            <w:tcW w:w="404" w:type="pct"/>
            <w:tcBorders>
              <w:top w:val="single" w:color="000000" w:sz="4" w:space="0"/>
              <w:left w:val="single" w:color="000000" w:sz="4" w:space="0"/>
              <w:bottom w:val="nil"/>
              <w:right w:val="single" w:color="000000" w:sz="4" w:space="0"/>
            </w:tcBorders>
            <w:shd w:val="clear"/>
            <w:vAlign w:val="center"/>
          </w:tcPr>
          <w:p w14:paraId="3842F0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元/平米</w:t>
            </w:r>
          </w:p>
        </w:tc>
        <w:tc>
          <w:tcPr>
            <w:tcW w:w="404" w:type="pct"/>
            <w:tcBorders>
              <w:top w:val="single" w:color="000000" w:sz="4" w:space="0"/>
              <w:left w:val="single" w:color="000000" w:sz="4" w:space="0"/>
              <w:bottom w:val="nil"/>
              <w:right w:val="single" w:color="000000" w:sz="4" w:space="0"/>
            </w:tcBorders>
            <w:shd w:val="clear"/>
            <w:vAlign w:val="center"/>
          </w:tcPr>
          <w:p w14:paraId="3E006A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18" w:type="pct"/>
            <w:tcBorders>
              <w:top w:val="single" w:color="000000" w:sz="4" w:space="0"/>
              <w:left w:val="single" w:color="000000" w:sz="4" w:space="0"/>
              <w:bottom w:val="nil"/>
              <w:right w:val="single" w:color="000000" w:sz="4" w:space="0"/>
            </w:tcBorders>
            <w:shd w:val="clear"/>
            <w:vAlign w:val="center"/>
          </w:tcPr>
          <w:p w14:paraId="3A1615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37" w:type="pct"/>
            <w:tcBorders>
              <w:top w:val="single" w:color="000000" w:sz="4" w:space="0"/>
              <w:left w:val="single" w:color="000000" w:sz="4" w:space="0"/>
              <w:bottom w:val="nil"/>
              <w:right w:val="single" w:color="000000" w:sz="4" w:space="0"/>
            </w:tcBorders>
            <w:shd w:val="clear"/>
            <w:vAlign w:val="center"/>
          </w:tcPr>
          <w:p w14:paraId="2888C166">
            <w:pPr>
              <w:jc w:val="center"/>
              <w:rPr>
                <w:rFonts w:hint="eastAsia" w:ascii="宋体" w:hAnsi="宋体" w:eastAsia="宋体" w:cs="宋体"/>
                <w:i w:val="0"/>
                <w:iCs w:val="0"/>
                <w:color w:val="000000"/>
                <w:sz w:val="18"/>
                <w:szCs w:val="18"/>
                <w:u w:val="none"/>
              </w:rPr>
            </w:pPr>
          </w:p>
        </w:tc>
      </w:tr>
      <w:tr w14:paraId="7A1BB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2C0D08ED">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E8FAAB0">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502B272C">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3EA07F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电费成本</w:t>
            </w:r>
          </w:p>
        </w:tc>
        <w:tc>
          <w:tcPr>
            <w:tcW w:w="404" w:type="pct"/>
            <w:tcBorders>
              <w:top w:val="single" w:color="000000" w:sz="4" w:space="0"/>
              <w:left w:val="single" w:color="000000" w:sz="4" w:space="0"/>
              <w:bottom w:val="nil"/>
              <w:right w:val="single" w:color="000000" w:sz="4" w:space="0"/>
            </w:tcBorders>
            <w:shd w:val="clear"/>
            <w:vAlign w:val="center"/>
          </w:tcPr>
          <w:p w14:paraId="7EB3A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0326EB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60402A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0.785</w:t>
            </w:r>
          </w:p>
        </w:tc>
        <w:tc>
          <w:tcPr>
            <w:tcW w:w="404" w:type="pct"/>
            <w:tcBorders>
              <w:top w:val="single" w:color="000000" w:sz="4" w:space="0"/>
              <w:left w:val="single" w:color="000000" w:sz="4" w:space="0"/>
              <w:bottom w:val="nil"/>
              <w:right w:val="single" w:color="000000" w:sz="4" w:space="0"/>
            </w:tcBorders>
            <w:shd w:val="clear"/>
            <w:vAlign w:val="center"/>
          </w:tcPr>
          <w:p w14:paraId="36D293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0.78</w:t>
            </w:r>
          </w:p>
        </w:tc>
        <w:tc>
          <w:tcPr>
            <w:tcW w:w="404" w:type="pct"/>
            <w:tcBorders>
              <w:top w:val="single" w:color="000000" w:sz="4" w:space="0"/>
              <w:left w:val="single" w:color="000000" w:sz="4" w:space="0"/>
              <w:bottom w:val="nil"/>
              <w:right w:val="single" w:color="000000" w:sz="4" w:space="0"/>
            </w:tcBorders>
            <w:shd w:val="clear"/>
            <w:vAlign w:val="center"/>
          </w:tcPr>
          <w:p w14:paraId="324704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元/千瓦时</w:t>
            </w:r>
          </w:p>
        </w:tc>
        <w:tc>
          <w:tcPr>
            <w:tcW w:w="404" w:type="pct"/>
            <w:tcBorders>
              <w:top w:val="single" w:color="000000" w:sz="4" w:space="0"/>
              <w:left w:val="single" w:color="000000" w:sz="4" w:space="0"/>
              <w:bottom w:val="nil"/>
              <w:right w:val="single" w:color="000000" w:sz="4" w:space="0"/>
            </w:tcBorders>
            <w:shd w:val="clear"/>
            <w:vAlign w:val="center"/>
          </w:tcPr>
          <w:p w14:paraId="6634F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6A2B7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7" w:type="pct"/>
            <w:tcBorders>
              <w:top w:val="single" w:color="000000" w:sz="4" w:space="0"/>
              <w:left w:val="single" w:color="000000" w:sz="4" w:space="0"/>
              <w:bottom w:val="nil"/>
              <w:right w:val="single" w:color="000000" w:sz="4" w:space="0"/>
            </w:tcBorders>
            <w:shd w:val="clear"/>
            <w:vAlign w:val="center"/>
          </w:tcPr>
          <w:p w14:paraId="7F25CF8B">
            <w:pPr>
              <w:jc w:val="center"/>
              <w:rPr>
                <w:rFonts w:hint="eastAsia" w:ascii="宋体" w:hAnsi="宋体" w:eastAsia="宋体" w:cs="宋体"/>
                <w:i w:val="0"/>
                <w:iCs w:val="0"/>
                <w:color w:val="000000"/>
                <w:sz w:val="18"/>
                <w:szCs w:val="18"/>
                <w:u w:val="none"/>
              </w:rPr>
            </w:pPr>
          </w:p>
        </w:tc>
      </w:tr>
      <w:tr w14:paraId="38D66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3CD294BC">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0DDC2084">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9CB3D14">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4224DD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水费成本</w:t>
            </w:r>
          </w:p>
        </w:tc>
        <w:tc>
          <w:tcPr>
            <w:tcW w:w="404" w:type="pct"/>
            <w:tcBorders>
              <w:top w:val="single" w:color="000000" w:sz="4" w:space="0"/>
              <w:left w:val="single" w:color="000000" w:sz="4" w:space="0"/>
              <w:bottom w:val="nil"/>
              <w:right w:val="single" w:color="000000" w:sz="4" w:space="0"/>
            </w:tcBorders>
            <w:shd w:val="clear"/>
            <w:vAlign w:val="center"/>
          </w:tcPr>
          <w:p w14:paraId="07758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62395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4B7DD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6.9</w:t>
            </w:r>
          </w:p>
        </w:tc>
        <w:tc>
          <w:tcPr>
            <w:tcW w:w="404" w:type="pct"/>
            <w:tcBorders>
              <w:top w:val="single" w:color="000000" w:sz="4" w:space="0"/>
              <w:left w:val="single" w:color="000000" w:sz="4" w:space="0"/>
              <w:bottom w:val="nil"/>
              <w:right w:val="single" w:color="000000" w:sz="4" w:space="0"/>
            </w:tcBorders>
            <w:shd w:val="clear"/>
            <w:vAlign w:val="center"/>
          </w:tcPr>
          <w:p w14:paraId="559C1D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6.9</w:t>
            </w:r>
          </w:p>
        </w:tc>
        <w:tc>
          <w:tcPr>
            <w:tcW w:w="404" w:type="pct"/>
            <w:tcBorders>
              <w:top w:val="single" w:color="000000" w:sz="4" w:space="0"/>
              <w:left w:val="single" w:color="000000" w:sz="4" w:space="0"/>
              <w:bottom w:val="nil"/>
              <w:right w:val="single" w:color="000000" w:sz="4" w:space="0"/>
            </w:tcBorders>
            <w:shd w:val="clear"/>
            <w:vAlign w:val="center"/>
          </w:tcPr>
          <w:p w14:paraId="046411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元/吨</w:t>
            </w:r>
          </w:p>
        </w:tc>
        <w:tc>
          <w:tcPr>
            <w:tcW w:w="404" w:type="pct"/>
            <w:tcBorders>
              <w:top w:val="single" w:color="000000" w:sz="4" w:space="0"/>
              <w:left w:val="single" w:color="000000" w:sz="4" w:space="0"/>
              <w:bottom w:val="nil"/>
              <w:right w:val="single" w:color="000000" w:sz="4" w:space="0"/>
            </w:tcBorders>
            <w:shd w:val="clear"/>
            <w:vAlign w:val="center"/>
          </w:tcPr>
          <w:p w14:paraId="71D94F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68B4E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7" w:type="pct"/>
            <w:tcBorders>
              <w:top w:val="single" w:color="000000" w:sz="4" w:space="0"/>
              <w:left w:val="single" w:color="000000" w:sz="4" w:space="0"/>
              <w:bottom w:val="nil"/>
              <w:right w:val="single" w:color="000000" w:sz="4" w:space="0"/>
            </w:tcBorders>
            <w:shd w:val="clear"/>
            <w:vAlign w:val="center"/>
          </w:tcPr>
          <w:p w14:paraId="0F44DD1E">
            <w:pPr>
              <w:jc w:val="center"/>
              <w:rPr>
                <w:rFonts w:hint="eastAsia" w:ascii="宋体" w:hAnsi="宋体" w:eastAsia="宋体" w:cs="宋体"/>
                <w:i w:val="0"/>
                <w:iCs w:val="0"/>
                <w:color w:val="000000"/>
                <w:sz w:val="18"/>
                <w:szCs w:val="18"/>
                <w:u w:val="none"/>
              </w:rPr>
            </w:pPr>
          </w:p>
        </w:tc>
      </w:tr>
      <w:tr w14:paraId="11356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4F0D90AA">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6BA85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436" w:type="pct"/>
            <w:tcBorders>
              <w:top w:val="single" w:color="000000" w:sz="4" w:space="0"/>
              <w:left w:val="single" w:color="000000" w:sz="4" w:space="0"/>
              <w:bottom w:val="nil"/>
              <w:right w:val="single" w:color="000000" w:sz="4" w:space="0"/>
            </w:tcBorders>
            <w:shd w:val="clear"/>
            <w:vAlign w:val="center"/>
          </w:tcPr>
          <w:p w14:paraId="2A6C7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社会效益指标</w:t>
            </w:r>
          </w:p>
        </w:tc>
        <w:tc>
          <w:tcPr>
            <w:tcW w:w="404" w:type="pct"/>
            <w:tcBorders>
              <w:top w:val="single" w:color="000000" w:sz="4" w:space="0"/>
              <w:left w:val="single" w:color="000000" w:sz="4" w:space="0"/>
              <w:bottom w:val="nil"/>
              <w:right w:val="single" w:color="000000" w:sz="4" w:space="0"/>
            </w:tcBorders>
            <w:shd w:val="clear"/>
            <w:vAlign w:val="center"/>
          </w:tcPr>
          <w:p w14:paraId="159CB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有效保障特种设备检验研究事业发展</w:t>
            </w:r>
          </w:p>
        </w:tc>
        <w:tc>
          <w:tcPr>
            <w:tcW w:w="404" w:type="pct"/>
            <w:tcBorders>
              <w:top w:val="single" w:color="000000" w:sz="4" w:space="0"/>
              <w:left w:val="single" w:color="000000" w:sz="4" w:space="0"/>
              <w:bottom w:val="nil"/>
              <w:right w:val="single" w:color="000000" w:sz="4" w:space="0"/>
            </w:tcBorders>
            <w:shd w:val="clear"/>
            <w:vAlign w:val="center"/>
          </w:tcPr>
          <w:p w14:paraId="22202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404" w:type="pct"/>
            <w:tcBorders>
              <w:top w:val="single" w:color="000000" w:sz="4" w:space="0"/>
              <w:left w:val="single" w:color="000000" w:sz="4" w:space="0"/>
              <w:bottom w:val="nil"/>
              <w:right w:val="single" w:color="000000" w:sz="4" w:space="0"/>
            </w:tcBorders>
            <w:shd w:val="clear"/>
            <w:vAlign w:val="center"/>
          </w:tcPr>
          <w:p w14:paraId="69566F83">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0197F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稳步提高</w:t>
            </w:r>
          </w:p>
        </w:tc>
        <w:tc>
          <w:tcPr>
            <w:tcW w:w="404" w:type="pct"/>
            <w:tcBorders>
              <w:top w:val="single" w:color="000000" w:sz="4" w:space="0"/>
              <w:left w:val="single" w:color="000000" w:sz="4" w:space="0"/>
              <w:bottom w:val="nil"/>
              <w:right w:val="single" w:color="000000" w:sz="4" w:space="0"/>
            </w:tcBorders>
            <w:shd w:val="clear"/>
            <w:vAlign w:val="center"/>
          </w:tcPr>
          <w:p w14:paraId="65FAFA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稳步提高</w:t>
            </w:r>
          </w:p>
        </w:tc>
        <w:tc>
          <w:tcPr>
            <w:tcW w:w="404" w:type="pct"/>
            <w:tcBorders>
              <w:top w:val="single" w:color="000000" w:sz="4" w:space="0"/>
              <w:left w:val="single" w:color="000000" w:sz="4" w:space="0"/>
              <w:bottom w:val="nil"/>
              <w:right w:val="single" w:color="000000" w:sz="4" w:space="0"/>
            </w:tcBorders>
            <w:shd w:val="clear"/>
            <w:vAlign w:val="center"/>
          </w:tcPr>
          <w:p w14:paraId="5835FBF7">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476B0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18" w:type="pct"/>
            <w:tcBorders>
              <w:top w:val="single" w:color="000000" w:sz="4" w:space="0"/>
              <w:left w:val="single" w:color="000000" w:sz="4" w:space="0"/>
              <w:bottom w:val="nil"/>
              <w:right w:val="single" w:color="000000" w:sz="4" w:space="0"/>
            </w:tcBorders>
            <w:shd w:val="clear"/>
            <w:vAlign w:val="center"/>
          </w:tcPr>
          <w:p w14:paraId="0B6E22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37" w:type="pct"/>
            <w:tcBorders>
              <w:top w:val="single" w:color="000000" w:sz="4" w:space="0"/>
              <w:left w:val="single" w:color="000000" w:sz="4" w:space="0"/>
              <w:bottom w:val="nil"/>
              <w:right w:val="single" w:color="000000" w:sz="4" w:space="0"/>
            </w:tcBorders>
            <w:shd w:val="clear"/>
            <w:vAlign w:val="center"/>
          </w:tcPr>
          <w:p w14:paraId="76E6F3D7">
            <w:pPr>
              <w:jc w:val="center"/>
              <w:rPr>
                <w:rFonts w:hint="eastAsia" w:ascii="宋体" w:hAnsi="宋体" w:eastAsia="宋体" w:cs="宋体"/>
                <w:i w:val="0"/>
                <w:iCs w:val="0"/>
                <w:color w:val="000000"/>
                <w:sz w:val="18"/>
                <w:szCs w:val="18"/>
                <w:u w:val="none"/>
              </w:rPr>
            </w:pPr>
          </w:p>
        </w:tc>
      </w:tr>
      <w:tr w14:paraId="06276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09336294">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02FC0CC4">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vAlign w:val="center"/>
          </w:tcPr>
          <w:p w14:paraId="58457B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可持续影响指标</w:t>
            </w:r>
          </w:p>
        </w:tc>
        <w:tc>
          <w:tcPr>
            <w:tcW w:w="404" w:type="pct"/>
            <w:tcBorders>
              <w:top w:val="single" w:color="000000" w:sz="4" w:space="0"/>
              <w:left w:val="single" w:color="000000" w:sz="4" w:space="0"/>
              <w:bottom w:val="nil"/>
              <w:right w:val="single" w:color="000000" w:sz="4" w:space="0"/>
            </w:tcBorders>
            <w:shd w:val="clear"/>
            <w:vAlign w:val="center"/>
          </w:tcPr>
          <w:p w14:paraId="03B7E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切实保障本单位各项工作开展</w:t>
            </w:r>
          </w:p>
        </w:tc>
        <w:tc>
          <w:tcPr>
            <w:tcW w:w="404" w:type="pct"/>
            <w:tcBorders>
              <w:top w:val="single" w:color="000000" w:sz="4" w:space="0"/>
              <w:left w:val="single" w:color="000000" w:sz="4" w:space="0"/>
              <w:bottom w:val="nil"/>
              <w:right w:val="single" w:color="000000" w:sz="4" w:space="0"/>
            </w:tcBorders>
            <w:shd w:val="clear"/>
            <w:vAlign w:val="center"/>
          </w:tcPr>
          <w:p w14:paraId="3D7038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404" w:type="pct"/>
            <w:tcBorders>
              <w:top w:val="single" w:color="000000" w:sz="4" w:space="0"/>
              <w:left w:val="single" w:color="000000" w:sz="4" w:space="0"/>
              <w:bottom w:val="nil"/>
              <w:right w:val="single" w:color="000000" w:sz="4" w:space="0"/>
            </w:tcBorders>
            <w:shd w:val="clear"/>
            <w:vAlign w:val="center"/>
          </w:tcPr>
          <w:p w14:paraId="06E91E0D">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392EA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稳步提高</w:t>
            </w:r>
          </w:p>
        </w:tc>
        <w:tc>
          <w:tcPr>
            <w:tcW w:w="404" w:type="pct"/>
            <w:tcBorders>
              <w:top w:val="single" w:color="000000" w:sz="4" w:space="0"/>
              <w:left w:val="single" w:color="000000" w:sz="4" w:space="0"/>
              <w:bottom w:val="nil"/>
              <w:right w:val="single" w:color="000000" w:sz="4" w:space="0"/>
            </w:tcBorders>
            <w:shd w:val="clear"/>
            <w:vAlign w:val="center"/>
          </w:tcPr>
          <w:p w14:paraId="720CC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稳步提高</w:t>
            </w:r>
          </w:p>
        </w:tc>
        <w:tc>
          <w:tcPr>
            <w:tcW w:w="404" w:type="pct"/>
            <w:tcBorders>
              <w:top w:val="single" w:color="000000" w:sz="4" w:space="0"/>
              <w:left w:val="single" w:color="000000" w:sz="4" w:space="0"/>
              <w:bottom w:val="nil"/>
              <w:right w:val="single" w:color="000000" w:sz="4" w:space="0"/>
            </w:tcBorders>
            <w:shd w:val="clear"/>
            <w:vAlign w:val="center"/>
          </w:tcPr>
          <w:p w14:paraId="52B3E915">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3448B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18" w:type="pct"/>
            <w:tcBorders>
              <w:top w:val="single" w:color="000000" w:sz="4" w:space="0"/>
              <w:left w:val="single" w:color="000000" w:sz="4" w:space="0"/>
              <w:bottom w:val="nil"/>
              <w:right w:val="single" w:color="000000" w:sz="4" w:space="0"/>
            </w:tcBorders>
            <w:shd w:val="clear"/>
            <w:vAlign w:val="center"/>
          </w:tcPr>
          <w:p w14:paraId="29C51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37" w:type="pct"/>
            <w:tcBorders>
              <w:top w:val="single" w:color="000000" w:sz="4" w:space="0"/>
              <w:left w:val="single" w:color="000000" w:sz="4" w:space="0"/>
              <w:bottom w:val="nil"/>
              <w:right w:val="single" w:color="000000" w:sz="4" w:space="0"/>
            </w:tcBorders>
            <w:shd w:val="clear"/>
            <w:vAlign w:val="center"/>
          </w:tcPr>
          <w:p w14:paraId="79692974">
            <w:pPr>
              <w:jc w:val="center"/>
              <w:rPr>
                <w:rFonts w:hint="eastAsia" w:ascii="宋体" w:hAnsi="宋体" w:eastAsia="宋体" w:cs="宋体"/>
                <w:i w:val="0"/>
                <w:iCs w:val="0"/>
                <w:color w:val="000000"/>
                <w:sz w:val="18"/>
                <w:szCs w:val="18"/>
                <w:u w:val="none"/>
              </w:rPr>
            </w:pPr>
          </w:p>
        </w:tc>
      </w:tr>
      <w:tr w14:paraId="6648A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0BFE5AD4">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vAlign w:val="center"/>
          </w:tcPr>
          <w:p w14:paraId="4EEE5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w:t>
            </w:r>
          </w:p>
        </w:tc>
        <w:tc>
          <w:tcPr>
            <w:tcW w:w="436" w:type="pct"/>
            <w:tcBorders>
              <w:top w:val="single" w:color="000000" w:sz="4" w:space="0"/>
              <w:left w:val="single" w:color="000000" w:sz="4" w:space="0"/>
              <w:bottom w:val="nil"/>
              <w:right w:val="single" w:color="000000" w:sz="4" w:space="0"/>
            </w:tcBorders>
            <w:shd w:val="clear"/>
            <w:vAlign w:val="center"/>
          </w:tcPr>
          <w:p w14:paraId="5FE32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服务对象满意度指标</w:t>
            </w:r>
          </w:p>
        </w:tc>
        <w:tc>
          <w:tcPr>
            <w:tcW w:w="404" w:type="pct"/>
            <w:tcBorders>
              <w:top w:val="single" w:color="000000" w:sz="4" w:space="0"/>
              <w:left w:val="single" w:color="000000" w:sz="4" w:space="0"/>
              <w:bottom w:val="nil"/>
              <w:right w:val="single" w:color="000000" w:sz="4" w:space="0"/>
            </w:tcBorders>
            <w:shd w:val="clear"/>
            <w:vAlign w:val="center"/>
          </w:tcPr>
          <w:p w14:paraId="0A445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单位职工满意度</w:t>
            </w:r>
          </w:p>
        </w:tc>
        <w:tc>
          <w:tcPr>
            <w:tcW w:w="404" w:type="pct"/>
            <w:tcBorders>
              <w:top w:val="single" w:color="000000" w:sz="4" w:space="0"/>
              <w:left w:val="single" w:color="000000" w:sz="4" w:space="0"/>
              <w:bottom w:val="nil"/>
              <w:right w:val="single" w:color="000000" w:sz="4" w:space="0"/>
            </w:tcBorders>
            <w:shd w:val="clear"/>
            <w:vAlign w:val="center"/>
          </w:tcPr>
          <w:p w14:paraId="3DAB2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299F4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2AAEEE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4" w:type="pct"/>
            <w:tcBorders>
              <w:top w:val="single" w:color="000000" w:sz="4" w:space="0"/>
              <w:left w:val="single" w:color="000000" w:sz="4" w:space="0"/>
              <w:bottom w:val="nil"/>
              <w:right w:val="single" w:color="000000" w:sz="4" w:space="0"/>
            </w:tcBorders>
            <w:shd w:val="clear"/>
            <w:vAlign w:val="center"/>
          </w:tcPr>
          <w:p w14:paraId="7B8F5C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4DC9F8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5B71C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18" w:type="pct"/>
            <w:tcBorders>
              <w:top w:val="single" w:color="000000" w:sz="4" w:space="0"/>
              <w:left w:val="single" w:color="000000" w:sz="4" w:space="0"/>
              <w:bottom w:val="nil"/>
              <w:right w:val="single" w:color="000000" w:sz="4" w:space="0"/>
            </w:tcBorders>
            <w:shd w:val="clear"/>
            <w:vAlign w:val="center"/>
          </w:tcPr>
          <w:p w14:paraId="36238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37" w:type="pct"/>
            <w:tcBorders>
              <w:top w:val="single" w:color="000000" w:sz="4" w:space="0"/>
              <w:left w:val="single" w:color="000000" w:sz="4" w:space="0"/>
              <w:bottom w:val="nil"/>
              <w:right w:val="single" w:color="000000" w:sz="4" w:space="0"/>
            </w:tcBorders>
            <w:shd w:val="clear"/>
            <w:vAlign w:val="center"/>
          </w:tcPr>
          <w:p w14:paraId="2A052E4E">
            <w:pPr>
              <w:jc w:val="center"/>
              <w:rPr>
                <w:rFonts w:hint="eastAsia" w:ascii="宋体" w:hAnsi="宋体" w:eastAsia="宋体" w:cs="宋体"/>
                <w:i w:val="0"/>
                <w:iCs w:val="0"/>
                <w:color w:val="000000"/>
                <w:sz w:val="18"/>
                <w:szCs w:val="18"/>
                <w:u w:val="none"/>
              </w:rPr>
            </w:pPr>
          </w:p>
        </w:tc>
      </w:tr>
      <w:tr w14:paraId="244BB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38" w:type="pct"/>
            <w:gridSpan w:val="9"/>
            <w:tcBorders>
              <w:top w:val="single" w:color="000000" w:sz="4" w:space="0"/>
              <w:left w:val="single" w:color="000000" w:sz="4" w:space="0"/>
              <w:bottom w:val="single" w:color="000000" w:sz="4" w:space="0"/>
              <w:right w:val="single" w:color="000000" w:sz="4" w:space="0"/>
            </w:tcBorders>
            <w:shd w:val="clear"/>
            <w:vAlign w:val="center"/>
          </w:tcPr>
          <w:p w14:paraId="444D48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31E22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vAlign w:val="center"/>
          </w:tcPr>
          <w:p w14:paraId="7F619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100.00</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39A87C87">
            <w:pPr>
              <w:jc w:val="center"/>
              <w:rPr>
                <w:rFonts w:hint="eastAsia" w:ascii="宋体" w:hAnsi="宋体" w:eastAsia="宋体" w:cs="宋体"/>
                <w:i w:val="0"/>
                <w:iCs w:val="0"/>
                <w:color w:val="000000"/>
                <w:sz w:val="18"/>
                <w:szCs w:val="18"/>
                <w:u w:val="none"/>
              </w:rPr>
            </w:pPr>
          </w:p>
        </w:tc>
      </w:tr>
    </w:tbl>
    <w:p w14:paraId="7045A048">
      <w:pPr>
        <w:pStyle w:val="28"/>
        <w:widowControl/>
        <w:spacing w:before="240" w:after="240" w:line="560" w:lineRule="atLeast"/>
        <w:ind w:left="0" w:leftChars="0" w:firstLine="0" w:firstLineChars="0"/>
        <w:jc w:val="left"/>
        <w:rPr>
          <w:rFonts w:hint="eastAsia" w:ascii="FangSong_GB2312" w:hAnsi="FangSong_GB2312" w:eastAsia="FangSong_GB2312" w:cs="FangSong_GB2312"/>
          <w:kern w:val="0"/>
          <w:sz w:val="32"/>
          <w:szCs w:val="32"/>
          <w:lang w:val="en-US" w:eastAsia="zh-CN"/>
        </w:rPr>
      </w:pPr>
    </w:p>
    <w:p w14:paraId="4DB95015">
      <w:pPr>
        <w:pStyle w:val="28"/>
        <w:widowControl/>
        <w:spacing w:before="240" w:after="240" w:line="560" w:lineRule="atLeast"/>
        <w:ind w:firstLine="640"/>
        <w:jc w:val="left"/>
        <w:rPr>
          <w:rFonts w:ascii="Times New Roman" w:hAnsi="Times New Roman" w:eastAsia="Times New Roman" w:cs="Times New Roman"/>
          <w:kern w:val="0"/>
          <w:sz w:val="24"/>
        </w:rPr>
      </w:pPr>
      <w:r>
        <w:rPr>
          <w:rFonts w:hint="eastAsia" w:ascii="FangSong_GB2312" w:hAnsi="FangSong_GB2312" w:eastAsia="FangSong_GB2312" w:cs="FangSong_GB2312"/>
          <w:kern w:val="0"/>
          <w:sz w:val="32"/>
          <w:szCs w:val="32"/>
          <w:lang w:val="en-US" w:eastAsia="zh-CN"/>
        </w:rPr>
        <w:t>3.物业费</w:t>
      </w:r>
      <w:r>
        <w:rPr>
          <w:rFonts w:ascii="FangSong_GB2312" w:hAnsi="FangSong_GB2312" w:eastAsia="FangSong_GB2312" w:cs="FangSong_GB2312"/>
          <w:kern w:val="0"/>
          <w:sz w:val="32"/>
          <w:szCs w:val="32"/>
        </w:rPr>
        <w:t>项目自评综述：根据年初设定的绩效目标，项目自评得分</w:t>
      </w:r>
      <w:r>
        <w:rPr>
          <w:rFonts w:hint="eastAsia"/>
          <w:kern w:val="0"/>
          <w:sz w:val="32"/>
          <w:szCs w:val="32"/>
          <w:u w:val="single"/>
          <w:lang w:val="en-US" w:eastAsia="zh-CN"/>
        </w:rPr>
        <w:t>100</w:t>
      </w:r>
      <w:r>
        <w:rPr>
          <w:rFonts w:ascii="FangSong_GB2312" w:hAnsi="FangSong_GB2312" w:eastAsia="FangSong_GB2312" w:cs="FangSong_GB2312"/>
          <w:kern w:val="0"/>
          <w:sz w:val="32"/>
          <w:szCs w:val="32"/>
        </w:rPr>
        <w:t>分。全年预算数为</w:t>
      </w:r>
      <w:r>
        <w:rPr>
          <w:rFonts w:hint="eastAsia"/>
          <w:kern w:val="0"/>
          <w:sz w:val="32"/>
          <w:szCs w:val="32"/>
          <w:u w:val="single"/>
          <w:lang w:val="en-US" w:eastAsia="zh-CN"/>
        </w:rPr>
        <w:t>12.42</w:t>
      </w:r>
      <w:r>
        <w:rPr>
          <w:rFonts w:ascii="FangSong_GB2312" w:hAnsi="FangSong_GB2312" w:eastAsia="FangSong_GB2312" w:cs="FangSong_GB2312"/>
          <w:kern w:val="0"/>
          <w:sz w:val="32"/>
          <w:szCs w:val="32"/>
        </w:rPr>
        <w:t>万元，执行数为</w:t>
      </w:r>
      <w:r>
        <w:rPr>
          <w:rFonts w:hint="eastAsia" w:ascii="FangSong_GB2312" w:hAnsi="FangSong_GB2312" w:eastAsia="FangSong_GB2312" w:cs="FangSong_GB2312"/>
          <w:kern w:val="0"/>
          <w:sz w:val="32"/>
          <w:szCs w:val="32"/>
          <w:lang w:val="en-US" w:eastAsia="zh-CN"/>
        </w:rPr>
        <w:t>12.41</w:t>
      </w:r>
      <w:r>
        <w:rPr>
          <w:rFonts w:ascii="FangSong_GB2312" w:hAnsi="FangSong_GB2312" w:eastAsia="FangSong_GB2312" w:cs="FangSong_GB2312"/>
          <w:kern w:val="0"/>
          <w:sz w:val="32"/>
          <w:szCs w:val="32"/>
        </w:rPr>
        <w:t>万元，完成预算的</w:t>
      </w:r>
      <w:r>
        <w:rPr>
          <w:rFonts w:hint="eastAsia"/>
          <w:kern w:val="0"/>
          <w:sz w:val="32"/>
          <w:szCs w:val="32"/>
          <w:u w:val="single"/>
          <w:lang w:val="en-US" w:eastAsia="zh-CN"/>
        </w:rPr>
        <w:t>99.99</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17380C22">
      <w:pPr>
        <w:pStyle w:val="28"/>
        <w:widowControl/>
        <w:spacing w:before="240" w:after="240" w:line="560" w:lineRule="atLeast"/>
        <w:ind w:firstLine="640"/>
        <w:jc w:val="left"/>
        <w:rPr>
          <w:rFonts w:hint="default" w:ascii="仿宋" w:hAnsi="仿宋" w:eastAsia="仿宋" w:cs="仿宋"/>
          <w:kern w:val="2"/>
          <w:sz w:val="32"/>
          <w:szCs w:val="32"/>
          <w:lang w:val="en-US" w:eastAsia="zh-CN"/>
        </w:rPr>
      </w:pPr>
      <w:r>
        <w:rPr>
          <w:rFonts w:ascii="FangSong_GB2312" w:hAnsi="FangSong_GB2312" w:eastAsia="FangSong_GB2312" w:cs="FangSong_GB2312"/>
          <w:kern w:val="0"/>
          <w:sz w:val="32"/>
          <w:szCs w:val="32"/>
        </w:rPr>
        <w:t>项目绩效目标完成情况</w:t>
      </w:r>
      <w:r>
        <w:rPr>
          <w:rFonts w:hint="eastAsia" w:ascii="FangSong_GB2312" w:hAnsi="FangSong_GB2312" w:eastAsia="FangSong_GB2312" w:cs="FangSong_GB2312"/>
          <w:kern w:val="0"/>
          <w:sz w:val="32"/>
          <w:szCs w:val="32"/>
          <w:lang w:eastAsia="zh-CN"/>
        </w:rPr>
        <w:t>：</w:t>
      </w:r>
      <w:r>
        <w:rPr>
          <w:rFonts w:hint="eastAsia" w:ascii="仿宋" w:hAnsi="仿宋" w:eastAsia="仿宋" w:cs="仿宋"/>
          <w:kern w:val="2"/>
          <w:sz w:val="32"/>
          <w:szCs w:val="32"/>
          <w:lang w:val="en-US" w:eastAsia="zh-CN"/>
        </w:rPr>
        <w:t>2025年度我院物业公司提供的物业管理服务，使中心办公区域的环境更加卫生安全，激发职工的工作积极性，提高工作效率。物业费项目在项目申报、目标设定、决策过程、资金分配、资金到位、支出管理、组织实施、项目效果等方面落实情况较好,其中：物业管理面积2882.00平方米；保洁和保安人员数量7人；公共区域保洁次数2次/天；公共区域保洁率100%；绿化面积维护率100%；单位职工对物业服务满意度100%等。</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0"/>
        <w:gridCol w:w="730"/>
        <w:gridCol w:w="730"/>
        <w:gridCol w:w="674"/>
        <w:gridCol w:w="674"/>
        <w:gridCol w:w="675"/>
        <w:gridCol w:w="675"/>
        <w:gridCol w:w="846"/>
        <w:gridCol w:w="680"/>
        <w:gridCol w:w="675"/>
        <w:gridCol w:w="700"/>
        <w:gridCol w:w="733"/>
      </w:tblGrid>
      <w:tr w14:paraId="180AA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vAlign w:val="center"/>
          </w:tcPr>
          <w:p w14:paraId="4CB147F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(2025年度）</w:t>
            </w:r>
          </w:p>
        </w:tc>
      </w:tr>
      <w:tr w14:paraId="4AA8A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vAlign w:val="center"/>
          </w:tcPr>
          <w:p w14:paraId="199B42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4125" w:type="pct"/>
            <w:gridSpan w:val="10"/>
            <w:tcBorders>
              <w:top w:val="single" w:color="000000" w:sz="4" w:space="0"/>
              <w:left w:val="single" w:color="000000" w:sz="4" w:space="0"/>
              <w:bottom w:val="single" w:color="000000" w:sz="4" w:space="0"/>
              <w:right w:val="single" w:color="000000" w:sz="4" w:space="0"/>
            </w:tcBorders>
            <w:shd w:val="clear"/>
            <w:vAlign w:val="center"/>
          </w:tcPr>
          <w:p w14:paraId="26E220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物业费</w:t>
            </w:r>
          </w:p>
        </w:tc>
      </w:tr>
      <w:tr w14:paraId="456C6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vAlign w:val="center"/>
          </w:tcPr>
          <w:p w14:paraId="76E6A4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w:t>
            </w:r>
          </w:p>
        </w:tc>
        <w:tc>
          <w:tcPr>
            <w:tcW w:w="1650" w:type="pct"/>
            <w:gridSpan w:val="4"/>
            <w:tcBorders>
              <w:top w:val="single" w:color="000000" w:sz="4" w:space="0"/>
              <w:left w:val="single" w:color="000000" w:sz="4" w:space="0"/>
              <w:bottom w:val="single" w:color="000000" w:sz="4" w:space="0"/>
              <w:right w:val="single" w:color="000000" w:sz="4" w:space="0"/>
            </w:tcBorders>
            <w:shd w:val="clear"/>
            <w:vAlign w:val="center"/>
          </w:tcPr>
          <w:p w14:paraId="5EE3C7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内蒙古自治区市场监督管理局部门</w:t>
            </w:r>
          </w:p>
        </w:tc>
        <w:tc>
          <w:tcPr>
            <w:tcW w:w="808" w:type="pct"/>
            <w:gridSpan w:val="2"/>
            <w:tcBorders>
              <w:top w:val="single" w:color="000000" w:sz="4" w:space="0"/>
              <w:left w:val="single" w:color="000000" w:sz="4" w:space="0"/>
              <w:bottom w:val="single" w:color="000000" w:sz="4" w:space="0"/>
              <w:right w:val="single" w:color="000000" w:sz="4" w:space="0"/>
            </w:tcBorders>
            <w:shd w:val="clear"/>
            <w:vAlign w:val="center"/>
          </w:tcPr>
          <w:p w14:paraId="3A4B13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vAlign w:val="center"/>
          </w:tcPr>
          <w:p w14:paraId="2E8A55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内蒙古自治区特种设备检验研究院兴安分院</w:t>
            </w:r>
          </w:p>
        </w:tc>
      </w:tr>
      <w:tr w14:paraId="621E8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135E0E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1BDB7AB1">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ACE3B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014B1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808" w:type="pct"/>
            <w:gridSpan w:val="2"/>
            <w:tcBorders>
              <w:top w:val="single" w:color="000000" w:sz="4" w:space="0"/>
              <w:left w:val="single" w:color="000000" w:sz="4" w:space="0"/>
              <w:bottom w:val="single" w:color="000000" w:sz="4" w:space="0"/>
              <w:right w:val="single" w:color="000000" w:sz="4" w:space="0"/>
            </w:tcBorders>
            <w:shd w:val="clear"/>
            <w:vAlign w:val="center"/>
          </w:tcPr>
          <w:p w14:paraId="4F326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CC4AA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496D1F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439" w:type="pct"/>
            <w:tcBorders>
              <w:top w:val="single" w:color="000000" w:sz="4" w:space="0"/>
              <w:left w:val="single" w:color="000000" w:sz="4" w:space="0"/>
              <w:bottom w:val="single" w:color="000000" w:sz="4" w:space="0"/>
              <w:right w:val="single" w:color="000000" w:sz="4" w:space="0"/>
            </w:tcBorders>
            <w:shd w:val="clear"/>
            <w:vAlign w:val="center"/>
          </w:tcPr>
          <w:p w14:paraId="16FF01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60D5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303C994E">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25A52A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6C59FC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12.42</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3513F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12.42</w:t>
            </w:r>
          </w:p>
        </w:tc>
        <w:tc>
          <w:tcPr>
            <w:tcW w:w="808" w:type="pct"/>
            <w:gridSpan w:val="2"/>
            <w:tcBorders>
              <w:top w:val="single" w:color="000000" w:sz="4" w:space="0"/>
              <w:left w:val="single" w:color="000000" w:sz="4" w:space="0"/>
              <w:bottom w:val="single" w:color="000000" w:sz="4" w:space="0"/>
              <w:right w:val="single" w:color="000000" w:sz="4" w:space="0"/>
            </w:tcBorders>
            <w:shd w:val="clear"/>
            <w:vAlign w:val="center"/>
          </w:tcPr>
          <w:p w14:paraId="6C811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12.41</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718356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74FCC4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99.92</w:t>
            </w:r>
          </w:p>
        </w:tc>
        <w:tc>
          <w:tcPr>
            <w:tcW w:w="439" w:type="pct"/>
            <w:tcBorders>
              <w:top w:val="single" w:color="000000" w:sz="4" w:space="0"/>
              <w:left w:val="single" w:color="000000" w:sz="4" w:space="0"/>
              <w:bottom w:val="single" w:color="000000" w:sz="4" w:space="0"/>
              <w:right w:val="single" w:color="000000" w:sz="4" w:space="0"/>
            </w:tcBorders>
            <w:shd w:val="clear"/>
            <w:vAlign w:val="center"/>
          </w:tcPr>
          <w:p w14:paraId="13E57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9.99</w:t>
            </w:r>
          </w:p>
        </w:tc>
      </w:tr>
      <w:tr w14:paraId="5620C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6CAFEE5F">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2F3F1D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4BC7C8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04447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w:t>
            </w:r>
          </w:p>
        </w:tc>
        <w:tc>
          <w:tcPr>
            <w:tcW w:w="808" w:type="pct"/>
            <w:gridSpan w:val="2"/>
            <w:tcBorders>
              <w:top w:val="single" w:color="000000" w:sz="4" w:space="0"/>
              <w:left w:val="single" w:color="000000" w:sz="4" w:space="0"/>
              <w:bottom w:val="single" w:color="000000" w:sz="4" w:space="0"/>
              <w:right w:val="single" w:color="000000" w:sz="4" w:space="0"/>
            </w:tcBorders>
            <w:shd w:val="clear"/>
            <w:vAlign w:val="center"/>
          </w:tcPr>
          <w:p w14:paraId="107721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F8404DF">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5463D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39" w:type="pct"/>
            <w:tcBorders>
              <w:top w:val="single" w:color="000000" w:sz="4" w:space="0"/>
              <w:left w:val="single" w:color="000000" w:sz="4" w:space="0"/>
              <w:bottom w:val="single" w:color="000000" w:sz="4" w:space="0"/>
              <w:right w:val="single" w:color="000000" w:sz="4" w:space="0"/>
            </w:tcBorders>
            <w:shd w:val="clear"/>
            <w:noWrap/>
            <w:vAlign w:val="center"/>
          </w:tcPr>
          <w:p w14:paraId="4F805AF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5EF07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5039E6F">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25A1B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6D8FFADD">
            <w:pPr>
              <w:rPr>
                <w:rFonts w:hint="eastAsia" w:ascii="宋体" w:hAnsi="宋体" w:eastAsia="宋体" w:cs="宋体"/>
                <w:i w:val="0"/>
                <w:iCs w:val="0"/>
                <w:color w:val="000000"/>
                <w:sz w:val="18"/>
                <w:szCs w:val="18"/>
                <w:u w:val="none"/>
              </w:rPr>
            </w:pP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1D1A8599">
            <w:pPr>
              <w:jc w:val="center"/>
              <w:rPr>
                <w:rFonts w:hint="eastAsia" w:ascii="宋体" w:hAnsi="宋体" w:eastAsia="宋体" w:cs="宋体"/>
                <w:i w:val="0"/>
                <w:iCs w:val="0"/>
                <w:color w:val="000000"/>
                <w:sz w:val="18"/>
                <w:szCs w:val="18"/>
                <w:u w:val="none"/>
              </w:rPr>
            </w:pPr>
          </w:p>
        </w:tc>
        <w:tc>
          <w:tcPr>
            <w:tcW w:w="808" w:type="pct"/>
            <w:gridSpan w:val="2"/>
            <w:tcBorders>
              <w:top w:val="single" w:color="000000" w:sz="4" w:space="0"/>
              <w:left w:val="single" w:color="000000" w:sz="4" w:space="0"/>
              <w:bottom w:val="single" w:color="000000" w:sz="4" w:space="0"/>
              <w:right w:val="single" w:color="000000" w:sz="4" w:space="0"/>
            </w:tcBorders>
            <w:shd w:val="clear"/>
            <w:vAlign w:val="center"/>
          </w:tcPr>
          <w:p w14:paraId="625C7951">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94B9CDA">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004C461B">
            <w:pPr>
              <w:jc w:val="center"/>
              <w:rPr>
                <w:rFonts w:hint="eastAsia" w:ascii="宋体" w:hAnsi="宋体" w:eastAsia="宋体" w:cs="宋体"/>
                <w:i w:val="0"/>
                <w:iCs w:val="0"/>
                <w:color w:val="000000"/>
                <w:sz w:val="18"/>
                <w:szCs w:val="18"/>
                <w:u w:val="none"/>
              </w:rPr>
            </w:pPr>
          </w:p>
        </w:tc>
        <w:tc>
          <w:tcPr>
            <w:tcW w:w="439" w:type="pct"/>
            <w:tcBorders>
              <w:top w:val="single" w:color="000000" w:sz="4" w:space="0"/>
              <w:left w:val="single" w:color="000000" w:sz="4" w:space="0"/>
              <w:bottom w:val="single" w:color="000000" w:sz="4" w:space="0"/>
              <w:right w:val="single" w:color="000000" w:sz="4" w:space="0"/>
            </w:tcBorders>
            <w:shd w:val="clear"/>
            <w:noWrap/>
            <w:vAlign w:val="center"/>
          </w:tcPr>
          <w:p w14:paraId="5623354E">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13F8D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6ED51A97">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677440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BC83C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0.42</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69CE9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0.42</w:t>
            </w:r>
          </w:p>
        </w:tc>
        <w:tc>
          <w:tcPr>
            <w:tcW w:w="808" w:type="pct"/>
            <w:gridSpan w:val="2"/>
            <w:tcBorders>
              <w:top w:val="single" w:color="000000" w:sz="4" w:space="0"/>
              <w:left w:val="single" w:color="000000" w:sz="4" w:space="0"/>
              <w:bottom w:val="single" w:color="000000" w:sz="4" w:space="0"/>
              <w:right w:val="single" w:color="000000" w:sz="4" w:space="0"/>
            </w:tcBorders>
            <w:shd w:val="clear"/>
            <w:vAlign w:val="center"/>
          </w:tcPr>
          <w:p w14:paraId="5BE9C3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0.41</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5AC7B63E">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5C0AA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97.62</w:t>
            </w:r>
          </w:p>
        </w:tc>
        <w:tc>
          <w:tcPr>
            <w:tcW w:w="439" w:type="pct"/>
            <w:tcBorders>
              <w:top w:val="single" w:color="000000" w:sz="4" w:space="0"/>
              <w:left w:val="single" w:color="000000" w:sz="4" w:space="0"/>
              <w:bottom w:val="single" w:color="000000" w:sz="4" w:space="0"/>
              <w:right w:val="single" w:color="000000" w:sz="4" w:space="0"/>
            </w:tcBorders>
            <w:shd w:val="clear"/>
            <w:noWrap/>
            <w:vAlign w:val="center"/>
          </w:tcPr>
          <w:p w14:paraId="722581E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580D0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56BE29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vAlign w:val="center"/>
          </w:tcPr>
          <w:p w14:paraId="11DCD2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2070" w:type="pct"/>
            <w:gridSpan w:val="5"/>
            <w:tcBorders>
              <w:top w:val="single" w:color="000000" w:sz="4" w:space="0"/>
              <w:left w:val="single" w:color="000000" w:sz="4" w:space="0"/>
              <w:bottom w:val="single" w:color="000000" w:sz="4" w:space="0"/>
              <w:right w:val="single" w:color="000000" w:sz="4" w:space="0"/>
            </w:tcBorders>
            <w:shd w:val="clear"/>
            <w:vAlign w:val="center"/>
          </w:tcPr>
          <w:p w14:paraId="32C63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2A91D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40801B2">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vAlign w:val="center"/>
          </w:tcPr>
          <w:p w14:paraId="7B20B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2025年度我院通过开展本单位物业保障工作，切实保障本单位各项工作开展，有效提高特种设备检验研究事业发展。</w:t>
            </w:r>
          </w:p>
        </w:tc>
        <w:tc>
          <w:tcPr>
            <w:tcW w:w="2070" w:type="pct"/>
            <w:gridSpan w:val="5"/>
            <w:tcBorders>
              <w:top w:val="single" w:color="000000" w:sz="4" w:space="0"/>
              <w:left w:val="single" w:color="000000" w:sz="4" w:space="0"/>
              <w:bottom w:val="single" w:color="000000" w:sz="4" w:space="0"/>
              <w:right w:val="single" w:color="000000" w:sz="4" w:space="0"/>
            </w:tcBorders>
            <w:shd w:val="clear"/>
            <w:vAlign w:val="center"/>
          </w:tcPr>
          <w:p w14:paraId="1B4EF8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2025年度我院物业公司提供的物业管理服务，使中心办公区域的环境更加卫生安全，激发职工的工作积极性，提高工作效率。物业费项目在项目申报、目标设定、决策过程、资金分配、资金到位、支出管理、组织实施、项目效果等方面落实情况较好。</w:t>
            </w:r>
          </w:p>
        </w:tc>
      </w:tr>
      <w:tr w14:paraId="63497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37" w:type="pct"/>
            <w:tcBorders>
              <w:top w:val="single" w:color="000000" w:sz="4" w:space="0"/>
              <w:left w:val="single" w:color="000000" w:sz="4" w:space="0"/>
              <w:bottom w:val="single" w:color="000000" w:sz="4" w:space="0"/>
              <w:right w:val="single" w:color="000000" w:sz="4" w:space="0"/>
            </w:tcBorders>
            <w:shd w:val="clear"/>
            <w:vAlign w:val="center"/>
          </w:tcPr>
          <w:p w14:paraId="4BB6F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7394E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60F363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30A59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689BFE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7A4206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6B0B0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403" w:type="pct"/>
            <w:tcBorders>
              <w:top w:val="single" w:color="000000" w:sz="4" w:space="0"/>
              <w:left w:val="single" w:color="000000" w:sz="4" w:space="0"/>
              <w:bottom w:val="single" w:color="000000" w:sz="4" w:space="0"/>
              <w:right w:val="single" w:color="000000" w:sz="4" w:space="0"/>
            </w:tcBorders>
            <w:shd w:val="clear"/>
            <w:vAlign w:val="center"/>
          </w:tcPr>
          <w:p w14:paraId="09EC9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4F6C0E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32E5A0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418" w:type="pct"/>
            <w:tcBorders>
              <w:top w:val="single" w:color="000000" w:sz="4" w:space="0"/>
              <w:left w:val="single" w:color="000000" w:sz="4" w:space="0"/>
              <w:bottom w:val="single" w:color="000000" w:sz="4" w:space="0"/>
              <w:right w:val="single" w:color="000000" w:sz="4" w:space="0"/>
            </w:tcBorders>
            <w:shd w:val="clear"/>
            <w:vAlign w:val="center"/>
          </w:tcPr>
          <w:p w14:paraId="5F12C8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vAlign w:val="center"/>
          </w:tcPr>
          <w:p w14:paraId="5D68DD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285AC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restart"/>
            <w:tcBorders>
              <w:top w:val="single" w:color="000000" w:sz="4" w:space="0"/>
              <w:left w:val="single" w:color="000000" w:sz="4" w:space="0"/>
              <w:bottom w:val="nil"/>
              <w:right w:val="single" w:color="000000" w:sz="4" w:space="0"/>
            </w:tcBorders>
            <w:shd w:val="clear"/>
            <w:vAlign w:val="center"/>
          </w:tcPr>
          <w:p w14:paraId="1E9287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437" w:type="pct"/>
            <w:vMerge w:val="restart"/>
            <w:tcBorders>
              <w:top w:val="single" w:color="000000" w:sz="4" w:space="0"/>
              <w:left w:val="single" w:color="000000" w:sz="4" w:space="0"/>
              <w:bottom w:val="nil"/>
              <w:right w:val="single" w:color="000000" w:sz="4" w:space="0"/>
            </w:tcBorders>
            <w:shd w:val="clear"/>
            <w:vAlign w:val="center"/>
          </w:tcPr>
          <w:p w14:paraId="67C29A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437" w:type="pct"/>
            <w:vMerge w:val="restart"/>
            <w:tcBorders>
              <w:top w:val="single" w:color="000000" w:sz="4" w:space="0"/>
              <w:left w:val="single" w:color="000000" w:sz="4" w:space="0"/>
              <w:bottom w:val="nil"/>
              <w:right w:val="single" w:color="000000" w:sz="4" w:space="0"/>
            </w:tcBorders>
            <w:shd w:val="clear"/>
            <w:vAlign w:val="center"/>
          </w:tcPr>
          <w:p w14:paraId="55449A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vAlign w:val="center"/>
          </w:tcPr>
          <w:p w14:paraId="7FE8F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物业管理面积</w:t>
            </w:r>
          </w:p>
        </w:tc>
        <w:tc>
          <w:tcPr>
            <w:tcW w:w="404" w:type="pct"/>
            <w:tcBorders>
              <w:top w:val="single" w:color="000000" w:sz="4" w:space="0"/>
              <w:left w:val="single" w:color="000000" w:sz="4" w:space="0"/>
              <w:bottom w:val="nil"/>
              <w:right w:val="single" w:color="000000" w:sz="4" w:space="0"/>
            </w:tcBorders>
            <w:shd w:val="clear"/>
            <w:vAlign w:val="center"/>
          </w:tcPr>
          <w:p w14:paraId="0248C8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095051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5AA430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2882</w:t>
            </w:r>
          </w:p>
        </w:tc>
        <w:tc>
          <w:tcPr>
            <w:tcW w:w="403" w:type="pct"/>
            <w:tcBorders>
              <w:top w:val="single" w:color="000000" w:sz="4" w:space="0"/>
              <w:left w:val="single" w:color="000000" w:sz="4" w:space="0"/>
              <w:bottom w:val="nil"/>
              <w:right w:val="single" w:color="000000" w:sz="4" w:space="0"/>
            </w:tcBorders>
            <w:shd w:val="clear"/>
            <w:vAlign w:val="center"/>
          </w:tcPr>
          <w:p w14:paraId="2135A8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2882.00</w:t>
            </w:r>
          </w:p>
        </w:tc>
        <w:tc>
          <w:tcPr>
            <w:tcW w:w="404" w:type="pct"/>
            <w:tcBorders>
              <w:top w:val="single" w:color="000000" w:sz="4" w:space="0"/>
              <w:left w:val="single" w:color="000000" w:sz="4" w:space="0"/>
              <w:bottom w:val="nil"/>
              <w:right w:val="single" w:color="000000" w:sz="4" w:space="0"/>
            </w:tcBorders>
            <w:shd w:val="clear"/>
            <w:vAlign w:val="center"/>
          </w:tcPr>
          <w:p w14:paraId="1731E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平方米</w:t>
            </w:r>
          </w:p>
        </w:tc>
        <w:tc>
          <w:tcPr>
            <w:tcW w:w="404" w:type="pct"/>
            <w:tcBorders>
              <w:top w:val="single" w:color="000000" w:sz="4" w:space="0"/>
              <w:left w:val="single" w:color="000000" w:sz="4" w:space="0"/>
              <w:bottom w:val="nil"/>
              <w:right w:val="single" w:color="000000" w:sz="4" w:space="0"/>
            </w:tcBorders>
            <w:shd w:val="clear"/>
            <w:vAlign w:val="center"/>
          </w:tcPr>
          <w:p w14:paraId="7A7D3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71FA2A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9" w:type="pct"/>
            <w:tcBorders>
              <w:top w:val="single" w:color="000000" w:sz="4" w:space="0"/>
              <w:left w:val="single" w:color="000000" w:sz="4" w:space="0"/>
              <w:bottom w:val="nil"/>
              <w:right w:val="single" w:color="000000" w:sz="4" w:space="0"/>
            </w:tcBorders>
            <w:shd w:val="clear"/>
            <w:vAlign w:val="center"/>
          </w:tcPr>
          <w:p w14:paraId="5B85FDCD">
            <w:pPr>
              <w:jc w:val="center"/>
              <w:rPr>
                <w:rFonts w:hint="eastAsia" w:ascii="宋体" w:hAnsi="宋体" w:eastAsia="宋体" w:cs="宋体"/>
                <w:i w:val="0"/>
                <w:iCs w:val="0"/>
                <w:color w:val="000000"/>
                <w:sz w:val="18"/>
                <w:szCs w:val="18"/>
                <w:u w:val="none"/>
              </w:rPr>
            </w:pPr>
          </w:p>
        </w:tc>
      </w:tr>
      <w:tr w14:paraId="0F3FD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vAlign w:val="center"/>
          </w:tcPr>
          <w:p w14:paraId="0CBB6A9B">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0FB799EF">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0C1DF436">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0892A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保洁和保安人员数量</w:t>
            </w:r>
          </w:p>
        </w:tc>
        <w:tc>
          <w:tcPr>
            <w:tcW w:w="404" w:type="pct"/>
            <w:tcBorders>
              <w:top w:val="single" w:color="000000" w:sz="4" w:space="0"/>
              <w:left w:val="single" w:color="000000" w:sz="4" w:space="0"/>
              <w:bottom w:val="nil"/>
              <w:right w:val="single" w:color="000000" w:sz="4" w:space="0"/>
            </w:tcBorders>
            <w:shd w:val="clear"/>
            <w:vAlign w:val="center"/>
          </w:tcPr>
          <w:p w14:paraId="4A7B82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34557A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0E8667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403" w:type="pct"/>
            <w:tcBorders>
              <w:top w:val="single" w:color="000000" w:sz="4" w:space="0"/>
              <w:left w:val="single" w:color="000000" w:sz="4" w:space="0"/>
              <w:bottom w:val="nil"/>
              <w:right w:val="single" w:color="000000" w:sz="4" w:space="0"/>
            </w:tcBorders>
            <w:shd w:val="clear"/>
            <w:vAlign w:val="center"/>
          </w:tcPr>
          <w:p w14:paraId="1661E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7.00</w:t>
            </w:r>
          </w:p>
        </w:tc>
        <w:tc>
          <w:tcPr>
            <w:tcW w:w="404" w:type="pct"/>
            <w:tcBorders>
              <w:top w:val="single" w:color="000000" w:sz="4" w:space="0"/>
              <w:left w:val="single" w:color="000000" w:sz="4" w:space="0"/>
              <w:bottom w:val="nil"/>
              <w:right w:val="single" w:color="000000" w:sz="4" w:space="0"/>
            </w:tcBorders>
            <w:shd w:val="clear"/>
            <w:vAlign w:val="center"/>
          </w:tcPr>
          <w:p w14:paraId="110F4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w:t>
            </w:r>
          </w:p>
        </w:tc>
        <w:tc>
          <w:tcPr>
            <w:tcW w:w="404" w:type="pct"/>
            <w:tcBorders>
              <w:top w:val="single" w:color="000000" w:sz="4" w:space="0"/>
              <w:left w:val="single" w:color="000000" w:sz="4" w:space="0"/>
              <w:bottom w:val="nil"/>
              <w:right w:val="single" w:color="000000" w:sz="4" w:space="0"/>
            </w:tcBorders>
            <w:shd w:val="clear"/>
            <w:vAlign w:val="center"/>
          </w:tcPr>
          <w:p w14:paraId="18CFFD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104D85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9" w:type="pct"/>
            <w:tcBorders>
              <w:top w:val="single" w:color="000000" w:sz="4" w:space="0"/>
              <w:left w:val="single" w:color="000000" w:sz="4" w:space="0"/>
              <w:bottom w:val="nil"/>
              <w:right w:val="single" w:color="000000" w:sz="4" w:space="0"/>
            </w:tcBorders>
            <w:shd w:val="clear"/>
            <w:vAlign w:val="center"/>
          </w:tcPr>
          <w:p w14:paraId="138722CF">
            <w:pPr>
              <w:jc w:val="center"/>
              <w:rPr>
                <w:rFonts w:hint="eastAsia" w:ascii="宋体" w:hAnsi="宋体" w:eastAsia="宋体" w:cs="宋体"/>
                <w:i w:val="0"/>
                <w:iCs w:val="0"/>
                <w:color w:val="000000"/>
                <w:sz w:val="18"/>
                <w:szCs w:val="18"/>
                <w:u w:val="none"/>
              </w:rPr>
            </w:pPr>
          </w:p>
        </w:tc>
      </w:tr>
      <w:tr w14:paraId="450A3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vAlign w:val="center"/>
          </w:tcPr>
          <w:p w14:paraId="7541DCAB">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7664657E">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6CFB71C5">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46B06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公共区域保洁次数</w:t>
            </w:r>
          </w:p>
        </w:tc>
        <w:tc>
          <w:tcPr>
            <w:tcW w:w="404" w:type="pct"/>
            <w:tcBorders>
              <w:top w:val="single" w:color="000000" w:sz="4" w:space="0"/>
              <w:left w:val="single" w:color="000000" w:sz="4" w:space="0"/>
              <w:bottom w:val="nil"/>
              <w:right w:val="single" w:color="000000" w:sz="4" w:space="0"/>
            </w:tcBorders>
            <w:shd w:val="clear"/>
            <w:vAlign w:val="center"/>
          </w:tcPr>
          <w:p w14:paraId="046F7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40B0F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678EC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03" w:type="pct"/>
            <w:tcBorders>
              <w:top w:val="single" w:color="000000" w:sz="4" w:space="0"/>
              <w:left w:val="single" w:color="000000" w:sz="4" w:space="0"/>
              <w:bottom w:val="nil"/>
              <w:right w:val="single" w:color="000000" w:sz="4" w:space="0"/>
            </w:tcBorders>
            <w:shd w:val="clear"/>
            <w:vAlign w:val="center"/>
          </w:tcPr>
          <w:p w14:paraId="7AFA3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2.00</w:t>
            </w:r>
          </w:p>
        </w:tc>
        <w:tc>
          <w:tcPr>
            <w:tcW w:w="404" w:type="pct"/>
            <w:tcBorders>
              <w:top w:val="single" w:color="000000" w:sz="4" w:space="0"/>
              <w:left w:val="single" w:color="000000" w:sz="4" w:space="0"/>
              <w:bottom w:val="nil"/>
              <w:right w:val="single" w:color="000000" w:sz="4" w:space="0"/>
            </w:tcBorders>
            <w:shd w:val="clear"/>
            <w:vAlign w:val="center"/>
          </w:tcPr>
          <w:p w14:paraId="3A98CA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次/天</w:t>
            </w:r>
          </w:p>
        </w:tc>
        <w:tc>
          <w:tcPr>
            <w:tcW w:w="404" w:type="pct"/>
            <w:tcBorders>
              <w:top w:val="single" w:color="000000" w:sz="4" w:space="0"/>
              <w:left w:val="single" w:color="000000" w:sz="4" w:space="0"/>
              <w:bottom w:val="nil"/>
              <w:right w:val="single" w:color="000000" w:sz="4" w:space="0"/>
            </w:tcBorders>
            <w:shd w:val="clear"/>
            <w:vAlign w:val="center"/>
          </w:tcPr>
          <w:p w14:paraId="2D0A63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7B7FE2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9" w:type="pct"/>
            <w:tcBorders>
              <w:top w:val="single" w:color="000000" w:sz="4" w:space="0"/>
              <w:left w:val="single" w:color="000000" w:sz="4" w:space="0"/>
              <w:bottom w:val="nil"/>
              <w:right w:val="single" w:color="000000" w:sz="4" w:space="0"/>
            </w:tcBorders>
            <w:shd w:val="clear"/>
            <w:vAlign w:val="center"/>
          </w:tcPr>
          <w:p w14:paraId="503332B1">
            <w:pPr>
              <w:jc w:val="center"/>
              <w:rPr>
                <w:rFonts w:hint="eastAsia" w:ascii="宋体" w:hAnsi="宋体" w:eastAsia="宋体" w:cs="宋体"/>
                <w:i w:val="0"/>
                <w:iCs w:val="0"/>
                <w:color w:val="000000"/>
                <w:sz w:val="18"/>
                <w:szCs w:val="18"/>
                <w:u w:val="none"/>
              </w:rPr>
            </w:pPr>
          </w:p>
        </w:tc>
      </w:tr>
      <w:tr w14:paraId="2DBD5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vAlign w:val="center"/>
          </w:tcPr>
          <w:p w14:paraId="57488A85">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1F003F25">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vAlign w:val="center"/>
          </w:tcPr>
          <w:p w14:paraId="2E5F1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vAlign w:val="center"/>
          </w:tcPr>
          <w:p w14:paraId="47826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公共区域保洁率</w:t>
            </w:r>
          </w:p>
        </w:tc>
        <w:tc>
          <w:tcPr>
            <w:tcW w:w="404" w:type="pct"/>
            <w:tcBorders>
              <w:top w:val="single" w:color="000000" w:sz="4" w:space="0"/>
              <w:left w:val="single" w:color="000000" w:sz="4" w:space="0"/>
              <w:bottom w:val="nil"/>
              <w:right w:val="single" w:color="000000" w:sz="4" w:space="0"/>
            </w:tcBorders>
            <w:shd w:val="clear"/>
            <w:vAlign w:val="center"/>
          </w:tcPr>
          <w:p w14:paraId="14A69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46B4B3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404" w:type="pct"/>
            <w:tcBorders>
              <w:top w:val="single" w:color="000000" w:sz="4" w:space="0"/>
              <w:left w:val="single" w:color="000000" w:sz="4" w:space="0"/>
              <w:bottom w:val="nil"/>
              <w:right w:val="single" w:color="000000" w:sz="4" w:space="0"/>
            </w:tcBorders>
            <w:shd w:val="clear"/>
            <w:vAlign w:val="center"/>
          </w:tcPr>
          <w:p w14:paraId="23F61F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3" w:type="pct"/>
            <w:tcBorders>
              <w:top w:val="single" w:color="000000" w:sz="4" w:space="0"/>
              <w:left w:val="single" w:color="000000" w:sz="4" w:space="0"/>
              <w:bottom w:val="nil"/>
              <w:right w:val="single" w:color="000000" w:sz="4" w:space="0"/>
            </w:tcBorders>
            <w:shd w:val="clear"/>
            <w:vAlign w:val="center"/>
          </w:tcPr>
          <w:p w14:paraId="762C7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100.00</w:t>
            </w:r>
          </w:p>
        </w:tc>
        <w:tc>
          <w:tcPr>
            <w:tcW w:w="404" w:type="pct"/>
            <w:tcBorders>
              <w:top w:val="single" w:color="000000" w:sz="4" w:space="0"/>
              <w:left w:val="single" w:color="000000" w:sz="4" w:space="0"/>
              <w:bottom w:val="nil"/>
              <w:right w:val="single" w:color="000000" w:sz="4" w:space="0"/>
            </w:tcBorders>
            <w:shd w:val="clear"/>
            <w:vAlign w:val="center"/>
          </w:tcPr>
          <w:p w14:paraId="5FDD77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2B5C93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18" w:type="pct"/>
            <w:tcBorders>
              <w:top w:val="single" w:color="000000" w:sz="4" w:space="0"/>
              <w:left w:val="single" w:color="000000" w:sz="4" w:space="0"/>
              <w:bottom w:val="nil"/>
              <w:right w:val="single" w:color="000000" w:sz="4" w:space="0"/>
            </w:tcBorders>
            <w:shd w:val="clear"/>
            <w:vAlign w:val="center"/>
          </w:tcPr>
          <w:p w14:paraId="455D96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39" w:type="pct"/>
            <w:tcBorders>
              <w:top w:val="single" w:color="000000" w:sz="4" w:space="0"/>
              <w:left w:val="single" w:color="000000" w:sz="4" w:space="0"/>
              <w:bottom w:val="nil"/>
              <w:right w:val="single" w:color="000000" w:sz="4" w:space="0"/>
            </w:tcBorders>
            <w:shd w:val="clear"/>
            <w:vAlign w:val="center"/>
          </w:tcPr>
          <w:p w14:paraId="57B4404B">
            <w:pPr>
              <w:jc w:val="center"/>
              <w:rPr>
                <w:rFonts w:hint="eastAsia" w:ascii="宋体" w:hAnsi="宋体" w:eastAsia="宋体" w:cs="宋体"/>
                <w:i w:val="0"/>
                <w:iCs w:val="0"/>
                <w:color w:val="000000"/>
                <w:sz w:val="18"/>
                <w:szCs w:val="18"/>
                <w:u w:val="none"/>
              </w:rPr>
            </w:pPr>
          </w:p>
        </w:tc>
      </w:tr>
      <w:tr w14:paraId="05B02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vAlign w:val="center"/>
          </w:tcPr>
          <w:p w14:paraId="50971C16">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68C769CF">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0E150F21">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652EEC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绿化面积维护率</w:t>
            </w:r>
          </w:p>
        </w:tc>
        <w:tc>
          <w:tcPr>
            <w:tcW w:w="404" w:type="pct"/>
            <w:tcBorders>
              <w:top w:val="single" w:color="000000" w:sz="4" w:space="0"/>
              <w:left w:val="single" w:color="000000" w:sz="4" w:space="0"/>
              <w:bottom w:val="nil"/>
              <w:right w:val="single" w:color="000000" w:sz="4" w:space="0"/>
            </w:tcBorders>
            <w:shd w:val="clear"/>
            <w:vAlign w:val="center"/>
          </w:tcPr>
          <w:p w14:paraId="1DBBC6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7C278D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404" w:type="pct"/>
            <w:tcBorders>
              <w:top w:val="single" w:color="000000" w:sz="4" w:space="0"/>
              <w:left w:val="single" w:color="000000" w:sz="4" w:space="0"/>
              <w:bottom w:val="nil"/>
              <w:right w:val="single" w:color="000000" w:sz="4" w:space="0"/>
            </w:tcBorders>
            <w:shd w:val="clear"/>
            <w:vAlign w:val="center"/>
          </w:tcPr>
          <w:p w14:paraId="698E28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3" w:type="pct"/>
            <w:tcBorders>
              <w:top w:val="single" w:color="000000" w:sz="4" w:space="0"/>
              <w:left w:val="single" w:color="000000" w:sz="4" w:space="0"/>
              <w:bottom w:val="nil"/>
              <w:right w:val="single" w:color="000000" w:sz="4" w:space="0"/>
            </w:tcBorders>
            <w:shd w:val="clear"/>
            <w:vAlign w:val="center"/>
          </w:tcPr>
          <w:p w14:paraId="04362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100.00</w:t>
            </w:r>
          </w:p>
        </w:tc>
        <w:tc>
          <w:tcPr>
            <w:tcW w:w="404" w:type="pct"/>
            <w:tcBorders>
              <w:top w:val="single" w:color="000000" w:sz="4" w:space="0"/>
              <w:left w:val="single" w:color="000000" w:sz="4" w:space="0"/>
              <w:bottom w:val="nil"/>
              <w:right w:val="single" w:color="000000" w:sz="4" w:space="0"/>
            </w:tcBorders>
            <w:shd w:val="clear"/>
            <w:vAlign w:val="center"/>
          </w:tcPr>
          <w:p w14:paraId="4EE735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5A616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18" w:type="pct"/>
            <w:tcBorders>
              <w:top w:val="single" w:color="000000" w:sz="4" w:space="0"/>
              <w:left w:val="single" w:color="000000" w:sz="4" w:space="0"/>
              <w:bottom w:val="nil"/>
              <w:right w:val="single" w:color="000000" w:sz="4" w:space="0"/>
            </w:tcBorders>
            <w:shd w:val="clear"/>
            <w:vAlign w:val="center"/>
          </w:tcPr>
          <w:p w14:paraId="598CC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39" w:type="pct"/>
            <w:tcBorders>
              <w:top w:val="single" w:color="000000" w:sz="4" w:space="0"/>
              <w:left w:val="single" w:color="000000" w:sz="4" w:space="0"/>
              <w:bottom w:val="nil"/>
              <w:right w:val="single" w:color="000000" w:sz="4" w:space="0"/>
            </w:tcBorders>
            <w:shd w:val="clear"/>
            <w:vAlign w:val="center"/>
          </w:tcPr>
          <w:p w14:paraId="3DF12A89">
            <w:pPr>
              <w:jc w:val="center"/>
              <w:rPr>
                <w:rFonts w:hint="eastAsia" w:ascii="宋体" w:hAnsi="宋体" w:eastAsia="宋体" w:cs="宋体"/>
                <w:i w:val="0"/>
                <w:iCs w:val="0"/>
                <w:color w:val="000000"/>
                <w:sz w:val="18"/>
                <w:szCs w:val="18"/>
                <w:u w:val="none"/>
              </w:rPr>
            </w:pPr>
          </w:p>
        </w:tc>
      </w:tr>
      <w:tr w14:paraId="443AD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vAlign w:val="center"/>
          </w:tcPr>
          <w:p w14:paraId="65713A04">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2C9BEC2B">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28E22F34">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36C0F2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公共区域安保防空率</w:t>
            </w:r>
          </w:p>
        </w:tc>
        <w:tc>
          <w:tcPr>
            <w:tcW w:w="404" w:type="pct"/>
            <w:tcBorders>
              <w:top w:val="single" w:color="000000" w:sz="4" w:space="0"/>
              <w:left w:val="single" w:color="000000" w:sz="4" w:space="0"/>
              <w:bottom w:val="nil"/>
              <w:right w:val="single" w:color="000000" w:sz="4" w:space="0"/>
            </w:tcBorders>
            <w:shd w:val="clear"/>
            <w:vAlign w:val="center"/>
          </w:tcPr>
          <w:p w14:paraId="382AD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7F6A3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404" w:type="pct"/>
            <w:tcBorders>
              <w:top w:val="single" w:color="000000" w:sz="4" w:space="0"/>
              <w:left w:val="single" w:color="000000" w:sz="4" w:space="0"/>
              <w:bottom w:val="nil"/>
              <w:right w:val="single" w:color="000000" w:sz="4" w:space="0"/>
            </w:tcBorders>
            <w:shd w:val="clear"/>
            <w:vAlign w:val="center"/>
          </w:tcPr>
          <w:p w14:paraId="2A7BD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3" w:type="pct"/>
            <w:tcBorders>
              <w:top w:val="single" w:color="000000" w:sz="4" w:space="0"/>
              <w:left w:val="single" w:color="000000" w:sz="4" w:space="0"/>
              <w:bottom w:val="nil"/>
              <w:right w:val="single" w:color="000000" w:sz="4" w:space="0"/>
            </w:tcBorders>
            <w:shd w:val="clear"/>
            <w:vAlign w:val="center"/>
          </w:tcPr>
          <w:p w14:paraId="4E775E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100.00</w:t>
            </w:r>
          </w:p>
        </w:tc>
        <w:tc>
          <w:tcPr>
            <w:tcW w:w="404" w:type="pct"/>
            <w:tcBorders>
              <w:top w:val="single" w:color="000000" w:sz="4" w:space="0"/>
              <w:left w:val="single" w:color="000000" w:sz="4" w:space="0"/>
              <w:bottom w:val="nil"/>
              <w:right w:val="single" w:color="000000" w:sz="4" w:space="0"/>
            </w:tcBorders>
            <w:shd w:val="clear"/>
            <w:vAlign w:val="center"/>
          </w:tcPr>
          <w:p w14:paraId="0B0146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60BDD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18" w:type="pct"/>
            <w:tcBorders>
              <w:top w:val="single" w:color="000000" w:sz="4" w:space="0"/>
              <w:left w:val="single" w:color="000000" w:sz="4" w:space="0"/>
              <w:bottom w:val="nil"/>
              <w:right w:val="single" w:color="000000" w:sz="4" w:space="0"/>
            </w:tcBorders>
            <w:shd w:val="clear"/>
            <w:vAlign w:val="center"/>
          </w:tcPr>
          <w:p w14:paraId="46E98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39" w:type="pct"/>
            <w:tcBorders>
              <w:top w:val="single" w:color="000000" w:sz="4" w:space="0"/>
              <w:left w:val="single" w:color="000000" w:sz="4" w:space="0"/>
              <w:bottom w:val="nil"/>
              <w:right w:val="single" w:color="000000" w:sz="4" w:space="0"/>
            </w:tcBorders>
            <w:shd w:val="clear"/>
            <w:vAlign w:val="center"/>
          </w:tcPr>
          <w:p w14:paraId="2453761C">
            <w:pPr>
              <w:jc w:val="center"/>
              <w:rPr>
                <w:rFonts w:hint="eastAsia" w:ascii="宋体" w:hAnsi="宋体" w:eastAsia="宋体" w:cs="宋体"/>
                <w:i w:val="0"/>
                <w:iCs w:val="0"/>
                <w:color w:val="000000"/>
                <w:sz w:val="18"/>
                <w:szCs w:val="18"/>
                <w:u w:val="none"/>
              </w:rPr>
            </w:pPr>
          </w:p>
        </w:tc>
      </w:tr>
      <w:tr w14:paraId="0F78F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vAlign w:val="center"/>
          </w:tcPr>
          <w:p w14:paraId="33D483F1">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0ADA0950">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4732A1C7">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5D15C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公共基础设施及设备正常适用率</w:t>
            </w:r>
          </w:p>
        </w:tc>
        <w:tc>
          <w:tcPr>
            <w:tcW w:w="404" w:type="pct"/>
            <w:tcBorders>
              <w:top w:val="single" w:color="000000" w:sz="4" w:space="0"/>
              <w:left w:val="single" w:color="000000" w:sz="4" w:space="0"/>
              <w:bottom w:val="nil"/>
              <w:right w:val="single" w:color="000000" w:sz="4" w:space="0"/>
            </w:tcBorders>
            <w:shd w:val="clear"/>
            <w:vAlign w:val="center"/>
          </w:tcPr>
          <w:p w14:paraId="7277B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393FF4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4D89E5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3" w:type="pct"/>
            <w:tcBorders>
              <w:top w:val="single" w:color="000000" w:sz="4" w:space="0"/>
              <w:left w:val="single" w:color="000000" w:sz="4" w:space="0"/>
              <w:bottom w:val="nil"/>
              <w:right w:val="single" w:color="000000" w:sz="4" w:space="0"/>
            </w:tcBorders>
            <w:shd w:val="clear"/>
            <w:vAlign w:val="center"/>
          </w:tcPr>
          <w:p w14:paraId="569DF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100.00</w:t>
            </w:r>
          </w:p>
        </w:tc>
        <w:tc>
          <w:tcPr>
            <w:tcW w:w="404" w:type="pct"/>
            <w:tcBorders>
              <w:top w:val="single" w:color="000000" w:sz="4" w:space="0"/>
              <w:left w:val="single" w:color="000000" w:sz="4" w:space="0"/>
              <w:bottom w:val="nil"/>
              <w:right w:val="single" w:color="000000" w:sz="4" w:space="0"/>
            </w:tcBorders>
            <w:shd w:val="clear"/>
            <w:vAlign w:val="center"/>
          </w:tcPr>
          <w:p w14:paraId="530A1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27B77A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360601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9" w:type="pct"/>
            <w:tcBorders>
              <w:top w:val="single" w:color="000000" w:sz="4" w:space="0"/>
              <w:left w:val="single" w:color="000000" w:sz="4" w:space="0"/>
              <w:bottom w:val="nil"/>
              <w:right w:val="single" w:color="000000" w:sz="4" w:space="0"/>
            </w:tcBorders>
            <w:shd w:val="clear"/>
            <w:vAlign w:val="center"/>
          </w:tcPr>
          <w:p w14:paraId="07FBED87">
            <w:pPr>
              <w:jc w:val="center"/>
              <w:rPr>
                <w:rFonts w:hint="eastAsia" w:ascii="宋体" w:hAnsi="宋体" w:eastAsia="宋体" w:cs="宋体"/>
                <w:i w:val="0"/>
                <w:iCs w:val="0"/>
                <w:color w:val="000000"/>
                <w:sz w:val="18"/>
                <w:szCs w:val="18"/>
                <w:u w:val="none"/>
              </w:rPr>
            </w:pPr>
          </w:p>
        </w:tc>
      </w:tr>
      <w:tr w14:paraId="74C64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vAlign w:val="center"/>
          </w:tcPr>
          <w:p w14:paraId="03FDE00F">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70D9CABC">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vAlign w:val="center"/>
          </w:tcPr>
          <w:p w14:paraId="7AC921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vAlign w:val="center"/>
          </w:tcPr>
          <w:p w14:paraId="59B1A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公共区域保洁次数</w:t>
            </w:r>
          </w:p>
        </w:tc>
        <w:tc>
          <w:tcPr>
            <w:tcW w:w="404" w:type="pct"/>
            <w:tcBorders>
              <w:top w:val="single" w:color="000000" w:sz="4" w:space="0"/>
              <w:left w:val="single" w:color="000000" w:sz="4" w:space="0"/>
              <w:bottom w:val="nil"/>
              <w:right w:val="single" w:color="000000" w:sz="4" w:space="0"/>
            </w:tcBorders>
            <w:shd w:val="clear"/>
            <w:vAlign w:val="center"/>
          </w:tcPr>
          <w:p w14:paraId="1DE9D0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47E243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762A8C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03" w:type="pct"/>
            <w:tcBorders>
              <w:top w:val="single" w:color="000000" w:sz="4" w:space="0"/>
              <w:left w:val="single" w:color="000000" w:sz="4" w:space="0"/>
              <w:bottom w:val="nil"/>
              <w:right w:val="single" w:color="000000" w:sz="4" w:space="0"/>
            </w:tcBorders>
            <w:shd w:val="clear"/>
            <w:vAlign w:val="center"/>
          </w:tcPr>
          <w:p w14:paraId="19B88D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2.00</w:t>
            </w:r>
          </w:p>
        </w:tc>
        <w:tc>
          <w:tcPr>
            <w:tcW w:w="404" w:type="pct"/>
            <w:tcBorders>
              <w:top w:val="single" w:color="000000" w:sz="4" w:space="0"/>
              <w:left w:val="single" w:color="000000" w:sz="4" w:space="0"/>
              <w:bottom w:val="nil"/>
              <w:right w:val="single" w:color="000000" w:sz="4" w:space="0"/>
            </w:tcBorders>
            <w:shd w:val="clear"/>
            <w:vAlign w:val="center"/>
          </w:tcPr>
          <w:p w14:paraId="14CE87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次/天</w:t>
            </w:r>
          </w:p>
        </w:tc>
        <w:tc>
          <w:tcPr>
            <w:tcW w:w="404" w:type="pct"/>
            <w:tcBorders>
              <w:top w:val="single" w:color="000000" w:sz="4" w:space="0"/>
              <w:left w:val="single" w:color="000000" w:sz="4" w:space="0"/>
              <w:bottom w:val="nil"/>
              <w:right w:val="single" w:color="000000" w:sz="4" w:space="0"/>
            </w:tcBorders>
            <w:shd w:val="clear"/>
            <w:vAlign w:val="center"/>
          </w:tcPr>
          <w:p w14:paraId="52A45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18" w:type="pct"/>
            <w:tcBorders>
              <w:top w:val="single" w:color="000000" w:sz="4" w:space="0"/>
              <w:left w:val="single" w:color="000000" w:sz="4" w:space="0"/>
              <w:bottom w:val="nil"/>
              <w:right w:val="single" w:color="000000" w:sz="4" w:space="0"/>
            </w:tcBorders>
            <w:shd w:val="clear"/>
            <w:vAlign w:val="center"/>
          </w:tcPr>
          <w:p w14:paraId="2B509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39" w:type="pct"/>
            <w:tcBorders>
              <w:top w:val="single" w:color="000000" w:sz="4" w:space="0"/>
              <w:left w:val="single" w:color="000000" w:sz="4" w:space="0"/>
              <w:bottom w:val="nil"/>
              <w:right w:val="single" w:color="000000" w:sz="4" w:space="0"/>
            </w:tcBorders>
            <w:shd w:val="clear"/>
            <w:vAlign w:val="center"/>
          </w:tcPr>
          <w:p w14:paraId="1EB87432">
            <w:pPr>
              <w:jc w:val="center"/>
              <w:rPr>
                <w:rFonts w:hint="eastAsia" w:ascii="宋体" w:hAnsi="宋体" w:eastAsia="宋体" w:cs="宋体"/>
                <w:i w:val="0"/>
                <w:iCs w:val="0"/>
                <w:color w:val="000000"/>
                <w:sz w:val="18"/>
                <w:szCs w:val="18"/>
                <w:u w:val="none"/>
              </w:rPr>
            </w:pPr>
          </w:p>
        </w:tc>
      </w:tr>
      <w:tr w14:paraId="6DC4E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vAlign w:val="center"/>
          </w:tcPr>
          <w:p w14:paraId="1B697367">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398F708D">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0C98DA99">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120825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每日安保时长</w:t>
            </w:r>
          </w:p>
        </w:tc>
        <w:tc>
          <w:tcPr>
            <w:tcW w:w="404" w:type="pct"/>
            <w:tcBorders>
              <w:top w:val="single" w:color="000000" w:sz="4" w:space="0"/>
              <w:left w:val="single" w:color="000000" w:sz="4" w:space="0"/>
              <w:bottom w:val="nil"/>
              <w:right w:val="single" w:color="000000" w:sz="4" w:space="0"/>
            </w:tcBorders>
            <w:shd w:val="clear"/>
            <w:vAlign w:val="center"/>
          </w:tcPr>
          <w:p w14:paraId="2C2E03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3AC5F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404" w:type="pct"/>
            <w:tcBorders>
              <w:top w:val="single" w:color="000000" w:sz="4" w:space="0"/>
              <w:left w:val="single" w:color="000000" w:sz="4" w:space="0"/>
              <w:bottom w:val="nil"/>
              <w:right w:val="single" w:color="000000" w:sz="4" w:space="0"/>
            </w:tcBorders>
            <w:shd w:val="clear"/>
            <w:vAlign w:val="center"/>
          </w:tcPr>
          <w:p w14:paraId="58B413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w:t>
            </w:r>
          </w:p>
        </w:tc>
        <w:tc>
          <w:tcPr>
            <w:tcW w:w="403" w:type="pct"/>
            <w:tcBorders>
              <w:top w:val="single" w:color="000000" w:sz="4" w:space="0"/>
              <w:left w:val="single" w:color="000000" w:sz="4" w:space="0"/>
              <w:bottom w:val="nil"/>
              <w:right w:val="single" w:color="000000" w:sz="4" w:space="0"/>
            </w:tcBorders>
            <w:shd w:val="clear"/>
            <w:vAlign w:val="center"/>
          </w:tcPr>
          <w:p w14:paraId="43D5E2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24.00</w:t>
            </w:r>
          </w:p>
        </w:tc>
        <w:tc>
          <w:tcPr>
            <w:tcW w:w="404" w:type="pct"/>
            <w:tcBorders>
              <w:top w:val="single" w:color="000000" w:sz="4" w:space="0"/>
              <w:left w:val="single" w:color="000000" w:sz="4" w:space="0"/>
              <w:bottom w:val="nil"/>
              <w:right w:val="single" w:color="000000" w:sz="4" w:space="0"/>
            </w:tcBorders>
            <w:shd w:val="clear"/>
            <w:vAlign w:val="center"/>
          </w:tcPr>
          <w:p w14:paraId="518EA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小时</w:t>
            </w:r>
          </w:p>
        </w:tc>
        <w:tc>
          <w:tcPr>
            <w:tcW w:w="404" w:type="pct"/>
            <w:tcBorders>
              <w:top w:val="single" w:color="000000" w:sz="4" w:space="0"/>
              <w:left w:val="single" w:color="000000" w:sz="4" w:space="0"/>
              <w:bottom w:val="nil"/>
              <w:right w:val="single" w:color="000000" w:sz="4" w:space="0"/>
            </w:tcBorders>
            <w:shd w:val="clear"/>
            <w:vAlign w:val="center"/>
          </w:tcPr>
          <w:p w14:paraId="29E93F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077C33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9" w:type="pct"/>
            <w:tcBorders>
              <w:top w:val="single" w:color="000000" w:sz="4" w:space="0"/>
              <w:left w:val="single" w:color="000000" w:sz="4" w:space="0"/>
              <w:bottom w:val="nil"/>
              <w:right w:val="single" w:color="000000" w:sz="4" w:space="0"/>
            </w:tcBorders>
            <w:shd w:val="clear"/>
            <w:vAlign w:val="center"/>
          </w:tcPr>
          <w:p w14:paraId="096E4639">
            <w:pPr>
              <w:jc w:val="center"/>
              <w:rPr>
                <w:rFonts w:hint="eastAsia" w:ascii="宋体" w:hAnsi="宋体" w:eastAsia="宋体" w:cs="宋体"/>
                <w:i w:val="0"/>
                <w:iCs w:val="0"/>
                <w:color w:val="000000"/>
                <w:sz w:val="18"/>
                <w:szCs w:val="18"/>
                <w:u w:val="none"/>
              </w:rPr>
            </w:pPr>
          </w:p>
        </w:tc>
      </w:tr>
      <w:tr w14:paraId="57877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vAlign w:val="center"/>
          </w:tcPr>
          <w:p w14:paraId="4313DFAF">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45EFC554">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7DC1ECBD">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0A286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公共基础设施及设备报修平均响应时间</w:t>
            </w:r>
          </w:p>
        </w:tc>
        <w:tc>
          <w:tcPr>
            <w:tcW w:w="404" w:type="pct"/>
            <w:tcBorders>
              <w:top w:val="single" w:color="000000" w:sz="4" w:space="0"/>
              <w:left w:val="single" w:color="000000" w:sz="4" w:space="0"/>
              <w:bottom w:val="nil"/>
              <w:right w:val="single" w:color="000000" w:sz="4" w:space="0"/>
            </w:tcBorders>
            <w:shd w:val="clear"/>
            <w:vAlign w:val="center"/>
          </w:tcPr>
          <w:p w14:paraId="17663A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1D442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0EC9B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403" w:type="pct"/>
            <w:tcBorders>
              <w:top w:val="single" w:color="000000" w:sz="4" w:space="0"/>
              <w:left w:val="single" w:color="000000" w:sz="4" w:space="0"/>
              <w:bottom w:val="nil"/>
              <w:right w:val="single" w:color="000000" w:sz="4" w:space="0"/>
            </w:tcBorders>
            <w:shd w:val="clear"/>
            <w:vAlign w:val="center"/>
          </w:tcPr>
          <w:p w14:paraId="17AD0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72EB20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小时</w:t>
            </w:r>
          </w:p>
        </w:tc>
        <w:tc>
          <w:tcPr>
            <w:tcW w:w="404" w:type="pct"/>
            <w:tcBorders>
              <w:top w:val="single" w:color="000000" w:sz="4" w:space="0"/>
              <w:left w:val="single" w:color="000000" w:sz="4" w:space="0"/>
              <w:bottom w:val="nil"/>
              <w:right w:val="single" w:color="000000" w:sz="4" w:space="0"/>
            </w:tcBorders>
            <w:shd w:val="clear"/>
            <w:vAlign w:val="center"/>
          </w:tcPr>
          <w:p w14:paraId="30C59E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1BA27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9" w:type="pct"/>
            <w:tcBorders>
              <w:top w:val="single" w:color="000000" w:sz="4" w:space="0"/>
              <w:left w:val="single" w:color="000000" w:sz="4" w:space="0"/>
              <w:bottom w:val="nil"/>
              <w:right w:val="single" w:color="000000" w:sz="4" w:space="0"/>
            </w:tcBorders>
            <w:shd w:val="clear"/>
            <w:vAlign w:val="center"/>
          </w:tcPr>
          <w:p w14:paraId="4578DA87">
            <w:pPr>
              <w:jc w:val="center"/>
              <w:rPr>
                <w:rFonts w:hint="eastAsia" w:ascii="宋体" w:hAnsi="宋体" w:eastAsia="宋体" w:cs="宋体"/>
                <w:i w:val="0"/>
                <w:iCs w:val="0"/>
                <w:color w:val="000000"/>
                <w:sz w:val="18"/>
                <w:szCs w:val="18"/>
                <w:u w:val="none"/>
              </w:rPr>
            </w:pPr>
          </w:p>
        </w:tc>
      </w:tr>
      <w:tr w14:paraId="0A4F0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vAlign w:val="center"/>
          </w:tcPr>
          <w:p w14:paraId="133AA296">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60F7ECF3">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vAlign w:val="center"/>
          </w:tcPr>
          <w:p w14:paraId="4AAC66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vAlign w:val="center"/>
          </w:tcPr>
          <w:p w14:paraId="28C828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物业费平均成本</w:t>
            </w:r>
          </w:p>
        </w:tc>
        <w:tc>
          <w:tcPr>
            <w:tcW w:w="404" w:type="pct"/>
            <w:tcBorders>
              <w:top w:val="single" w:color="000000" w:sz="4" w:space="0"/>
              <w:left w:val="single" w:color="000000" w:sz="4" w:space="0"/>
              <w:bottom w:val="nil"/>
              <w:right w:val="single" w:color="000000" w:sz="4" w:space="0"/>
            </w:tcBorders>
            <w:shd w:val="clear"/>
            <w:vAlign w:val="center"/>
          </w:tcPr>
          <w:p w14:paraId="3643F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3B806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769D4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w:t>
            </w:r>
          </w:p>
        </w:tc>
        <w:tc>
          <w:tcPr>
            <w:tcW w:w="403" w:type="pct"/>
            <w:tcBorders>
              <w:top w:val="single" w:color="000000" w:sz="4" w:space="0"/>
              <w:left w:val="single" w:color="000000" w:sz="4" w:space="0"/>
              <w:bottom w:val="nil"/>
              <w:right w:val="single" w:color="000000" w:sz="4" w:space="0"/>
            </w:tcBorders>
            <w:shd w:val="clear"/>
            <w:vAlign w:val="center"/>
          </w:tcPr>
          <w:p w14:paraId="5E5FB3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3.90</w:t>
            </w:r>
          </w:p>
        </w:tc>
        <w:tc>
          <w:tcPr>
            <w:tcW w:w="404" w:type="pct"/>
            <w:tcBorders>
              <w:top w:val="single" w:color="000000" w:sz="4" w:space="0"/>
              <w:left w:val="single" w:color="000000" w:sz="4" w:space="0"/>
              <w:bottom w:val="nil"/>
              <w:right w:val="single" w:color="000000" w:sz="4" w:space="0"/>
            </w:tcBorders>
            <w:shd w:val="clear"/>
            <w:vAlign w:val="center"/>
          </w:tcPr>
          <w:p w14:paraId="74BC51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元/平方米</w:t>
            </w:r>
          </w:p>
        </w:tc>
        <w:tc>
          <w:tcPr>
            <w:tcW w:w="404" w:type="pct"/>
            <w:tcBorders>
              <w:top w:val="single" w:color="000000" w:sz="4" w:space="0"/>
              <w:left w:val="single" w:color="000000" w:sz="4" w:space="0"/>
              <w:bottom w:val="nil"/>
              <w:right w:val="single" w:color="000000" w:sz="4" w:space="0"/>
            </w:tcBorders>
            <w:shd w:val="clear"/>
            <w:vAlign w:val="center"/>
          </w:tcPr>
          <w:p w14:paraId="331855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603055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9" w:type="pct"/>
            <w:tcBorders>
              <w:top w:val="single" w:color="000000" w:sz="4" w:space="0"/>
              <w:left w:val="single" w:color="000000" w:sz="4" w:space="0"/>
              <w:bottom w:val="nil"/>
              <w:right w:val="single" w:color="000000" w:sz="4" w:space="0"/>
            </w:tcBorders>
            <w:shd w:val="clear"/>
            <w:vAlign w:val="center"/>
          </w:tcPr>
          <w:p w14:paraId="26256801">
            <w:pPr>
              <w:jc w:val="center"/>
              <w:rPr>
                <w:rFonts w:hint="eastAsia" w:ascii="宋体" w:hAnsi="宋体" w:eastAsia="宋体" w:cs="宋体"/>
                <w:i w:val="0"/>
                <w:iCs w:val="0"/>
                <w:color w:val="000000"/>
                <w:sz w:val="18"/>
                <w:szCs w:val="18"/>
                <w:u w:val="none"/>
              </w:rPr>
            </w:pPr>
          </w:p>
        </w:tc>
      </w:tr>
      <w:tr w14:paraId="233A9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vAlign w:val="center"/>
          </w:tcPr>
          <w:p w14:paraId="506C8374">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0F52A5D8">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1A7DCC97">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29249A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保安及保洁平均工资</w:t>
            </w:r>
          </w:p>
        </w:tc>
        <w:tc>
          <w:tcPr>
            <w:tcW w:w="404" w:type="pct"/>
            <w:tcBorders>
              <w:top w:val="single" w:color="000000" w:sz="4" w:space="0"/>
              <w:left w:val="single" w:color="000000" w:sz="4" w:space="0"/>
              <w:bottom w:val="nil"/>
              <w:right w:val="single" w:color="000000" w:sz="4" w:space="0"/>
            </w:tcBorders>
            <w:shd w:val="clear"/>
            <w:vAlign w:val="center"/>
          </w:tcPr>
          <w:p w14:paraId="6F1DE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701F56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47866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2900</w:t>
            </w:r>
          </w:p>
        </w:tc>
        <w:tc>
          <w:tcPr>
            <w:tcW w:w="403" w:type="pct"/>
            <w:tcBorders>
              <w:top w:val="single" w:color="000000" w:sz="4" w:space="0"/>
              <w:left w:val="single" w:color="000000" w:sz="4" w:space="0"/>
              <w:bottom w:val="nil"/>
              <w:right w:val="single" w:color="000000" w:sz="4" w:space="0"/>
            </w:tcBorders>
            <w:shd w:val="clear"/>
            <w:vAlign w:val="center"/>
          </w:tcPr>
          <w:p w14:paraId="21CB2F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3000.00</w:t>
            </w:r>
          </w:p>
        </w:tc>
        <w:tc>
          <w:tcPr>
            <w:tcW w:w="404" w:type="pct"/>
            <w:tcBorders>
              <w:top w:val="single" w:color="000000" w:sz="4" w:space="0"/>
              <w:left w:val="single" w:color="000000" w:sz="4" w:space="0"/>
              <w:bottom w:val="nil"/>
              <w:right w:val="single" w:color="000000" w:sz="4" w:space="0"/>
            </w:tcBorders>
            <w:shd w:val="clear"/>
            <w:vAlign w:val="center"/>
          </w:tcPr>
          <w:p w14:paraId="3F113E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元/月</w:t>
            </w:r>
          </w:p>
        </w:tc>
        <w:tc>
          <w:tcPr>
            <w:tcW w:w="404" w:type="pct"/>
            <w:tcBorders>
              <w:top w:val="single" w:color="000000" w:sz="4" w:space="0"/>
              <w:left w:val="single" w:color="000000" w:sz="4" w:space="0"/>
              <w:bottom w:val="nil"/>
              <w:right w:val="single" w:color="000000" w:sz="4" w:space="0"/>
            </w:tcBorders>
            <w:shd w:val="clear"/>
            <w:vAlign w:val="center"/>
          </w:tcPr>
          <w:p w14:paraId="0D7D0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451E5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9" w:type="pct"/>
            <w:tcBorders>
              <w:top w:val="single" w:color="000000" w:sz="4" w:space="0"/>
              <w:left w:val="single" w:color="000000" w:sz="4" w:space="0"/>
              <w:bottom w:val="nil"/>
              <w:right w:val="single" w:color="000000" w:sz="4" w:space="0"/>
            </w:tcBorders>
            <w:shd w:val="clear"/>
            <w:vAlign w:val="center"/>
          </w:tcPr>
          <w:p w14:paraId="314D5878">
            <w:pPr>
              <w:jc w:val="center"/>
              <w:rPr>
                <w:rFonts w:hint="eastAsia" w:ascii="宋体" w:hAnsi="宋体" w:eastAsia="宋体" w:cs="宋体"/>
                <w:i w:val="0"/>
                <w:iCs w:val="0"/>
                <w:color w:val="000000"/>
                <w:sz w:val="18"/>
                <w:szCs w:val="18"/>
                <w:u w:val="none"/>
              </w:rPr>
            </w:pPr>
          </w:p>
        </w:tc>
      </w:tr>
      <w:tr w14:paraId="4D3B8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vAlign w:val="center"/>
          </w:tcPr>
          <w:p w14:paraId="7AD3DE0F">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vAlign w:val="center"/>
          </w:tcPr>
          <w:p w14:paraId="04D0B4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437" w:type="pct"/>
            <w:tcBorders>
              <w:top w:val="single" w:color="000000" w:sz="4" w:space="0"/>
              <w:left w:val="single" w:color="000000" w:sz="4" w:space="0"/>
              <w:bottom w:val="nil"/>
              <w:right w:val="single" w:color="000000" w:sz="4" w:space="0"/>
            </w:tcBorders>
            <w:shd w:val="clear"/>
            <w:vAlign w:val="center"/>
          </w:tcPr>
          <w:p w14:paraId="766A9D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社会效益指标</w:t>
            </w:r>
          </w:p>
        </w:tc>
        <w:tc>
          <w:tcPr>
            <w:tcW w:w="404" w:type="pct"/>
            <w:tcBorders>
              <w:top w:val="single" w:color="000000" w:sz="4" w:space="0"/>
              <w:left w:val="single" w:color="000000" w:sz="4" w:space="0"/>
              <w:bottom w:val="nil"/>
              <w:right w:val="single" w:color="000000" w:sz="4" w:space="0"/>
            </w:tcBorders>
            <w:shd w:val="clear"/>
            <w:vAlign w:val="center"/>
          </w:tcPr>
          <w:p w14:paraId="6B2A29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有效保障特种设备检验研究事业发展</w:t>
            </w:r>
          </w:p>
        </w:tc>
        <w:tc>
          <w:tcPr>
            <w:tcW w:w="404" w:type="pct"/>
            <w:tcBorders>
              <w:top w:val="single" w:color="000000" w:sz="4" w:space="0"/>
              <w:left w:val="single" w:color="000000" w:sz="4" w:space="0"/>
              <w:bottom w:val="nil"/>
              <w:right w:val="single" w:color="000000" w:sz="4" w:space="0"/>
            </w:tcBorders>
            <w:shd w:val="clear"/>
            <w:vAlign w:val="center"/>
          </w:tcPr>
          <w:p w14:paraId="3E7A2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404" w:type="pct"/>
            <w:tcBorders>
              <w:top w:val="single" w:color="000000" w:sz="4" w:space="0"/>
              <w:left w:val="single" w:color="000000" w:sz="4" w:space="0"/>
              <w:bottom w:val="nil"/>
              <w:right w:val="single" w:color="000000" w:sz="4" w:space="0"/>
            </w:tcBorders>
            <w:shd w:val="clear"/>
            <w:vAlign w:val="center"/>
          </w:tcPr>
          <w:p w14:paraId="6420A0A9">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2B803A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稳步提高</w:t>
            </w:r>
          </w:p>
        </w:tc>
        <w:tc>
          <w:tcPr>
            <w:tcW w:w="403" w:type="pct"/>
            <w:tcBorders>
              <w:top w:val="single" w:color="000000" w:sz="4" w:space="0"/>
              <w:left w:val="single" w:color="000000" w:sz="4" w:space="0"/>
              <w:bottom w:val="nil"/>
              <w:right w:val="single" w:color="000000" w:sz="4" w:space="0"/>
            </w:tcBorders>
            <w:shd w:val="clear"/>
            <w:vAlign w:val="center"/>
          </w:tcPr>
          <w:p w14:paraId="3CF526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稳步提升</w:t>
            </w:r>
          </w:p>
        </w:tc>
        <w:tc>
          <w:tcPr>
            <w:tcW w:w="404" w:type="pct"/>
            <w:tcBorders>
              <w:top w:val="single" w:color="000000" w:sz="4" w:space="0"/>
              <w:left w:val="single" w:color="000000" w:sz="4" w:space="0"/>
              <w:bottom w:val="nil"/>
              <w:right w:val="single" w:color="000000" w:sz="4" w:space="0"/>
            </w:tcBorders>
            <w:shd w:val="clear"/>
            <w:vAlign w:val="center"/>
          </w:tcPr>
          <w:p w14:paraId="320F2D4A">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327D7E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18" w:type="pct"/>
            <w:tcBorders>
              <w:top w:val="single" w:color="000000" w:sz="4" w:space="0"/>
              <w:left w:val="single" w:color="000000" w:sz="4" w:space="0"/>
              <w:bottom w:val="nil"/>
              <w:right w:val="single" w:color="000000" w:sz="4" w:space="0"/>
            </w:tcBorders>
            <w:shd w:val="clear"/>
            <w:vAlign w:val="center"/>
          </w:tcPr>
          <w:p w14:paraId="59E9D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39" w:type="pct"/>
            <w:tcBorders>
              <w:top w:val="single" w:color="000000" w:sz="4" w:space="0"/>
              <w:left w:val="single" w:color="000000" w:sz="4" w:space="0"/>
              <w:bottom w:val="nil"/>
              <w:right w:val="single" w:color="000000" w:sz="4" w:space="0"/>
            </w:tcBorders>
            <w:shd w:val="clear"/>
            <w:vAlign w:val="center"/>
          </w:tcPr>
          <w:p w14:paraId="5960BAA5">
            <w:pPr>
              <w:jc w:val="center"/>
              <w:rPr>
                <w:rFonts w:hint="eastAsia" w:ascii="宋体" w:hAnsi="宋体" w:eastAsia="宋体" w:cs="宋体"/>
                <w:i w:val="0"/>
                <w:iCs w:val="0"/>
                <w:color w:val="000000"/>
                <w:sz w:val="18"/>
                <w:szCs w:val="18"/>
                <w:u w:val="none"/>
              </w:rPr>
            </w:pPr>
          </w:p>
        </w:tc>
      </w:tr>
      <w:tr w14:paraId="10551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vAlign w:val="center"/>
          </w:tcPr>
          <w:p w14:paraId="2ED6D2A2">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2289D057">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vAlign w:val="center"/>
          </w:tcPr>
          <w:p w14:paraId="2F4D8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可持续影响指标</w:t>
            </w:r>
          </w:p>
        </w:tc>
        <w:tc>
          <w:tcPr>
            <w:tcW w:w="404" w:type="pct"/>
            <w:tcBorders>
              <w:top w:val="single" w:color="000000" w:sz="4" w:space="0"/>
              <w:left w:val="single" w:color="000000" w:sz="4" w:space="0"/>
              <w:bottom w:val="nil"/>
              <w:right w:val="single" w:color="000000" w:sz="4" w:space="0"/>
            </w:tcBorders>
            <w:shd w:val="clear"/>
            <w:vAlign w:val="center"/>
          </w:tcPr>
          <w:p w14:paraId="67497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切实保障本单位各项工作开展</w:t>
            </w:r>
          </w:p>
        </w:tc>
        <w:tc>
          <w:tcPr>
            <w:tcW w:w="404" w:type="pct"/>
            <w:tcBorders>
              <w:top w:val="single" w:color="000000" w:sz="4" w:space="0"/>
              <w:left w:val="single" w:color="000000" w:sz="4" w:space="0"/>
              <w:bottom w:val="nil"/>
              <w:right w:val="single" w:color="000000" w:sz="4" w:space="0"/>
            </w:tcBorders>
            <w:shd w:val="clear"/>
            <w:vAlign w:val="center"/>
          </w:tcPr>
          <w:p w14:paraId="53ED60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404" w:type="pct"/>
            <w:tcBorders>
              <w:top w:val="single" w:color="000000" w:sz="4" w:space="0"/>
              <w:left w:val="single" w:color="000000" w:sz="4" w:space="0"/>
              <w:bottom w:val="nil"/>
              <w:right w:val="single" w:color="000000" w:sz="4" w:space="0"/>
            </w:tcBorders>
            <w:shd w:val="clear"/>
            <w:vAlign w:val="center"/>
          </w:tcPr>
          <w:p w14:paraId="3D783C9A">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29EBED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稳步提高</w:t>
            </w:r>
          </w:p>
        </w:tc>
        <w:tc>
          <w:tcPr>
            <w:tcW w:w="403" w:type="pct"/>
            <w:tcBorders>
              <w:top w:val="single" w:color="000000" w:sz="4" w:space="0"/>
              <w:left w:val="single" w:color="000000" w:sz="4" w:space="0"/>
              <w:bottom w:val="nil"/>
              <w:right w:val="single" w:color="000000" w:sz="4" w:space="0"/>
            </w:tcBorders>
            <w:shd w:val="clear"/>
            <w:vAlign w:val="center"/>
          </w:tcPr>
          <w:p w14:paraId="6427C0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稳步提升</w:t>
            </w:r>
          </w:p>
        </w:tc>
        <w:tc>
          <w:tcPr>
            <w:tcW w:w="404" w:type="pct"/>
            <w:tcBorders>
              <w:top w:val="single" w:color="000000" w:sz="4" w:space="0"/>
              <w:left w:val="single" w:color="000000" w:sz="4" w:space="0"/>
              <w:bottom w:val="nil"/>
              <w:right w:val="single" w:color="000000" w:sz="4" w:space="0"/>
            </w:tcBorders>
            <w:shd w:val="clear"/>
            <w:vAlign w:val="center"/>
          </w:tcPr>
          <w:p w14:paraId="2D89E4E5">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588F3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18" w:type="pct"/>
            <w:tcBorders>
              <w:top w:val="single" w:color="000000" w:sz="4" w:space="0"/>
              <w:left w:val="single" w:color="000000" w:sz="4" w:space="0"/>
              <w:bottom w:val="nil"/>
              <w:right w:val="single" w:color="000000" w:sz="4" w:space="0"/>
            </w:tcBorders>
            <w:shd w:val="clear"/>
            <w:vAlign w:val="center"/>
          </w:tcPr>
          <w:p w14:paraId="6B915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39" w:type="pct"/>
            <w:tcBorders>
              <w:top w:val="single" w:color="000000" w:sz="4" w:space="0"/>
              <w:left w:val="single" w:color="000000" w:sz="4" w:space="0"/>
              <w:bottom w:val="nil"/>
              <w:right w:val="single" w:color="000000" w:sz="4" w:space="0"/>
            </w:tcBorders>
            <w:shd w:val="clear"/>
            <w:vAlign w:val="center"/>
          </w:tcPr>
          <w:p w14:paraId="24EFD116">
            <w:pPr>
              <w:jc w:val="center"/>
              <w:rPr>
                <w:rFonts w:hint="eastAsia" w:ascii="宋体" w:hAnsi="宋体" w:eastAsia="宋体" w:cs="宋体"/>
                <w:i w:val="0"/>
                <w:iCs w:val="0"/>
                <w:color w:val="000000"/>
                <w:sz w:val="18"/>
                <w:szCs w:val="18"/>
                <w:u w:val="none"/>
              </w:rPr>
            </w:pPr>
          </w:p>
        </w:tc>
      </w:tr>
      <w:tr w14:paraId="231ED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vAlign w:val="center"/>
          </w:tcPr>
          <w:p w14:paraId="74ECA852">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vAlign w:val="center"/>
          </w:tcPr>
          <w:p w14:paraId="441FF3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w:t>
            </w:r>
          </w:p>
        </w:tc>
        <w:tc>
          <w:tcPr>
            <w:tcW w:w="437" w:type="pct"/>
            <w:tcBorders>
              <w:top w:val="single" w:color="000000" w:sz="4" w:space="0"/>
              <w:left w:val="single" w:color="000000" w:sz="4" w:space="0"/>
              <w:bottom w:val="nil"/>
              <w:right w:val="single" w:color="000000" w:sz="4" w:space="0"/>
            </w:tcBorders>
            <w:shd w:val="clear"/>
            <w:vAlign w:val="center"/>
          </w:tcPr>
          <w:p w14:paraId="1F63E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服务对象满意度指标</w:t>
            </w:r>
          </w:p>
        </w:tc>
        <w:tc>
          <w:tcPr>
            <w:tcW w:w="404" w:type="pct"/>
            <w:tcBorders>
              <w:top w:val="single" w:color="000000" w:sz="4" w:space="0"/>
              <w:left w:val="single" w:color="000000" w:sz="4" w:space="0"/>
              <w:bottom w:val="nil"/>
              <w:right w:val="single" w:color="000000" w:sz="4" w:space="0"/>
            </w:tcBorders>
            <w:shd w:val="clear"/>
            <w:vAlign w:val="center"/>
          </w:tcPr>
          <w:p w14:paraId="400EA0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单位职工对物业服务满意度</w:t>
            </w:r>
          </w:p>
        </w:tc>
        <w:tc>
          <w:tcPr>
            <w:tcW w:w="404" w:type="pct"/>
            <w:tcBorders>
              <w:top w:val="single" w:color="000000" w:sz="4" w:space="0"/>
              <w:left w:val="single" w:color="000000" w:sz="4" w:space="0"/>
              <w:bottom w:val="nil"/>
              <w:right w:val="single" w:color="000000" w:sz="4" w:space="0"/>
            </w:tcBorders>
            <w:shd w:val="clear"/>
            <w:vAlign w:val="center"/>
          </w:tcPr>
          <w:p w14:paraId="03CCD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00A607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4D4B96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3" w:type="pct"/>
            <w:tcBorders>
              <w:top w:val="single" w:color="000000" w:sz="4" w:space="0"/>
              <w:left w:val="single" w:color="000000" w:sz="4" w:space="0"/>
              <w:bottom w:val="nil"/>
              <w:right w:val="single" w:color="000000" w:sz="4" w:space="0"/>
            </w:tcBorders>
            <w:shd w:val="clear"/>
            <w:vAlign w:val="center"/>
          </w:tcPr>
          <w:p w14:paraId="00577A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100.00</w:t>
            </w:r>
          </w:p>
        </w:tc>
        <w:tc>
          <w:tcPr>
            <w:tcW w:w="404" w:type="pct"/>
            <w:tcBorders>
              <w:top w:val="single" w:color="000000" w:sz="4" w:space="0"/>
              <w:left w:val="single" w:color="000000" w:sz="4" w:space="0"/>
              <w:bottom w:val="nil"/>
              <w:right w:val="single" w:color="000000" w:sz="4" w:space="0"/>
            </w:tcBorders>
            <w:shd w:val="clear"/>
            <w:vAlign w:val="center"/>
          </w:tcPr>
          <w:p w14:paraId="06995E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4DB288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18" w:type="pct"/>
            <w:tcBorders>
              <w:top w:val="single" w:color="000000" w:sz="4" w:space="0"/>
              <w:left w:val="single" w:color="000000" w:sz="4" w:space="0"/>
              <w:bottom w:val="nil"/>
              <w:right w:val="single" w:color="000000" w:sz="4" w:space="0"/>
            </w:tcBorders>
            <w:shd w:val="clear"/>
            <w:vAlign w:val="center"/>
          </w:tcPr>
          <w:p w14:paraId="4A8EE4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39" w:type="pct"/>
            <w:tcBorders>
              <w:top w:val="single" w:color="000000" w:sz="4" w:space="0"/>
              <w:left w:val="single" w:color="000000" w:sz="4" w:space="0"/>
              <w:bottom w:val="nil"/>
              <w:right w:val="single" w:color="000000" w:sz="4" w:space="0"/>
            </w:tcBorders>
            <w:shd w:val="clear"/>
            <w:vAlign w:val="center"/>
          </w:tcPr>
          <w:p w14:paraId="28B4FFA3">
            <w:pPr>
              <w:jc w:val="center"/>
              <w:rPr>
                <w:rFonts w:hint="eastAsia" w:ascii="宋体" w:hAnsi="宋体" w:eastAsia="宋体" w:cs="宋体"/>
                <w:i w:val="0"/>
                <w:iCs w:val="0"/>
                <w:color w:val="000000"/>
                <w:sz w:val="18"/>
                <w:szCs w:val="18"/>
                <w:u w:val="none"/>
              </w:rPr>
            </w:pPr>
          </w:p>
        </w:tc>
      </w:tr>
      <w:tr w14:paraId="3D3D3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37" w:type="pct"/>
            <w:gridSpan w:val="9"/>
            <w:tcBorders>
              <w:top w:val="single" w:color="000000" w:sz="4" w:space="0"/>
              <w:left w:val="single" w:color="000000" w:sz="4" w:space="0"/>
              <w:bottom w:val="single" w:color="000000" w:sz="4" w:space="0"/>
              <w:right w:val="single" w:color="000000" w:sz="4" w:space="0"/>
            </w:tcBorders>
            <w:shd w:val="clear"/>
            <w:vAlign w:val="center"/>
          </w:tcPr>
          <w:p w14:paraId="79494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7B9DE0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vAlign w:val="center"/>
          </w:tcPr>
          <w:p w14:paraId="0703AB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99.99</w:t>
            </w:r>
          </w:p>
        </w:tc>
        <w:tc>
          <w:tcPr>
            <w:tcW w:w="439" w:type="pct"/>
            <w:tcBorders>
              <w:top w:val="single" w:color="000000" w:sz="4" w:space="0"/>
              <w:left w:val="single" w:color="000000" w:sz="4" w:space="0"/>
              <w:bottom w:val="single" w:color="000000" w:sz="4" w:space="0"/>
              <w:right w:val="single" w:color="000000" w:sz="4" w:space="0"/>
            </w:tcBorders>
            <w:shd w:val="clear"/>
            <w:vAlign w:val="center"/>
          </w:tcPr>
          <w:p w14:paraId="10AE8667">
            <w:pPr>
              <w:jc w:val="center"/>
              <w:rPr>
                <w:rFonts w:hint="eastAsia" w:ascii="宋体" w:hAnsi="宋体" w:eastAsia="宋体" w:cs="宋体"/>
                <w:i w:val="0"/>
                <w:iCs w:val="0"/>
                <w:color w:val="000000"/>
                <w:sz w:val="18"/>
                <w:szCs w:val="18"/>
                <w:u w:val="none"/>
              </w:rPr>
            </w:pPr>
          </w:p>
        </w:tc>
      </w:tr>
    </w:tbl>
    <w:p w14:paraId="7E8F5E53">
      <w:pPr>
        <w:pStyle w:val="28"/>
        <w:widowControl/>
        <w:spacing w:before="240" w:after="240" w:line="560" w:lineRule="atLeast"/>
        <w:ind w:left="0" w:leftChars="0" w:firstLine="0" w:firstLineChars="0"/>
        <w:jc w:val="left"/>
        <w:rPr>
          <w:rFonts w:hint="eastAsia" w:ascii="仿宋" w:hAnsi="仿宋" w:eastAsia="仿宋" w:cs="仿宋"/>
          <w:kern w:val="2"/>
          <w:sz w:val="32"/>
          <w:szCs w:val="32"/>
          <w:lang w:val="en-US" w:eastAsia="zh-CN"/>
        </w:rPr>
      </w:pPr>
    </w:p>
    <w:p w14:paraId="0CB55BFC">
      <w:pPr>
        <w:pStyle w:val="28"/>
        <w:widowControl/>
        <w:spacing w:before="240" w:after="240" w:line="560" w:lineRule="atLeast"/>
        <w:ind w:firstLine="640"/>
        <w:jc w:val="left"/>
        <w:rPr>
          <w:rFonts w:ascii="Times New Roman" w:hAnsi="Times New Roman" w:eastAsia="Times New Roman" w:cs="Times New Roman"/>
          <w:kern w:val="0"/>
          <w:sz w:val="24"/>
        </w:rPr>
      </w:pPr>
      <w:r>
        <w:rPr>
          <w:rFonts w:hint="eastAsia" w:ascii="仿宋" w:hAnsi="仿宋" w:eastAsia="仿宋" w:cs="仿宋"/>
          <w:kern w:val="2"/>
          <w:sz w:val="32"/>
          <w:szCs w:val="32"/>
          <w:lang w:val="en-US" w:eastAsia="zh-CN"/>
        </w:rPr>
        <w:t>4.事业单位经营支出项目自评综述：</w:t>
      </w:r>
      <w:r>
        <w:rPr>
          <w:rFonts w:ascii="FangSong_GB2312" w:hAnsi="FangSong_GB2312" w:eastAsia="FangSong_GB2312" w:cs="FangSong_GB2312"/>
          <w:kern w:val="0"/>
          <w:sz w:val="32"/>
          <w:szCs w:val="32"/>
        </w:rPr>
        <w:t>根据年初设定的绩效目标，项目自评得分</w:t>
      </w:r>
      <w:r>
        <w:rPr>
          <w:rFonts w:hint="eastAsia"/>
          <w:kern w:val="0"/>
          <w:sz w:val="32"/>
          <w:szCs w:val="32"/>
          <w:u w:val="single"/>
          <w:lang w:val="en-US" w:eastAsia="zh-CN"/>
        </w:rPr>
        <w:t>100</w:t>
      </w:r>
      <w:r>
        <w:rPr>
          <w:rFonts w:ascii="FangSong_GB2312" w:hAnsi="FangSong_GB2312" w:eastAsia="FangSong_GB2312" w:cs="FangSong_GB2312"/>
          <w:kern w:val="0"/>
          <w:sz w:val="32"/>
          <w:szCs w:val="32"/>
        </w:rPr>
        <w:t>分。全年预算数为</w:t>
      </w:r>
      <w:r>
        <w:rPr>
          <w:rFonts w:hint="eastAsia"/>
          <w:kern w:val="0"/>
          <w:sz w:val="32"/>
          <w:szCs w:val="32"/>
          <w:u w:val="single"/>
          <w:lang w:val="en-US" w:eastAsia="zh-CN"/>
        </w:rPr>
        <w:t>138.88</w:t>
      </w:r>
      <w:r>
        <w:rPr>
          <w:rFonts w:ascii="FangSong_GB2312" w:hAnsi="FangSong_GB2312" w:eastAsia="FangSong_GB2312" w:cs="FangSong_GB2312"/>
          <w:kern w:val="0"/>
          <w:sz w:val="32"/>
          <w:szCs w:val="32"/>
        </w:rPr>
        <w:t>万元，执行数为</w:t>
      </w:r>
      <w:r>
        <w:rPr>
          <w:rFonts w:hint="eastAsia" w:ascii="FangSong_GB2312" w:hAnsi="FangSong_GB2312" w:eastAsia="FangSong_GB2312" w:cs="FangSong_GB2312"/>
          <w:kern w:val="0"/>
          <w:sz w:val="32"/>
          <w:szCs w:val="32"/>
          <w:lang w:val="en-US" w:eastAsia="zh-CN"/>
        </w:rPr>
        <w:t>138.88</w:t>
      </w:r>
      <w:r>
        <w:rPr>
          <w:rFonts w:ascii="FangSong_GB2312" w:hAnsi="FangSong_GB2312" w:eastAsia="FangSong_GB2312" w:cs="FangSong_GB2312"/>
          <w:kern w:val="0"/>
          <w:sz w:val="32"/>
          <w:szCs w:val="32"/>
        </w:rPr>
        <w:t>万元，完成预算的</w:t>
      </w:r>
      <w:r>
        <w:rPr>
          <w:rFonts w:hint="eastAsia"/>
          <w:kern w:val="0"/>
          <w:sz w:val="32"/>
          <w:szCs w:val="32"/>
          <w:u w:val="single"/>
          <w:lang w:val="en-US" w:eastAsia="zh-CN"/>
        </w:rPr>
        <w:t>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6CACBA27">
      <w:pPr>
        <w:topLinePunct/>
        <w:spacing w:line="520" w:lineRule="exact"/>
        <w:ind w:firstLine="640"/>
        <w:outlineLvl w:val="1"/>
        <w:rPr>
          <w:rFonts w:ascii="楷体" w:hAnsi="楷体" w:eastAsia="楷体" w:cs="楷体"/>
          <w:b/>
          <w:bCs/>
          <w:kern w:val="0"/>
          <w:sz w:val="32"/>
          <w:szCs w:val="32"/>
        </w:rPr>
      </w:pPr>
      <w:r>
        <w:rPr>
          <w:rFonts w:ascii="FangSong_GB2312" w:hAnsi="FangSong_GB2312" w:eastAsia="FangSong_GB2312" w:cs="FangSong_GB2312"/>
          <w:kern w:val="0"/>
          <w:sz w:val="32"/>
          <w:szCs w:val="32"/>
        </w:rPr>
        <w:t>项目绩效目标完成情况</w:t>
      </w:r>
      <w:r>
        <w:rPr>
          <w:rFonts w:hint="eastAsia" w:ascii="FangSong_GB2312" w:hAnsi="FangSong_GB2312" w:eastAsia="FangSong_GB2312" w:cs="FangSong_GB2312"/>
          <w:kern w:val="0"/>
          <w:sz w:val="32"/>
          <w:szCs w:val="32"/>
          <w:lang w:eastAsia="zh-CN"/>
        </w:rPr>
        <w:t>：</w:t>
      </w:r>
      <w:r>
        <w:rPr>
          <w:rFonts w:hint="eastAsia" w:ascii="仿宋" w:hAnsi="仿宋" w:eastAsia="仿宋" w:cs="仿宋"/>
          <w:sz w:val="32"/>
          <w:szCs w:val="32"/>
        </w:rPr>
        <w:t>截止</w:t>
      </w:r>
      <w:r>
        <w:rPr>
          <w:rFonts w:ascii="仿宋" w:hAnsi="仿宋" w:eastAsia="仿宋" w:cs="仿宋"/>
          <w:sz w:val="32"/>
          <w:szCs w:val="32"/>
        </w:rPr>
        <w:t>2025年12月31日，</w:t>
      </w:r>
      <w:r>
        <w:rPr>
          <w:rFonts w:hint="eastAsia" w:ascii="仿宋" w:hAnsi="仿宋" w:eastAsia="仿宋" w:cs="仿宋"/>
          <w:sz w:val="32"/>
          <w:szCs w:val="32"/>
        </w:rPr>
        <w:t>事业单位经营支出项目资金产出</w:t>
      </w:r>
      <w:r>
        <w:rPr>
          <w:rFonts w:ascii="仿宋" w:hAnsi="仿宋" w:eastAsia="仿宋" w:cs="仿宋"/>
          <w:sz w:val="32"/>
          <w:szCs w:val="32"/>
        </w:rPr>
        <w:t>为138.88万元，全部用于特种设备的检验检测工作。主要用于弥补劳务费、福利费、工会经费及税金及附加费用等。共检验承压类特种设备1024台；检验机电类特种设备3916台；检验各类气瓶15363只，校验安全阀4942只，特种设备作业人员培训人数550人次，应急安全管理人员培训人数2215人次，新增特种设备检验日常用设备数量15台/套。</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00"/>
        <w:gridCol w:w="702"/>
        <w:gridCol w:w="700"/>
        <w:gridCol w:w="756"/>
        <w:gridCol w:w="647"/>
        <w:gridCol w:w="652"/>
        <w:gridCol w:w="846"/>
        <w:gridCol w:w="846"/>
        <w:gridCol w:w="655"/>
        <w:gridCol w:w="647"/>
        <w:gridCol w:w="672"/>
        <w:gridCol w:w="699"/>
      </w:tblGrid>
      <w:tr w14:paraId="2F438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vAlign w:val="center"/>
          </w:tcPr>
          <w:p w14:paraId="11E303D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(2025年度）</w:t>
            </w:r>
          </w:p>
        </w:tc>
      </w:tr>
      <w:tr w14:paraId="6DC3E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tcBorders>
              <w:top w:val="single" w:color="000000" w:sz="4" w:space="0"/>
              <w:left w:val="single" w:color="000000" w:sz="4" w:space="0"/>
              <w:bottom w:val="single" w:color="000000" w:sz="4" w:space="0"/>
              <w:right w:val="single" w:color="000000" w:sz="4" w:space="0"/>
            </w:tcBorders>
            <w:shd w:val="clear"/>
            <w:vAlign w:val="center"/>
          </w:tcPr>
          <w:p w14:paraId="5CCB78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4126" w:type="pct"/>
            <w:gridSpan w:val="10"/>
            <w:tcBorders>
              <w:top w:val="single" w:color="000000" w:sz="4" w:space="0"/>
              <w:left w:val="single" w:color="000000" w:sz="4" w:space="0"/>
              <w:bottom w:val="single" w:color="000000" w:sz="4" w:space="0"/>
              <w:right w:val="single" w:color="000000" w:sz="4" w:space="0"/>
            </w:tcBorders>
            <w:shd w:val="clear"/>
            <w:vAlign w:val="center"/>
          </w:tcPr>
          <w:p w14:paraId="07169C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事业单位经营支出</w:t>
            </w:r>
          </w:p>
        </w:tc>
      </w:tr>
      <w:tr w14:paraId="5620B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tcBorders>
              <w:top w:val="single" w:color="000000" w:sz="4" w:space="0"/>
              <w:left w:val="single" w:color="000000" w:sz="4" w:space="0"/>
              <w:bottom w:val="single" w:color="000000" w:sz="4" w:space="0"/>
              <w:right w:val="single" w:color="000000" w:sz="4" w:space="0"/>
            </w:tcBorders>
            <w:shd w:val="clear"/>
            <w:vAlign w:val="center"/>
          </w:tcPr>
          <w:p w14:paraId="38A7BC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w:t>
            </w:r>
          </w:p>
        </w:tc>
        <w:tc>
          <w:tcPr>
            <w:tcW w:w="1651" w:type="pct"/>
            <w:gridSpan w:val="4"/>
            <w:tcBorders>
              <w:top w:val="single" w:color="000000" w:sz="4" w:space="0"/>
              <w:left w:val="single" w:color="000000" w:sz="4" w:space="0"/>
              <w:bottom w:val="single" w:color="000000" w:sz="4" w:space="0"/>
              <w:right w:val="single" w:color="000000" w:sz="4" w:space="0"/>
            </w:tcBorders>
            <w:shd w:val="clear"/>
            <w:vAlign w:val="center"/>
          </w:tcPr>
          <w:p w14:paraId="3D01F6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内蒙古自治区市场监督管理局部门</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747738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vAlign w:val="center"/>
          </w:tcPr>
          <w:p w14:paraId="78DD2E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内蒙古自治区特种设备检验研究院兴安分院</w:t>
            </w:r>
          </w:p>
        </w:tc>
      </w:tr>
      <w:tr w14:paraId="58ECC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1A47C7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0CCBA70D">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484113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09482E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17E5B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59D04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628082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2B9643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4962D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7221C2A3">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42CA2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6AA7C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138.88</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11EFE3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138.88</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51D002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138.88 </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747E59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7D275E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100.00 </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08363E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 </w:t>
            </w:r>
          </w:p>
        </w:tc>
      </w:tr>
      <w:tr w14:paraId="19040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9"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733BB56">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4C0993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5743D6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6AEF13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095FD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90B2A43">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19430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437" w:type="pct"/>
            <w:tcBorders>
              <w:top w:val="single" w:color="000000" w:sz="4" w:space="0"/>
              <w:left w:val="single" w:color="000000" w:sz="4" w:space="0"/>
              <w:bottom w:val="single" w:color="000000" w:sz="4" w:space="0"/>
              <w:right w:val="single" w:color="000000" w:sz="4" w:space="0"/>
            </w:tcBorders>
            <w:shd w:val="clear"/>
            <w:noWrap/>
            <w:vAlign w:val="center"/>
          </w:tcPr>
          <w:p w14:paraId="62234E3D">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65583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F5E7019">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234850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02D0B89">
            <w:pPr>
              <w:rPr>
                <w:rFonts w:hint="eastAsia" w:ascii="宋体" w:hAnsi="宋体" w:eastAsia="宋体" w:cs="宋体"/>
                <w:i w:val="0"/>
                <w:iCs w:val="0"/>
                <w:color w:val="000000"/>
                <w:sz w:val="18"/>
                <w:szCs w:val="18"/>
                <w:u w:val="none"/>
              </w:rPr>
            </w:pP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561F859B">
            <w:pPr>
              <w:jc w:val="center"/>
              <w:rPr>
                <w:rFonts w:hint="eastAsia" w:ascii="宋体" w:hAnsi="宋体" w:eastAsia="宋体" w:cs="宋体"/>
                <w:i w:val="0"/>
                <w:iCs w:val="0"/>
                <w:color w:val="000000"/>
                <w:sz w:val="18"/>
                <w:szCs w:val="18"/>
                <w:u w:val="none"/>
              </w:rPr>
            </w:pP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3610DD3C">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1A39F26">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60FDF39E">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noWrap/>
            <w:vAlign w:val="center"/>
          </w:tcPr>
          <w:p w14:paraId="3675BDED">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7B8EE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B57B417">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00EEE8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9EA2C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138.88</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58753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138.88</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68A5E0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138.88 </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588FF297">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3067C5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100.00 </w:t>
            </w:r>
          </w:p>
        </w:tc>
        <w:tc>
          <w:tcPr>
            <w:tcW w:w="437" w:type="pct"/>
            <w:tcBorders>
              <w:top w:val="single" w:color="000000" w:sz="4" w:space="0"/>
              <w:left w:val="single" w:color="000000" w:sz="4" w:space="0"/>
              <w:bottom w:val="single" w:color="000000" w:sz="4" w:space="0"/>
              <w:right w:val="single" w:color="000000" w:sz="4" w:space="0"/>
            </w:tcBorders>
            <w:shd w:val="clear"/>
            <w:noWrap/>
            <w:vAlign w:val="center"/>
          </w:tcPr>
          <w:p w14:paraId="3C7923A0">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26A0A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73"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73B03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vAlign w:val="center"/>
          </w:tcPr>
          <w:p w14:paraId="7529D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2071" w:type="pct"/>
            <w:gridSpan w:val="5"/>
            <w:tcBorders>
              <w:top w:val="single" w:color="000000" w:sz="4" w:space="0"/>
              <w:left w:val="single" w:color="000000" w:sz="4" w:space="0"/>
              <w:bottom w:val="single" w:color="000000" w:sz="4" w:space="0"/>
              <w:right w:val="single" w:color="000000" w:sz="4" w:space="0"/>
            </w:tcBorders>
            <w:shd w:val="clear"/>
            <w:vAlign w:val="center"/>
          </w:tcPr>
          <w:p w14:paraId="2055D1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0596D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22"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F94B3A6">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vAlign w:val="center"/>
          </w:tcPr>
          <w:p w14:paraId="64F74B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据《特种设备安全监察条例》等相关规定，通过开展锅炉压力容器与特种设备安全监管，提高人员专业技能，为行政监管部门提供技术支撑，防止和减少事故发生，保障人民群众生命和财产安全,严格执行相关政策，保障工资及时发放、足额发放，预算编制科学合理，减少结余资金。</w:t>
            </w:r>
          </w:p>
        </w:tc>
        <w:tc>
          <w:tcPr>
            <w:tcW w:w="2071" w:type="pct"/>
            <w:gridSpan w:val="5"/>
            <w:tcBorders>
              <w:top w:val="single" w:color="000000" w:sz="4" w:space="0"/>
              <w:left w:val="single" w:color="000000" w:sz="4" w:space="0"/>
              <w:bottom w:val="single" w:color="000000" w:sz="4" w:space="0"/>
              <w:right w:val="single" w:color="000000" w:sz="4" w:space="0"/>
            </w:tcBorders>
            <w:shd w:val="clear"/>
            <w:vAlign w:val="center"/>
          </w:tcPr>
          <w:p w14:paraId="5A6AC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截至12月31日，我院已完成锅炉委托检验、锅炉压力容器管道检验、起重机械检验、气瓶委托检验以及开展专业技术培训等业务，我院圆满完成了今年任务目标。共计完成经营收入1374.19万元。</w:t>
            </w:r>
          </w:p>
        </w:tc>
      </w:tr>
      <w:tr w14:paraId="6AB68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9" w:hRule="atLeast"/>
        </w:trPr>
        <w:tc>
          <w:tcPr>
            <w:tcW w:w="436" w:type="pct"/>
            <w:tcBorders>
              <w:top w:val="single" w:color="000000" w:sz="4" w:space="0"/>
              <w:left w:val="single" w:color="000000" w:sz="4" w:space="0"/>
              <w:bottom w:val="single" w:color="000000" w:sz="4" w:space="0"/>
              <w:right w:val="single" w:color="000000" w:sz="4" w:space="0"/>
            </w:tcBorders>
            <w:shd w:val="clear"/>
            <w:vAlign w:val="center"/>
          </w:tcPr>
          <w:p w14:paraId="39B9A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2B2594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049386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65D5AB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5D2AB8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96A0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6A0C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D64C1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CC0A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C150E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418" w:type="pct"/>
            <w:tcBorders>
              <w:top w:val="single" w:color="000000" w:sz="4" w:space="0"/>
              <w:left w:val="single" w:color="000000" w:sz="4" w:space="0"/>
              <w:bottom w:val="single" w:color="000000" w:sz="4" w:space="0"/>
              <w:right w:val="single" w:color="000000" w:sz="4" w:space="0"/>
            </w:tcBorders>
            <w:shd w:val="clear"/>
            <w:vAlign w:val="center"/>
          </w:tcPr>
          <w:p w14:paraId="033DC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254F51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43236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restart"/>
            <w:tcBorders>
              <w:top w:val="single" w:color="000000" w:sz="4" w:space="0"/>
              <w:left w:val="single" w:color="000000" w:sz="4" w:space="0"/>
              <w:bottom w:val="nil"/>
              <w:right w:val="single" w:color="000000" w:sz="4" w:space="0"/>
            </w:tcBorders>
            <w:shd w:val="clear"/>
            <w:vAlign w:val="center"/>
          </w:tcPr>
          <w:p w14:paraId="562DB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436" w:type="pct"/>
            <w:vMerge w:val="restart"/>
            <w:tcBorders>
              <w:top w:val="single" w:color="000000" w:sz="4" w:space="0"/>
              <w:left w:val="single" w:color="000000" w:sz="4" w:space="0"/>
              <w:bottom w:val="nil"/>
              <w:right w:val="single" w:color="000000" w:sz="4" w:space="0"/>
            </w:tcBorders>
            <w:shd w:val="clear"/>
            <w:vAlign w:val="center"/>
          </w:tcPr>
          <w:p w14:paraId="23254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436" w:type="pct"/>
            <w:vMerge w:val="restart"/>
            <w:tcBorders>
              <w:top w:val="single" w:color="000000" w:sz="4" w:space="0"/>
              <w:left w:val="single" w:color="000000" w:sz="4" w:space="0"/>
              <w:bottom w:val="nil"/>
              <w:right w:val="single" w:color="000000" w:sz="4" w:space="0"/>
            </w:tcBorders>
            <w:shd w:val="clear"/>
            <w:vAlign w:val="center"/>
          </w:tcPr>
          <w:p w14:paraId="41382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vAlign w:val="center"/>
          </w:tcPr>
          <w:p w14:paraId="7C9F2E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完成机电类特种设备委托检验数量</w:t>
            </w:r>
          </w:p>
        </w:tc>
        <w:tc>
          <w:tcPr>
            <w:tcW w:w="404" w:type="pct"/>
            <w:tcBorders>
              <w:top w:val="single" w:color="000000" w:sz="4" w:space="0"/>
              <w:left w:val="single" w:color="000000" w:sz="4" w:space="0"/>
              <w:bottom w:val="nil"/>
              <w:right w:val="single" w:color="000000" w:sz="4" w:space="0"/>
            </w:tcBorders>
            <w:shd w:val="clear"/>
            <w:vAlign w:val="center"/>
          </w:tcPr>
          <w:p w14:paraId="0FD40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70E0B5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24236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3050</w:t>
            </w:r>
          </w:p>
        </w:tc>
        <w:tc>
          <w:tcPr>
            <w:tcW w:w="404" w:type="pct"/>
            <w:tcBorders>
              <w:top w:val="single" w:color="000000" w:sz="4" w:space="0"/>
              <w:left w:val="single" w:color="000000" w:sz="4" w:space="0"/>
              <w:bottom w:val="nil"/>
              <w:right w:val="single" w:color="000000" w:sz="4" w:space="0"/>
            </w:tcBorders>
            <w:shd w:val="clear"/>
            <w:vAlign w:val="center"/>
          </w:tcPr>
          <w:p w14:paraId="49AD02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3916</w:t>
            </w:r>
          </w:p>
        </w:tc>
        <w:tc>
          <w:tcPr>
            <w:tcW w:w="404" w:type="pct"/>
            <w:tcBorders>
              <w:top w:val="single" w:color="000000" w:sz="4" w:space="0"/>
              <w:left w:val="single" w:color="000000" w:sz="4" w:space="0"/>
              <w:bottom w:val="nil"/>
              <w:right w:val="single" w:color="000000" w:sz="4" w:space="0"/>
            </w:tcBorders>
            <w:shd w:val="clear"/>
            <w:vAlign w:val="center"/>
          </w:tcPr>
          <w:p w14:paraId="20007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404" w:type="pct"/>
            <w:tcBorders>
              <w:top w:val="single" w:color="000000" w:sz="4" w:space="0"/>
              <w:left w:val="single" w:color="000000" w:sz="4" w:space="0"/>
              <w:bottom w:val="nil"/>
              <w:right w:val="single" w:color="000000" w:sz="4" w:space="0"/>
            </w:tcBorders>
            <w:shd w:val="clear"/>
            <w:vAlign w:val="center"/>
          </w:tcPr>
          <w:p w14:paraId="08AB6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18" w:type="pct"/>
            <w:tcBorders>
              <w:top w:val="single" w:color="000000" w:sz="4" w:space="0"/>
              <w:left w:val="single" w:color="000000" w:sz="4" w:space="0"/>
              <w:bottom w:val="nil"/>
              <w:right w:val="single" w:color="000000" w:sz="4" w:space="0"/>
            </w:tcBorders>
            <w:shd w:val="clear"/>
            <w:vAlign w:val="center"/>
          </w:tcPr>
          <w:p w14:paraId="486FE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37" w:type="pct"/>
            <w:tcBorders>
              <w:top w:val="single" w:color="000000" w:sz="4" w:space="0"/>
              <w:left w:val="single" w:color="000000" w:sz="4" w:space="0"/>
              <w:bottom w:val="nil"/>
              <w:right w:val="single" w:color="000000" w:sz="4" w:space="0"/>
            </w:tcBorders>
            <w:shd w:val="clear"/>
            <w:vAlign w:val="center"/>
          </w:tcPr>
          <w:p w14:paraId="0C9A23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我院本年度省外机电类检验业务增加，因而检验数量增加。整改措施：根据业务实际合理设置目标值。</w:t>
            </w:r>
          </w:p>
        </w:tc>
      </w:tr>
      <w:tr w14:paraId="62ED8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067C4893">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9ADF520">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D44E949">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6D802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完成承压类特种设备委托检验数量</w:t>
            </w:r>
          </w:p>
        </w:tc>
        <w:tc>
          <w:tcPr>
            <w:tcW w:w="404" w:type="pct"/>
            <w:tcBorders>
              <w:top w:val="single" w:color="000000" w:sz="4" w:space="0"/>
              <w:left w:val="single" w:color="000000" w:sz="4" w:space="0"/>
              <w:bottom w:val="nil"/>
              <w:right w:val="single" w:color="000000" w:sz="4" w:space="0"/>
            </w:tcBorders>
            <w:shd w:val="clear"/>
            <w:vAlign w:val="center"/>
          </w:tcPr>
          <w:p w14:paraId="69198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79CC56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6B9040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w:t>
            </w:r>
          </w:p>
        </w:tc>
        <w:tc>
          <w:tcPr>
            <w:tcW w:w="404" w:type="pct"/>
            <w:tcBorders>
              <w:top w:val="single" w:color="000000" w:sz="4" w:space="0"/>
              <w:left w:val="single" w:color="000000" w:sz="4" w:space="0"/>
              <w:bottom w:val="nil"/>
              <w:right w:val="single" w:color="000000" w:sz="4" w:space="0"/>
            </w:tcBorders>
            <w:shd w:val="clear"/>
            <w:vAlign w:val="center"/>
          </w:tcPr>
          <w:p w14:paraId="71EA6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1024</w:t>
            </w:r>
          </w:p>
        </w:tc>
        <w:tc>
          <w:tcPr>
            <w:tcW w:w="404" w:type="pct"/>
            <w:tcBorders>
              <w:top w:val="single" w:color="000000" w:sz="4" w:space="0"/>
              <w:left w:val="single" w:color="000000" w:sz="4" w:space="0"/>
              <w:bottom w:val="nil"/>
              <w:right w:val="single" w:color="000000" w:sz="4" w:space="0"/>
            </w:tcBorders>
            <w:shd w:val="clear"/>
            <w:vAlign w:val="center"/>
          </w:tcPr>
          <w:p w14:paraId="7B8CC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404" w:type="pct"/>
            <w:tcBorders>
              <w:top w:val="single" w:color="000000" w:sz="4" w:space="0"/>
              <w:left w:val="single" w:color="000000" w:sz="4" w:space="0"/>
              <w:bottom w:val="nil"/>
              <w:right w:val="single" w:color="000000" w:sz="4" w:space="0"/>
            </w:tcBorders>
            <w:shd w:val="clear"/>
            <w:vAlign w:val="center"/>
          </w:tcPr>
          <w:p w14:paraId="6275DE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18" w:type="pct"/>
            <w:tcBorders>
              <w:top w:val="single" w:color="000000" w:sz="4" w:space="0"/>
              <w:left w:val="single" w:color="000000" w:sz="4" w:space="0"/>
              <w:bottom w:val="nil"/>
              <w:right w:val="single" w:color="000000" w:sz="4" w:space="0"/>
            </w:tcBorders>
            <w:shd w:val="clear"/>
            <w:vAlign w:val="center"/>
          </w:tcPr>
          <w:p w14:paraId="4F0637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37" w:type="pct"/>
            <w:tcBorders>
              <w:top w:val="single" w:color="000000" w:sz="4" w:space="0"/>
              <w:left w:val="single" w:color="000000" w:sz="4" w:space="0"/>
              <w:bottom w:val="nil"/>
              <w:right w:val="single" w:color="000000" w:sz="4" w:space="0"/>
            </w:tcBorders>
            <w:shd w:val="clear"/>
            <w:vAlign w:val="center"/>
          </w:tcPr>
          <w:p w14:paraId="67A49D60">
            <w:pPr>
              <w:jc w:val="center"/>
              <w:rPr>
                <w:rFonts w:hint="eastAsia" w:ascii="宋体" w:hAnsi="宋体" w:eastAsia="宋体" w:cs="宋体"/>
                <w:i w:val="0"/>
                <w:iCs w:val="0"/>
                <w:color w:val="000000"/>
                <w:sz w:val="18"/>
                <w:szCs w:val="18"/>
                <w:u w:val="none"/>
              </w:rPr>
            </w:pPr>
          </w:p>
        </w:tc>
      </w:tr>
      <w:tr w14:paraId="72960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34BFAC2">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406D71B6">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0F88B17">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598CB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完成气瓶委托检验数量</w:t>
            </w:r>
          </w:p>
        </w:tc>
        <w:tc>
          <w:tcPr>
            <w:tcW w:w="404" w:type="pct"/>
            <w:tcBorders>
              <w:top w:val="single" w:color="000000" w:sz="4" w:space="0"/>
              <w:left w:val="single" w:color="000000" w:sz="4" w:space="0"/>
              <w:bottom w:val="nil"/>
              <w:right w:val="single" w:color="000000" w:sz="4" w:space="0"/>
            </w:tcBorders>
            <w:shd w:val="clear"/>
            <w:vAlign w:val="center"/>
          </w:tcPr>
          <w:p w14:paraId="2B3F84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2B442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6379A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15000</w:t>
            </w:r>
          </w:p>
        </w:tc>
        <w:tc>
          <w:tcPr>
            <w:tcW w:w="404" w:type="pct"/>
            <w:tcBorders>
              <w:top w:val="single" w:color="000000" w:sz="4" w:space="0"/>
              <w:left w:val="single" w:color="000000" w:sz="4" w:space="0"/>
              <w:bottom w:val="nil"/>
              <w:right w:val="single" w:color="000000" w:sz="4" w:space="0"/>
            </w:tcBorders>
            <w:shd w:val="clear"/>
            <w:vAlign w:val="center"/>
          </w:tcPr>
          <w:p w14:paraId="7BE14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15363</w:t>
            </w:r>
          </w:p>
        </w:tc>
        <w:tc>
          <w:tcPr>
            <w:tcW w:w="404" w:type="pct"/>
            <w:tcBorders>
              <w:top w:val="single" w:color="000000" w:sz="4" w:space="0"/>
              <w:left w:val="single" w:color="000000" w:sz="4" w:space="0"/>
              <w:bottom w:val="nil"/>
              <w:right w:val="single" w:color="000000" w:sz="4" w:space="0"/>
            </w:tcBorders>
            <w:shd w:val="clear"/>
            <w:vAlign w:val="center"/>
          </w:tcPr>
          <w:p w14:paraId="7E36D6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只</w:t>
            </w:r>
          </w:p>
        </w:tc>
        <w:tc>
          <w:tcPr>
            <w:tcW w:w="404" w:type="pct"/>
            <w:tcBorders>
              <w:top w:val="single" w:color="000000" w:sz="4" w:space="0"/>
              <w:left w:val="single" w:color="000000" w:sz="4" w:space="0"/>
              <w:bottom w:val="nil"/>
              <w:right w:val="single" w:color="000000" w:sz="4" w:space="0"/>
            </w:tcBorders>
            <w:shd w:val="clear"/>
            <w:vAlign w:val="center"/>
          </w:tcPr>
          <w:p w14:paraId="6906DD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18" w:type="pct"/>
            <w:tcBorders>
              <w:top w:val="single" w:color="000000" w:sz="4" w:space="0"/>
              <w:left w:val="single" w:color="000000" w:sz="4" w:space="0"/>
              <w:bottom w:val="nil"/>
              <w:right w:val="single" w:color="000000" w:sz="4" w:space="0"/>
            </w:tcBorders>
            <w:shd w:val="clear"/>
            <w:vAlign w:val="center"/>
          </w:tcPr>
          <w:p w14:paraId="2E3867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37" w:type="pct"/>
            <w:tcBorders>
              <w:top w:val="single" w:color="000000" w:sz="4" w:space="0"/>
              <w:left w:val="single" w:color="000000" w:sz="4" w:space="0"/>
              <w:bottom w:val="nil"/>
              <w:right w:val="single" w:color="000000" w:sz="4" w:space="0"/>
            </w:tcBorders>
            <w:shd w:val="clear"/>
            <w:vAlign w:val="center"/>
          </w:tcPr>
          <w:p w14:paraId="039142F6">
            <w:pPr>
              <w:jc w:val="center"/>
              <w:rPr>
                <w:rFonts w:hint="eastAsia" w:ascii="宋体" w:hAnsi="宋体" w:eastAsia="宋体" w:cs="宋体"/>
                <w:i w:val="0"/>
                <w:iCs w:val="0"/>
                <w:color w:val="000000"/>
                <w:sz w:val="18"/>
                <w:szCs w:val="18"/>
                <w:u w:val="none"/>
              </w:rPr>
            </w:pPr>
          </w:p>
        </w:tc>
      </w:tr>
      <w:tr w14:paraId="747E3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343A5FCE">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56648045">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23FA050">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10FD14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完成安全阀校验数量</w:t>
            </w:r>
          </w:p>
        </w:tc>
        <w:tc>
          <w:tcPr>
            <w:tcW w:w="404" w:type="pct"/>
            <w:tcBorders>
              <w:top w:val="single" w:color="000000" w:sz="4" w:space="0"/>
              <w:left w:val="single" w:color="000000" w:sz="4" w:space="0"/>
              <w:bottom w:val="nil"/>
              <w:right w:val="single" w:color="000000" w:sz="4" w:space="0"/>
            </w:tcBorders>
            <w:shd w:val="clear"/>
            <w:vAlign w:val="center"/>
          </w:tcPr>
          <w:p w14:paraId="4C14E1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797F86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2D33D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4000</w:t>
            </w:r>
          </w:p>
        </w:tc>
        <w:tc>
          <w:tcPr>
            <w:tcW w:w="404" w:type="pct"/>
            <w:tcBorders>
              <w:top w:val="single" w:color="000000" w:sz="4" w:space="0"/>
              <w:left w:val="single" w:color="000000" w:sz="4" w:space="0"/>
              <w:bottom w:val="nil"/>
              <w:right w:val="single" w:color="000000" w:sz="4" w:space="0"/>
            </w:tcBorders>
            <w:shd w:val="clear"/>
            <w:vAlign w:val="center"/>
          </w:tcPr>
          <w:p w14:paraId="3305C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4942</w:t>
            </w:r>
          </w:p>
        </w:tc>
        <w:tc>
          <w:tcPr>
            <w:tcW w:w="404" w:type="pct"/>
            <w:tcBorders>
              <w:top w:val="single" w:color="000000" w:sz="4" w:space="0"/>
              <w:left w:val="single" w:color="000000" w:sz="4" w:space="0"/>
              <w:bottom w:val="nil"/>
              <w:right w:val="single" w:color="000000" w:sz="4" w:space="0"/>
            </w:tcBorders>
            <w:shd w:val="clear"/>
            <w:vAlign w:val="center"/>
          </w:tcPr>
          <w:p w14:paraId="36A75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只</w:t>
            </w:r>
          </w:p>
        </w:tc>
        <w:tc>
          <w:tcPr>
            <w:tcW w:w="404" w:type="pct"/>
            <w:tcBorders>
              <w:top w:val="single" w:color="000000" w:sz="4" w:space="0"/>
              <w:left w:val="single" w:color="000000" w:sz="4" w:space="0"/>
              <w:bottom w:val="nil"/>
              <w:right w:val="single" w:color="000000" w:sz="4" w:space="0"/>
            </w:tcBorders>
            <w:shd w:val="clear"/>
            <w:vAlign w:val="center"/>
          </w:tcPr>
          <w:p w14:paraId="57FFAF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18" w:type="pct"/>
            <w:tcBorders>
              <w:top w:val="single" w:color="000000" w:sz="4" w:space="0"/>
              <w:left w:val="single" w:color="000000" w:sz="4" w:space="0"/>
              <w:bottom w:val="nil"/>
              <w:right w:val="single" w:color="000000" w:sz="4" w:space="0"/>
            </w:tcBorders>
            <w:shd w:val="clear"/>
            <w:vAlign w:val="center"/>
          </w:tcPr>
          <w:p w14:paraId="0BF5AE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37" w:type="pct"/>
            <w:tcBorders>
              <w:top w:val="single" w:color="000000" w:sz="4" w:space="0"/>
              <w:left w:val="single" w:color="000000" w:sz="4" w:space="0"/>
              <w:bottom w:val="nil"/>
              <w:right w:val="single" w:color="000000" w:sz="4" w:space="0"/>
            </w:tcBorders>
            <w:shd w:val="clear"/>
            <w:vAlign w:val="center"/>
          </w:tcPr>
          <w:p w14:paraId="7E584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我院本年度安全阀检验业务增加，因而检验数量增加。整改措施：根据业务实际合理设置目标值。</w:t>
            </w:r>
          </w:p>
        </w:tc>
      </w:tr>
      <w:tr w14:paraId="5B72D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2"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3B0A7557">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40D0818">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797E641">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2E191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特种设备作业人员培训人数</w:t>
            </w:r>
          </w:p>
        </w:tc>
        <w:tc>
          <w:tcPr>
            <w:tcW w:w="404" w:type="pct"/>
            <w:tcBorders>
              <w:top w:val="single" w:color="000000" w:sz="4" w:space="0"/>
              <w:left w:val="single" w:color="000000" w:sz="4" w:space="0"/>
              <w:bottom w:val="nil"/>
              <w:right w:val="single" w:color="000000" w:sz="4" w:space="0"/>
            </w:tcBorders>
            <w:shd w:val="clear"/>
            <w:vAlign w:val="center"/>
          </w:tcPr>
          <w:p w14:paraId="04A660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5D7C0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70802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600</w:t>
            </w:r>
          </w:p>
        </w:tc>
        <w:tc>
          <w:tcPr>
            <w:tcW w:w="404" w:type="pct"/>
            <w:tcBorders>
              <w:top w:val="single" w:color="000000" w:sz="4" w:space="0"/>
              <w:left w:val="single" w:color="000000" w:sz="4" w:space="0"/>
              <w:bottom w:val="nil"/>
              <w:right w:val="single" w:color="000000" w:sz="4" w:space="0"/>
            </w:tcBorders>
            <w:shd w:val="clear"/>
            <w:vAlign w:val="center"/>
          </w:tcPr>
          <w:p w14:paraId="7B7508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550</w:t>
            </w:r>
          </w:p>
        </w:tc>
        <w:tc>
          <w:tcPr>
            <w:tcW w:w="404" w:type="pct"/>
            <w:tcBorders>
              <w:top w:val="single" w:color="000000" w:sz="4" w:space="0"/>
              <w:left w:val="single" w:color="000000" w:sz="4" w:space="0"/>
              <w:bottom w:val="nil"/>
              <w:right w:val="single" w:color="000000" w:sz="4" w:space="0"/>
            </w:tcBorders>
            <w:shd w:val="clear"/>
            <w:vAlign w:val="center"/>
          </w:tcPr>
          <w:p w14:paraId="6D62A1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人/次</w:t>
            </w:r>
          </w:p>
        </w:tc>
        <w:tc>
          <w:tcPr>
            <w:tcW w:w="404" w:type="pct"/>
            <w:tcBorders>
              <w:top w:val="single" w:color="000000" w:sz="4" w:space="0"/>
              <w:left w:val="single" w:color="000000" w:sz="4" w:space="0"/>
              <w:bottom w:val="nil"/>
              <w:right w:val="single" w:color="000000" w:sz="4" w:space="0"/>
            </w:tcBorders>
            <w:shd w:val="clear"/>
            <w:vAlign w:val="center"/>
          </w:tcPr>
          <w:p w14:paraId="168C69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18" w:type="pct"/>
            <w:tcBorders>
              <w:top w:val="single" w:color="000000" w:sz="4" w:space="0"/>
              <w:left w:val="single" w:color="000000" w:sz="4" w:space="0"/>
              <w:bottom w:val="nil"/>
              <w:right w:val="single" w:color="000000" w:sz="4" w:space="0"/>
            </w:tcBorders>
            <w:shd w:val="clear"/>
            <w:vAlign w:val="center"/>
          </w:tcPr>
          <w:p w14:paraId="7E2CA4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1.83</w:t>
            </w:r>
          </w:p>
        </w:tc>
        <w:tc>
          <w:tcPr>
            <w:tcW w:w="437" w:type="pct"/>
            <w:tcBorders>
              <w:top w:val="single" w:color="000000" w:sz="4" w:space="0"/>
              <w:left w:val="single" w:color="000000" w:sz="4" w:space="0"/>
              <w:bottom w:val="nil"/>
              <w:right w:val="single" w:color="000000" w:sz="4" w:space="0"/>
            </w:tcBorders>
            <w:shd w:val="clear"/>
            <w:vAlign w:val="center"/>
          </w:tcPr>
          <w:p w14:paraId="5CC4F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2025年10月22日，区局检查组对我单位进行特种设备考试机构抽查，因设备短缺，业务暂停，因而特种设备作业人员培训数量未达标，将于2026年购入相关设备。</w:t>
            </w:r>
          </w:p>
        </w:tc>
      </w:tr>
      <w:tr w14:paraId="3864A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5A242592">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DCAD599">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4072C935">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5A8A6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应急安全管理人员培训人数</w:t>
            </w:r>
          </w:p>
        </w:tc>
        <w:tc>
          <w:tcPr>
            <w:tcW w:w="404" w:type="pct"/>
            <w:tcBorders>
              <w:top w:val="single" w:color="000000" w:sz="4" w:space="0"/>
              <w:left w:val="single" w:color="000000" w:sz="4" w:space="0"/>
              <w:bottom w:val="nil"/>
              <w:right w:val="single" w:color="000000" w:sz="4" w:space="0"/>
            </w:tcBorders>
            <w:shd w:val="clear"/>
            <w:vAlign w:val="center"/>
          </w:tcPr>
          <w:p w14:paraId="099C5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777E1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5A404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1500</w:t>
            </w:r>
          </w:p>
        </w:tc>
        <w:tc>
          <w:tcPr>
            <w:tcW w:w="404" w:type="pct"/>
            <w:tcBorders>
              <w:top w:val="single" w:color="000000" w:sz="4" w:space="0"/>
              <w:left w:val="single" w:color="000000" w:sz="4" w:space="0"/>
              <w:bottom w:val="nil"/>
              <w:right w:val="single" w:color="000000" w:sz="4" w:space="0"/>
            </w:tcBorders>
            <w:shd w:val="clear"/>
            <w:vAlign w:val="center"/>
          </w:tcPr>
          <w:p w14:paraId="422D20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2215</w:t>
            </w:r>
          </w:p>
        </w:tc>
        <w:tc>
          <w:tcPr>
            <w:tcW w:w="404" w:type="pct"/>
            <w:tcBorders>
              <w:top w:val="single" w:color="000000" w:sz="4" w:space="0"/>
              <w:left w:val="single" w:color="000000" w:sz="4" w:space="0"/>
              <w:bottom w:val="nil"/>
              <w:right w:val="single" w:color="000000" w:sz="4" w:space="0"/>
            </w:tcBorders>
            <w:shd w:val="clear"/>
            <w:vAlign w:val="center"/>
          </w:tcPr>
          <w:p w14:paraId="1FFBE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人/次</w:t>
            </w:r>
          </w:p>
        </w:tc>
        <w:tc>
          <w:tcPr>
            <w:tcW w:w="404" w:type="pct"/>
            <w:tcBorders>
              <w:top w:val="single" w:color="000000" w:sz="4" w:space="0"/>
              <w:left w:val="single" w:color="000000" w:sz="4" w:space="0"/>
              <w:bottom w:val="nil"/>
              <w:right w:val="single" w:color="000000" w:sz="4" w:space="0"/>
            </w:tcBorders>
            <w:shd w:val="clear"/>
            <w:vAlign w:val="center"/>
          </w:tcPr>
          <w:p w14:paraId="439ACC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18" w:type="pct"/>
            <w:tcBorders>
              <w:top w:val="single" w:color="000000" w:sz="4" w:space="0"/>
              <w:left w:val="single" w:color="000000" w:sz="4" w:space="0"/>
              <w:bottom w:val="nil"/>
              <w:right w:val="single" w:color="000000" w:sz="4" w:space="0"/>
            </w:tcBorders>
            <w:shd w:val="clear"/>
            <w:vAlign w:val="center"/>
          </w:tcPr>
          <w:p w14:paraId="420DDC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37" w:type="pct"/>
            <w:tcBorders>
              <w:top w:val="single" w:color="000000" w:sz="4" w:space="0"/>
              <w:left w:val="single" w:color="000000" w:sz="4" w:space="0"/>
              <w:bottom w:val="nil"/>
              <w:right w:val="single" w:color="000000" w:sz="4" w:space="0"/>
            </w:tcBorders>
            <w:shd w:val="clear"/>
            <w:vAlign w:val="center"/>
          </w:tcPr>
          <w:p w14:paraId="3B2C4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我院本年度应急安全管理人员培训班期数增加，因而培训人数增加。整改措施：根据业务实际合理设置目标值。</w:t>
            </w:r>
          </w:p>
        </w:tc>
      </w:tr>
      <w:tr w14:paraId="1171C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12FE62C9">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629A62C5">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3B9582C6">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5D4BC7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管理特种设备检验检测及配套场所面积</w:t>
            </w:r>
          </w:p>
        </w:tc>
        <w:tc>
          <w:tcPr>
            <w:tcW w:w="404" w:type="pct"/>
            <w:tcBorders>
              <w:top w:val="single" w:color="000000" w:sz="4" w:space="0"/>
              <w:left w:val="single" w:color="000000" w:sz="4" w:space="0"/>
              <w:bottom w:val="nil"/>
              <w:right w:val="single" w:color="000000" w:sz="4" w:space="0"/>
            </w:tcBorders>
            <w:shd w:val="clear"/>
            <w:vAlign w:val="center"/>
          </w:tcPr>
          <w:p w14:paraId="2041B4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14E109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404" w:type="pct"/>
            <w:tcBorders>
              <w:top w:val="single" w:color="000000" w:sz="4" w:space="0"/>
              <w:left w:val="single" w:color="000000" w:sz="4" w:space="0"/>
              <w:bottom w:val="nil"/>
              <w:right w:val="single" w:color="000000" w:sz="4" w:space="0"/>
            </w:tcBorders>
            <w:shd w:val="clear"/>
            <w:vAlign w:val="center"/>
          </w:tcPr>
          <w:p w14:paraId="4AAA6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7083</w:t>
            </w:r>
          </w:p>
        </w:tc>
        <w:tc>
          <w:tcPr>
            <w:tcW w:w="404" w:type="pct"/>
            <w:tcBorders>
              <w:top w:val="single" w:color="000000" w:sz="4" w:space="0"/>
              <w:left w:val="single" w:color="000000" w:sz="4" w:space="0"/>
              <w:bottom w:val="nil"/>
              <w:right w:val="single" w:color="000000" w:sz="4" w:space="0"/>
            </w:tcBorders>
            <w:shd w:val="clear"/>
            <w:vAlign w:val="center"/>
          </w:tcPr>
          <w:p w14:paraId="576719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7083</w:t>
            </w:r>
          </w:p>
        </w:tc>
        <w:tc>
          <w:tcPr>
            <w:tcW w:w="404" w:type="pct"/>
            <w:tcBorders>
              <w:top w:val="single" w:color="000000" w:sz="4" w:space="0"/>
              <w:left w:val="single" w:color="000000" w:sz="4" w:space="0"/>
              <w:bottom w:val="nil"/>
              <w:right w:val="single" w:color="000000" w:sz="4" w:space="0"/>
            </w:tcBorders>
            <w:shd w:val="clear"/>
            <w:vAlign w:val="center"/>
          </w:tcPr>
          <w:p w14:paraId="20881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平方米</w:t>
            </w:r>
          </w:p>
        </w:tc>
        <w:tc>
          <w:tcPr>
            <w:tcW w:w="404" w:type="pct"/>
            <w:tcBorders>
              <w:top w:val="single" w:color="000000" w:sz="4" w:space="0"/>
              <w:left w:val="single" w:color="000000" w:sz="4" w:space="0"/>
              <w:bottom w:val="nil"/>
              <w:right w:val="single" w:color="000000" w:sz="4" w:space="0"/>
            </w:tcBorders>
            <w:shd w:val="clear"/>
            <w:vAlign w:val="center"/>
          </w:tcPr>
          <w:p w14:paraId="3479C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18" w:type="pct"/>
            <w:tcBorders>
              <w:top w:val="single" w:color="000000" w:sz="4" w:space="0"/>
              <w:left w:val="single" w:color="000000" w:sz="4" w:space="0"/>
              <w:bottom w:val="nil"/>
              <w:right w:val="single" w:color="000000" w:sz="4" w:space="0"/>
            </w:tcBorders>
            <w:shd w:val="clear"/>
            <w:vAlign w:val="center"/>
          </w:tcPr>
          <w:p w14:paraId="5F40FD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37" w:type="pct"/>
            <w:tcBorders>
              <w:top w:val="single" w:color="000000" w:sz="4" w:space="0"/>
              <w:left w:val="single" w:color="000000" w:sz="4" w:space="0"/>
              <w:bottom w:val="nil"/>
              <w:right w:val="single" w:color="000000" w:sz="4" w:space="0"/>
            </w:tcBorders>
            <w:shd w:val="clear"/>
            <w:vAlign w:val="center"/>
          </w:tcPr>
          <w:p w14:paraId="2C621D3B">
            <w:pPr>
              <w:jc w:val="center"/>
              <w:rPr>
                <w:rFonts w:hint="eastAsia" w:ascii="宋体" w:hAnsi="宋体" w:eastAsia="宋体" w:cs="宋体"/>
                <w:i w:val="0"/>
                <w:iCs w:val="0"/>
                <w:color w:val="000000"/>
                <w:sz w:val="18"/>
                <w:szCs w:val="18"/>
                <w:u w:val="none"/>
              </w:rPr>
            </w:pPr>
          </w:p>
        </w:tc>
      </w:tr>
      <w:tr w14:paraId="768AC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5E11547C">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53AFCDDB">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68E062A3">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4397E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新增特种设备检验日常用设备数量</w:t>
            </w:r>
          </w:p>
        </w:tc>
        <w:tc>
          <w:tcPr>
            <w:tcW w:w="404" w:type="pct"/>
            <w:tcBorders>
              <w:top w:val="single" w:color="000000" w:sz="4" w:space="0"/>
              <w:left w:val="single" w:color="000000" w:sz="4" w:space="0"/>
              <w:bottom w:val="nil"/>
              <w:right w:val="single" w:color="000000" w:sz="4" w:space="0"/>
            </w:tcBorders>
            <w:shd w:val="clear"/>
            <w:vAlign w:val="center"/>
          </w:tcPr>
          <w:p w14:paraId="57B48B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640258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7002C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04" w:type="pct"/>
            <w:tcBorders>
              <w:top w:val="single" w:color="000000" w:sz="4" w:space="0"/>
              <w:left w:val="single" w:color="000000" w:sz="4" w:space="0"/>
              <w:bottom w:val="nil"/>
              <w:right w:val="single" w:color="000000" w:sz="4" w:space="0"/>
            </w:tcBorders>
            <w:shd w:val="clear"/>
            <w:vAlign w:val="center"/>
          </w:tcPr>
          <w:p w14:paraId="49195A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04" w:type="pct"/>
            <w:tcBorders>
              <w:top w:val="single" w:color="000000" w:sz="4" w:space="0"/>
              <w:left w:val="single" w:color="000000" w:sz="4" w:space="0"/>
              <w:bottom w:val="nil"/>
              <w:right w:val="single" w:color="000000" w:sz="4" w:space="0"/>
            </w:tcBorders>
            <w:shd w:val="clear"/>
            <w:vAlign w:val="center"/>
          </w:tcPr>
          <w:p w14:paraId="6E48E2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台/套</w:t>
            </w:r>
          </w:p>
        </w:tc>
        <w:tc>
          <w:tcPr>
            <w:tcW w:w="404" w:type="pct"/>
            <w:tcBorders>
              <w:top w:val="single" w:color="000000" w:sz="4" w:space="0"/>
              <w:left w:val="single" w:color="000000" w:sz="4" w:space="0"/>
              <w:bottom w:val="nil"/>
              <w:right w:val="single" w:color="000000" w:sz="4" w:space="0"/>
            </w:tcBorders>
            <w:shd w:val="clear"/>
            <w:vAlign w:val="center"/>
          </w:tcPr>
          <w:p w14:paraId="5CFBE2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18" w:type="pct"/>
            <w:tcBorders>
              <w:top w:val="single" w:color="000000" w:sz="4" w:space="0"/>
              <w:left w:val="single" w:color="000000" w:sz="4" w:space="0"/>
              <w:bottom w:val="nil"/>
              <w:right w:val="single" w:color="000000" w:sz="4" w:space="0"/>
            </w:tcBorders>
            <w:shd w:val="clear"/>
            <w:vAlign w:val="center"/>
          </w:tcPr>
          <w:p w14:paraId="787AD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37" w:type="pct"/>
            <w:tcBorders>
              <w:top w:val="single" w:color="000000" w:sz="4" w:space="0"/>
              <w:left w:val="single" w:color="000000" w:sz="4" w:space="0"/>
              <w:bottom w:val="nil"/>
              <w:right w:val="single" w:color="000000" w:sz="4" w:space="0"/>
            </w:tcBorders>
            <w:shd w:val="clear"/>
            <w:vAlign w:val="center"/>
          </w:tcPr>
          <w:p w14:paraId="124193A1">
            <w:pPr>
              <w:jc w:val="center"/>
              <w:rPr>
                <w:rFonts w:hint="eastAsia" w:ascii="宋体" w:hAnsi="宋体" w:eastAsia="宋体" w:cs="宋体"/>
                <w:i w:val="0"/>
                <w:iCs w:val="0"/>
                <w:color w:val="000000"/>
                <w:sz w:val="18"/>
                <w:szCs w:val="18"/>
                <w:u w:val="none"/>
              </w:rPr>
            </w:pPr>
          </w:p>
        </w:tc>
      </w:tr>
      <w:tr w14:paraId="1C526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5416720B">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5C0D104">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0BFEB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vAlign w:val="center"/>
          </w:tcPr>
          <w:p w14:paraId="6EF82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特种设备检验技术指标验收合格率</w:t>
            </w:r>
          </w:p>
        </w:tc>
        <w:tc>
          <w:tcPr>
            <w:tcW w:w="404" w:type="pct"/>
            <w:tcBorders>
              <w:top w:val="single" w:color="000000" w:sz="4" w:space="0"/>
              <w:left w:val="single" w:color="000000" w:sz="4" w:space="0"/>
              <w:bottom w:val="nil"/>
              <w:right w:val="single" w:color="000000" w:sz="4" w:space="0"/>
            </w:tcBorders>
            <w:shd w:val="clear"/>
            <w:vAlign w:val="center"/>
          </w:tcPr>
          <w:p w14:paraId="2F743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237A2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034279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04" w:type="pct"/>
            <w:tcBorders>
              <w:top w:val="single" w:color="000000" w:sz="4" w:space="0"/>
              <w:left w:val="single" w:color="000000" w:sz="4" w:space="0"/>
              <w:bottom w:val="nil"/>
              <w:right w:val="single" w:color="000000" w:sz="4" w:space="0"/>
            </w:tcBorders>
            <w:shd w:val="clear"/>
            <w:vAlign w:val="center"/>
          </w:tcPr>
          <w:p w14:paraId="2E2D3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75.68</w:t>
            </w:r>
          </w:p>
        </w:tc>
        <w:tc>
          <w:tcPr>
            <w:tcW w:w="404" w:type="pct"/>
            <w:tcBorders>
              <w:top w:val="single" w:color="000000" w:sz="4" w:space="0"/>
              <w:left w:val="single" w:color="000000" w:sz="4" w:space="0"/>
              <w:bottom w:val="nil"/>
              <w:right w:val="single" w:color="000000" w:sz="4" w:space="0"/>
            </w:tcBorders>
            <w:shd w:val="clear"/>
            <w:vAlign w:val="center"/>
          </w:tcPr>
          <w:p w14:paraId="13441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7952D6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774749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1B8CB8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为了提升检验质量，总院本年度对检验报告进行质量攻坚大检查，严格检验特种设备检验技术，因而验收技术更加成熟。改进措施：根据业务实际合理设置目标值。</w:t>
            </w:r>
          </w:p>
        </w:tc>
      </w:tr>
      <w:tr w14:paraId="12CEC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2EE9176C">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01D42E57">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4C561CA7">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5FC020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政府采购执行率</w:t>
            </w:r>
          </w:p>
        </w:tc>
        <w:tc>
          <w:tcPr>
            <w:tcW w:w="404" w:type="pct"/>
            <w:tcBorders>
              <w:top w:val="single" w:color="000000" w:sz="4" w:space="0"/>
              <w:left w:val="single" w:color="000000" w:sz="4" w:space="0"/>
              <w:bottom w:val="nil"/>
              <w:right w:val="single" w:color="000000" w:sz="4" w:space="0"/>
            </w:tcBorders>
            <w:shd w:val="clear"/>
            <w:vAlign w:val="center"/>
          </w:tcPr>
          <w:p w14:paraId="442B3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6680A9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13E87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404" w:type="pct"/>
            <w:tcBorders>
              <w:top w:val="single" w:color="000000" w:sz="4" w:space="0"/>
              <w:left w:val="single" w:color="000000" w:sz="4" w:space="0"/>
              <w:bottom w:val="nil"/>
              <w:right w:val="single" w:color="000000" w:sz="4" w:space="0"/>
            </w:tcBorders>
            <w:shd w:val="clear"/>
            <w:vAlign w:val="center"/>
          </w:tcPr>
          <w:p w14:paraId="2E1C8C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99.23</w:t>
            </w:r>
          </w:p>
        </w:tc>
        <w:tc>
          <w:tcPr>
            <w:tcW w:w="404" w:type="pct"/>
            <w:tcBorders>
              <w:top w:val="single" w:color="000000" w:sz="4" w:space="0"/>
              <w:left w:val="single" w:color="000000" w:sz="4" w:space="0"/>
              <w:bottom w:val="nil"/>
              <w:right w:val="single" w:color="000000" w:sz="4" w:space="0"/>
            </w:tcBorders>
            <w:shd w:val="clear"/>
            <w:vAlign w:val="center"/>
          </w:tcPr>
          <w:p w14:paraId="782A5A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068FE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4CB82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562BA0B6">
            <w:pPr>
              <w:jc w:val="center"/>
              <w:rPr>
                <w:rFonts w:hint="eastAsia" w:ascii="宋体" w:hAnsi="宋体" w:eastAsia="宋体" w:cs="宋体"/>
                <w:i w:val="0"/>
                <w:iCs w:val="0"/>
                <w:color w:val="000000"/>
                <w:sz w:val="18"/>
                <w:szCs w:val="18"/>
                <w:u w:val="none"/>
              </w:rPr>
            </w:pPr>
          </w:p>
        </w:tc>
      </w:tr>
      <w:tr w14:paraId="7BE41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693DFCAB">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A0EF176">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6032EE4">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4ABC4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设备验收合格率</w:t>
            </w:r>
          </w:p>
        </w:tc>
        <w:tc>
          <w:tcPr>
            <w:tcW w:w="404" w:type="pct"/>
            <w:tcBorders>
              <w:top w:val="single" w:color="000000" w:sz="4" w:space="0"/>
              <w:left w:val="single" w:color="000000" w:sz="4" w:space="0"/>
              <w:bottom w:val="nil"/>
              <w:right w:val="single" w:color="000000" w:sz="4" w:space="0"/>
            </w:tcBorders>
            <w:shd w:val="clear"/>
            <w:vAlign w:val="center"/>
          </w:tcPr>
          <w:p w14:paraId="64C22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01616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7A01E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6880BF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12214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31FD0A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4FF7EE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32B6DB0B">
            <w:pPr>
              <w:jc w:val="center"/>
              <w:rPr>
                <w:rFonts w:hint="eastAsia" w:ascii="宋体" w:hAnsi="宋体" w:eastAsia="宋体" w:cs="宋体"/>
                <w:i w:val="0"/>
                <w:iCs w:val="0"/>
                <w:color w:val="000000"/>
                <w:sz w:val="18"/>
                <w:szCs w:val="18"/>
                <w:u w:val="none"/>
              </w:rPr>
            </w:pPr>
          </w:p>
        </w:tc>
      </w:tr>
      <w:tr w14:paraId="78733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1BCEF486">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3A14D8EC">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587150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vAlign w:val="center"/>
          </w:tcPr>
          <w:p w14:paraId="21E697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提出检验申请后检验受理时间</w:t>
            </w:r>
          </w:p>
        </w:tc>
        <w:tc>
          <w:tcPr>
            <w:tcW w:w="404" w:type="pct"/>
            <w:tcBorders>
              <w:top w:val="single" w:color="000000" w:sz="4" w:space="0"/>
              <w:left w:val="single" w:color="000000" w:sz="4" w:space="0"/>
              <w:bottom w:val="nil"/>
              <w:right w:val="single" w:color="000000" w:sz="4" w:space="0"/>
            </w:tcBorders>
            <w:shd w:val="clear"/>
            <w:vAlign w:val="center"/>
          </w:tcPr>
          <w:p w14:paraId="34A04C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6885F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2E3188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04" w:type="pct"/>
            <w:tcBorders>
              <w:top w:val="single" w:color="000000" w:sz="4" w:space="0"/>
              <w:left w:val="single" w:color="000000" w:sz="4" w:space="0"/>
              <w:bottom w:val="nil"/>
              <w:right w:val="single" w:color="000000" w:sz="4" w:space="0"/>
            </w:tcBorders>
            <w:shd w:val="clear"/>
            <w:vAlign w:val="center"/>
          </w:tcPr>
          <w:p w14:paraId="0ADFDB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04" w:type="pct"/>
            <w:tcBorders>
              <w:top w:val="single" w:color="000000" w:sz="4" w:space="0"/>
              <w:left w:val="single" w:color="000000" w:sz="4" w:space="0"/>
              <w:bottom w:val="nil"/>
              <w:right w:val="single" w:color="000000" w:sz="4" w:space="0"/>
            </w:tcBorders>
            <w:shd w:val="clear"/>
            <w:vAlign w:val="center"/>
          </w:tcPr>
          <w:p w14:paraId="040DC1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工作日</w:t>
            </w:r>
          </w:p>
        </w:tc>
        <w:tc>
          <w:tcPr>
            <w:tcW w:w="404" w:type="pct"/>
            <w:tcBorders>
              <w:top w:val="single" w:color="000000" w:sz="4" w:space="0"/>
              <w:left w:val="single" w:color="000000" w:sz="4" w:space="0"/>
              <w:bottom w:val="nil"/>
              <w:right w:val="single" w:color="000000" w:sz="4" w:space="0"/>
            </w:tcBorders>
            <w:shd w:val="clear"/>
            <w:vAlign w:val="center"/>
          </w:tcPr>
          <w:p w14:paraId="1747B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1E1D84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7" w:type="pct"/>
            <w:tcBorders>
              <w:top w:val="single" w:color="000000" w:sz="4" w:space="0"/>
              <w:left w:val="single" w:color="000000" w:sz="4" w:space="0"/>
              <w:bottom w:val="nil"/>
              <w:right w:val="single" w:color="000000" w:sz="4" w:space="0"/>
            </w:tcBorders>
            <w:shd w:val="clear"/>
            <w:vAlign w:val="center"/>
          </w:tcPr>
          <w:p w14:paraId="6003354F">
            <w:pPr>
              <w:jc w:val="center"/>
              <w:rPr>
                <w:rFonts w:hint="eastAsia" w:ascii="宋体" w:hAnsi="宋体" w:eastAsia="宋体" w:cs="宋体"/>
                <w:i w:val="0"/>
                <w:iCs w:val="0"/>
                <w:color w:val="000000"/>
                <w:sz w:val="18"/>
                <w:szCs w:val="18"/>
                <w:u w:val="none"/>
              </w:rPr>
            </w:pPr>
          </w:p>
        </w:tc>
      </w:tr>
      <w:tr w14:paraId="36D15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466B57A7">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5A426B17">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4E9A59EF">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0A2D2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形成检验结论后检验报告出具时间</w:t>
            </w:r>
          </w:p>
        </w:tc>
        <w:tc>
          <w:tcPr>
            <w:tcW w:w="404" w:type="pct"/>
            <w:tcBorders>
              <w:top w:val="single" w:color="000000" w:sz="4" w:space="0"/>
              <w:left w:val="single" w:color="000000" w:sz="4" w:space="0"/>
              <w:bottom w:val="nil"/>
              <w:right w:val="single" w:color="000000" w:sz="4" w:space="0"/>
            </w:tcBorders>
            <w:shd w:val="clear"/>
            <w:vAlign w:val="center"/>
          </w:tcPr>
          <w:p w14:paraId="6075C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033D06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1B29A4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404" w:type="pct"/>
            <w:tcBorders>
              <w:top w:val="single" w:color="000000" w:sz="4" w:space="0"/>
              <w:left w:val="single" w:color="000000" w:sz="4" w:space="0"/>
              <w:bottom w:val="nil"/>
              <w:right w:val="single" w:color="000000" w:sz="4" w:space="0"/>
            </w:tcBorders>
            <w:shd w:val="clear"/>
            <w:vAlign w:val="center"/>
          </w:tcPr>
          <w:p w14:paraId="0C0E4F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404" w:type="pct"/>
            <w:tcBorders>
              <w:top w:val="single" w:color="000000" w:sz="4" w:space="0"/>
              <w:left w:val="single" w:color="000000" w:sz="4" w:space="0"/>
              <w:bottom w:val="nil"/>
              <w:right w:val="single" w:color="000000" w:sz="4" w:space="0"/>
            </w:tcBorders>
            <w:shd w:val="clear"/>
            <w:vAlign w:val="center"/>
          </w:tcPr>
          <w:p w14:paraId="78FBFF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工作日</w:t>
            </w:r>
          </w:p>
        </w:tc>
        <w:tc>
          <w:tcPr>
            <w:tcW w:w="404" w:type="pct"/>
            <w:tcBorders>
              <w:top w:val="single" w:color="000000" w:sz="4" w:space="0"/>
              <w:left w:val="single" w:color="000000" w:sz="4" w:space="0"/>
              <w:bottom w:val="nil"/>
              <w:right w:val="single" w:color="000000" w:sz="4" w:space="0"/>
            </w:tcBorders>
            <w:shd w:val="clear"/>
            <w:vAlign w:val="center"/>
          </w:tcPr>
          <w:p w14:paraId="26F767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18" w:type="pct"/>
            <w:tcBorders>
              <w:top w:val="single" w:color="000000" w:sz="4" w:space="0"/>
              <w:left w:val="single" w:color="000000" w:sz="4" w:space="0"/>
              <w:bottom w:val="nil"/>
              <w:right w:val="single" w:color="000000" w:sz="4" w:space="0"/>
            </w:tcBorders>
            <w:shd w:val="clear"/>
            <w:vAlign w:val="center"/>
          </w:tcPr>
          <w:p w14:paraId="5DBF18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37" w:type="pct"/>
            <w:tcBorders>
              <w:top w:val="single" w:color="000000" w:sz="4" w:space="0"/>
              <w:left w:val="single" w:color="000000" w:sz="4" w:space="0"/>
              <w:bottom w:val="nil"/>
              <w:right w:val="single" w:color="000000" w:sz="4" w:space="0"/>
            </w:tcBorders>
            <w:shd w:val="clear"/>
            <w:vAlign w:val="center"/>
          </w:tcPr>
          <w:p w14:paraId="00777462">
            <w:pPr>
              <w:jc w:val="center"/>
              <w:rPr>
                <w:rFonts w:hint="eastAsia" w:ascii="宋体" w:hAnsi="宋体" w:eastAsia="宋体" w:cs="宋体"/>
                <w:i w:val="0"/>
                <w:iCs w:val="0"/>
                <w:color w:val="000000"/>
                <w:sz w:val="18"/>
                <w:szCs w:val="18"/>
                <w:u w:val="none"/>
              </w:rPr>
            </w:pPr>
          </w:p>
        </w:tc>
      </w:tr>
      <w:tr w14:paraId="2452F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342C8B2B">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C422184">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141C5CC">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39B28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日常维修响应时间</w:t>
            </w:r>
          </w:p>
        </w:tc>
        <w:tc>
          <w:tcPr>
            <w:tcW w:w="404" w:type="pct"/>
            <w:tcBorders>
              <w:top w:val="single" w:color="000000" w:sz="4" w:space="0"/>
              <w:left w:val="single" w:color="000000" w:sz="4" w:space="0"/>
              <w:bottom w:val="nil"/>
              <w:right w:val="single" w:color="000000" w:sz="4" w:space="0"/>
            </w:tcBorders>
            <w:shd w:val="clear"/>
            <w:vAlign w:val="center"/>
          </w:tcPr>
          <w:p w14:paraId="7B95BA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058CAB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02CC75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w:t>
            </w:r>
          </w:p>
        </w:tc>
        <w:tc>
          <w:tcPr>
            <w:tcW w:w="404" w:type="pct"/>
            <w:tcBorders>
              <w:top w:val="single" w:color="000000" w:sz="4" w:space="0"/>
              <w:left w:val="single" w:color="000000" w:sz="4" w:space="0"/>
              <w:bottom w:val="nil"/>
              <w:right w:val="single" w:color="000000" w:sz="4" w:space="0"/>
            </w:tcBorders>
            <w:shd w:val="clear"/>
            <w:vAlign w:val="center"/>
          </w:tcPr>
          <w:p w14:paraId="229EA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w:t>
            </w:r>
          </w:p>
        </w:tc>
        <w:tc>
          <w:tcPr>
            <w:tcW w:w="404" w:type="pct"/>
            <w:tcBorders>
              <w:top w:val="single" w:color="000000" w:sz="4" w:space="0"/>
              <w:left w:val="single" w:color="000000" w:sz="4" w:space="0"/>
              <w:bottom w:val="nil"/>
              <w:right w:val="single" w:color="000000" w:sz="4" w:space="0"/>
            </w:tcBorders>
            <w:shd w:val="clear"/>
            <w:vAlign w:val="center"/>
          </w:tcPr>
          <w:p w14:paraId="0A580F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小时</w:t>
            </w:r>
          </w:p>
        </w:tc>
        <w:tc>
          <w:tcPr>
            <w:tcW w:w="404" w:type="pct"/>
            <w:tcBorders>
              <w:top w:val="single" w:color="000000" w:sz="4" w:space="0"/>
              <w:left w:val="single" w:color="000000" w:sz="4" w:space="0"/>
              <w:bottom w:val="nil"/>
              <w:right w:val="single" w:color="000000" w:sz="4" w:space="0"/>
            </w:tcBorders>
            <w:shd w:val="clear"/>
            <w:vAlign w:val="center"/>
          </w:tcPr>
          <w:p w14:paraId="348F8E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18" w:type="pct"/>
            <w:tcBorders>
              <w:top w:val="single" w:color="000000" w:sz="4" w:space="0"/>
              <w:left w:val="single" w:color="000000" w:sz="4" w:space="0"/>
              <w:bottom w:val="nil"/>
              <w:right w:val="single" w:color="000000" w:sz="4" w:space="0"/>
            </w:tcBorders>
            <w:shd w:val="clear"/>
            <w:vAlign w:val="center"/>
          </w:tcPr>
          <w:p w14:paraId="4DC5BE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37" w:type="pct"/>
            <w:tcBorders>
              <w:top w:val="single" w:color="000000" w:sz="4" w:space="0"/>
              <w:left w:val="single" w:color="000000" w:sz="4" w:space="0"/>
              <w:bottom w:val="nil"/>
              <w:right w:val="single" w:color="000000" w:sz="4" w:space="0"/>
            </w:tcBorders>
            <w:shd w:val="clear"/>
            <w:vAlign w:val="center"/>
          </w:tcPr>
          <w:p w14:paraId="48489822">
            <w:pPr>
              <w:jc w:val="center"/>
              <w:rPr>
                <w:rFonts w:hint="eastAsia" w:ascii="宋体" w:hAnsi="宋体" w:eastAsia="宋体" w:cs="宋体"/>
                <w:i w:val="0"/>
                <w:iCs w:val="0"/>
                <w:color w:val="000000"/>
                <w:sz w:val="18"/>
                <w:szCs w:val="18"/>
                <w:u w:val="none"/>
              </w:rPr>
            </w:pPr>
          </w:p>
        </w:tc>
      </w:tr>
      <w:tr w14:paraId="13C3A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5426CC30">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52D8E4C9">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4E18E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vAlign w:val="center"/>
          </w:tcPr>
          <w:p w14:paraId="113002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机电类特种设备检验成本</w:t>
            </w:r>
          </w:p>
        </w:tc>
        <w:tc>
          <w:tcPr>
            <w:tcW w:w="404" w:type="pct"/>
            <w:tcBorders>
              <w:top w:val="single" w:color="000000" w:sz="4" w:space="0"/>
              <w:left w:val="single" w:color="000000" w:sz="4" w:space="0"/>
              <w:bottom w:val="nil"/>
              <w:right w:val="single" w:color="000000" w:sz="4" w:space="0"/>
            </w:tcBorders>
            <w:shd w:val="clear"/>
            <w:vAlign w:val="center"/>
          </w:tcPr>
          <w:p w14:paraId="0BAD6A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24419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7C250E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68.45</w:t>
            </w:r>
          </w:p>
        </w:tc>
        <w:tc>
          <w:tcPr>
            <w:tcW w:w="404" w:type="pct"/>
            <w:tcBorders>
              <w:top w:val="single" w:color="000000" w:sz="4" w:space="0"/>
              <w:left w:val="single" w:color="000000" w:sz="4" w:space="0"/>
              <w:bottom w:val="nil"/>
              <w:right w:val="single" w:color="000000" w:sz="4" w:space="0"/>
            </w:tcBorders>
            <w:shd w:val="clear"/>
            <w:vAlign w:val="center"/>
          </w:tcPr>
          <w:p w14:paraId="30F9C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46.04</w:t>
            </w:r>
          </w:p>
        </w:tc>
        <w:tc>
          <w:tcPr>
            <w:tcW w:w="404" w:type="pct"/>
            <w:tcBorders>
              <w:top w:val="single" w:color="000000" w:sz="4" w:space="0"/>
              <w:left w:val="single" w:color="000000" w:sz="4" w:space="0"/>
              <w:bottom w:val="nil"/>
              <w:right w:val="single" w:color="000000" w:sz="4" w:space="0"/>
            </w:tcBorders>
            <w:shd w:val="clear"/>
            <w:vAlign w:val="center"/>
          </w:tcPr>
          <w:p w14:paraId="1E505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04" w:type="pct"/>
            <w:tcBorders>
              <w:top w:val="single" w:color="000000" w:sz="4" w:space="0"/>
              <w:left w:val="single" w:color="000000" w:sz="4" w:space="0"/>
              <w:bottom w:val="nil"/>
              <w:right w:val="single" w:color="000000" w:sz="4" w:space="0"/>
            </w:tcBorders>
            <w:shd w:val="clear"/>
            <w:vAlign w:val="center"/>
          </w:tcPr>
          <w:p w14:paraId="63DCB8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295170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1084A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我院本年度严格执行差旅费等费用报销流程，节约资金，因而检验成本降低。整改措施：根据业务实际合理设置目标值。</w:t>
            </w:r>
          </w:p>
        </w:tc>
      </w:tr>
      <w:tr w14:paraId="00175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18026EDC">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1A2D837">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63AA2F0E">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1163E3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承压类特种设备检验成本</w:t>
            </w:r>
          </w:p>
        </w:tc>
        <w:tc>
          <w:tcPr>
            <w:tcW w:w="404" w:type="pct"/>
            <w:tcBorders>
              <w:top w:val="single" w:color="000000" w:sz="4" w:space="0"/>
              <w:left w:val="single" w:color="000000" w:sz="4" w:space="0"/>
              <w:bottom w:val="nil"/>
              <w:right w:val="single" w:color="000000" w:sz="4" w:space="0"/>
            </w:tcBorders>
            <w:shd w:val="clear"/>
            <w:vAlign w:val="center"/>
          </w:tcPr>
          <w:p w14:paraId="08A75F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3333D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00AFB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70.43</w:t>
            </w:r>
          </w:p>
        </w:tc>
        <w:tc>
          <w:tcPr>
            <w:tcW w:w="404" w:type="pct"/>
            <w:tcBorders>
              <w:top w:val="single" w:color="000000" w:sz="4" w:space="0"/>
              <w:left w:val="single" w:color="000000" w:sz="4" w:space="0"/>
              <w:bottom w:val="nil"/>
              <w:right w:val="single" w:color="000000" w:sz="4" w:space="0"/>
            </w:tcBorders>
            <w:shd w:val="clear"/>
            <w:vAlign w:val="center"/>
          </w:tcPr>
          <w:p w14:paraId="2904C9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w:t>
            </w:r>
          </w:p>
        </w:tc>
        <w:tc>
          <w:tcPr>
            <w:tcW w:w="404" w:type="pct"/>
            <w:tcBorders>
              <w:top w:val="single" w:color="000000" w:sz="4" w:space="0"/>
              <w:left w:val="single" w:color="000000" w:sz="4" w:space="0"/>
              <w:bottom w:val="nil"/>
              <w:right w:val="single" w:color="000000" w:sz="4" w:space="0"/>
            </w:tcBorders>
            <w:shd w:val="clear"/>
            <w:vAlign w:val="center"/>
          </w:tcPr>
          <w:p w14:paraId="726E2D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04" w:type="pct"/>
            <w:tcBorders>
              <w:top w:val="single" w:color="000000" w:sz="4" w:space="0"/>
              <w:left w:val="single" w:color="000000" w:sz="4" w:space="0"/>
              <w:bottom w:val="nil"/>
              <w:right w:val="single" w:color="000000" w:sz="4" w:space="0"/>
            </w:tcBorders>
            <w:shd w:val="clear"/>
            <w:vAlign w:val="center"/>
          </w:tcPr>
          <w:p w14:paraId="30E6C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8" w:type="pct"/>
            <w:tcBorders>
              <w:top w:val="single" w:color="000000" w:sz="4" w:space="0"/>
              <w:left w:val="single" w:color="000000" w:sz="4" w:space="0"/>
              <w:bottom w:val="nil"/>
              <w:right w:val="single" w:color="000000" w:sz="4" w:space="0"/>
            </w:tcBorders>
            <w:shd w:val="clear"/>
            <w:vAlign w:val="center"/>
          </w:tcPr>
          <w:p w14:paraId="35B667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7" w:type="pct"/>
            <w:tcBorders>
              <w:top w:val="single" w:color="000000" w:sz="4" w:space="0"/>
              <w:left w:val="single" w:color="000000" w:sz="4" w:space="0"/>
              <w:bottom w:val="nil"/>
              <w:right w:val="single" w:color="000000" w:sz="4" w:space="0"/>
            </w:tcBorders>
            <w:shd w:val="clear"/>
            <w:vAlign w:val="center"/>
          </w:tcPr>
          <w:p w14:paraId="51AFD1BB">
            <w:pPr>
              <w:jc w:val="center"/>
              <w:rPr>
                <w:rFonts w:hint="eastAsia" w:ascii="宋体" w:hAnsi="宋体" w:eastAsia="宋体" w:cs="宋体"/>
                <w:i w:val="0"/>
                <w:iCs w:val="0"/>
                <w:color w:val="000000"/>
                <w:sz w:val="18"/>
                <w:szCs w:val="18"/>
                <w:u w:val="none"/>
              </w:rPr>
            </w:pPr>
          </w:p>
        </w:tc>
      </w:tr>
      <w:tr w14:paraId="752E1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500CF1D6">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03E66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436" w:type="pct"/>
            <w:tcBorders>
              <w:top w:val="single" w:color="000000" w:sz="4" w:space="0"/>
              <w:left w:val="single" w:color="000000" w:sz="4" w:space="0"/>
              <w:bottom w:val="nil"/>
              <w:right w:val="single" w:color="000000" w:sz="4" w:space="0"/>
            </w:tcBorders>
            <w:shd w:val="clear"/>
            <w:vAlign w:val="center"/>
          </w:tcPr>
          <w:p w14:paraId="741218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404" w:type="pct"/>
            <w:tcBorders>
              <w:top w:val="single" w:color="000000" w:sz="4" w:space="0"/>
              <w:left w:val="single" w:color="000000" w:sz="4" w:space="0"/>
              <w:bottom w:val="nil"/>
              <w:right w:val="single" w:color="000000" w:sz="4" w:space="0"/>
            </w:tcBorders>
            <w:shd w:val="clear"/>
            <w:vAlign w:val="center"/>
          </w:tcPr>
          <w:p w14:paraId="6CECE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完成年经营收入额</w:t>
            </w:r>
          </w:p>
        </w:tc>
        <w:tc>
          <w:tcPr>
            <w:tcW w:w="404" w:type="pct"/>
            <w:tcBorders>
              <w:top w:val="single" w:color="000000" w:sz="4" w:space="0"/>
              <w:left w:val="single" w:color="000000" w:sz="4" w:space="0"/>
              <w:bottom w:val="nil"/>
              <w:right w:val="single" w:color="000000" w:sz="4" w:space="0"/>
            </w:tcBorders>
            <w:shd w:val="clear"/>
            <w:vAlign w:val="center"/>
          </w:tcPr>
          <w:p w14:paraId="31E8E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2413A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15B476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1027.36</w:t>
            </w:r>
          </w:p>
        </w:tc>
        <w:tc>
          <w:tcPr>
            <w:tcW w:w="404" w:type="pct"/>
            <w:tcBorders>
              <w:top w:val="single" w:color="000000" w:sz="4" w:space="0"/>
              <w:left w:val="single" w:color="000000" w:sz="4" w:space="0"/>
              <w:bottom w:val="nil"/>
              <w:right w:val="single" w:color="000000" w:sz="4" w:space="0"/>
            </w:tcBorders>
            <w:shd w:val="clear"/>
            <w:vAlign w:val="center"/>
          </w:tcPr>
          <w:p w14:paraId="12526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1374.19</w:t>
            </w:r>
          </w:p>
        </w:tc>
        <w:tc>
          <w:tcPr>
            <w:tcW w:w="404" w:type="pct"/>
            <w:tcBorders>
              <w:top w:val="single" w:color="000000" w:sz="4" w:space="0"/>
              <w:left w:val="single" w:color="000000" w:sz="4" w:space="0"/>
              <w:bottom w:val="nil"/>
              <w:right w:val="single" w:color="000000" w:sz="4" w:space="0"/>
            </w:tcBorders>
            <w:shd w:val="clear"/>
            <w:vAlign w:val="center"/>
          </w:tcPr>
          <w:p w14:paraId="4BB2D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04" w:type="pct"/>
            <w:tcBorders>
              <w:top w:val="single" w:color="000000" w:sz="4" w:space="0"/>
              <w:left w:val="single" w:color="000000" w:sz="4" w:space="0"/>
              <w:bottom w:val="nil"/>
              <w:right w:val="single" w:color="000000" w:sz="4" w:space="0"/>
            </w:tcBorders>
            <w:shd w:val="clear"/>
            <w:vAlign w:val="center"/>
          </w:tcPr>
          <w:p w14:paraId="567272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418" w:type="pct"/>
            <w:tcBorders>
              <w:top w:val="single" w:color="000000" w:sz="4" w:space="0"/>
              <w:left w:val="single" w:color="000000" w:sz="4" w:space="0"/>
              <w:bottom w:val="nil"/>
              <w:right w:val="single" w:color="000000" w:sz="4" w:space="0"/>
            </w:tcBorders>
            <w:shd w:val="clear"/>
            <w:vAlign w:val="center"/>
          </w:tcPr>
          <w:p w14:paraId="3A9661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437" w:type="pct"/>
            <w:tcBorders>
              <w:top w:val="single" w:color="000000" w:sz="4" w:space="0"/>
              <w:left w:val="single" w:color="000000" w:sz="4" w:space="0"/>
              <w:bottom w:val="nil"/>
              <w:right w:val="single" w:color="000000" w:sz="4" w:space="0"/>
            </w:tcBorders>
            <w:shd w:val="clear"/>
            <w:vAlign w:val="center"/>
          </w:tcPr>
          <w:p w14:paraId="5D8544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我院本年度省外检验业务增加，经营收入增加。整改措施：根据业务实际合理设置目标值。</w:t>
            </w:r>
          </w:p>
        </w:tc>
      </w:tr>
      <w:tr w14:paraId="113EE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182169B0">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FA203C6">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vAlign w:val="center"/>
          </w:tcPr>
          <w:p w14:paraId="5EFD67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社会效益指标</w:t>
            </w:r>
          </w:p>
        </w:tc>
        <w:tc>
          <w:tcPr>
            <w:tcW w:w="404" w:type="pct"/>
            <w:tcBorders>
              <w:top w:val="single" w:color="000000" w:sz="4" w:space="0"/>
              <w:left w:val="single" w:color="000000" w:sz="4" w:space="0"/>
              <w:bottom w:val="nil"/>
              <w:right w:val="single" w:color="000000" w:sz="4" w:space="0"/>
            </w:tcBorders>
            <w:shd w:val="clear"/>
            <w:vAlign w:val="center"/>
          </w:tcPr>
          <w:p w14:paraId="334C25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检验合格特种设备重大安全事故发生数量</w:t>
            </w:r>
          </w:p>
        </w:tc>
        <w:tc>
          <w:tcPr>
            <w:tcW w:w="404" w:type="pct"/>
            <w:tcBorders>
              <w:top w:val="single" w:color="000000" w:sz="4" w:space="0"/>
              <w:left w:val="single" w:color="000000" w:sz="4" w:space="0"/>
              <w:bottom w:val="nil"/>
              <w:right w:val="single" w:color="000000" w:sz="4" w:space="0"/>
            </w:tcBorders>
            <w:shd w:val="clear"/>
            <w:vAlign w:val="center"/>
          </w:tcPr>
          <w:p w14:paraId="67C980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53458C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404" w:type="pct"/>
            <w:tcBorders>
              <w:top w:val="single" w:color="000000" w:sz="4" w:space="0"/>
              <w:left w:val="single" w:color="000000" w:sz="4" w:space="0"/>
              <w:bottom w:val="nil"/>
              <w:right w:val="single" w:color="000000" w:sz="4" w:space="0"/>
            </w:tcBorders>
            <w:shd w:val="clear"/>
            <w:vAlign w:val="center"/>
          </w:tcPr>
          <w:p w14:paraId="7D43E2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404" w:type="pct"/>
            <w:tcBorders>
              <w:top w:val="single" w:color="000000" w:sz="4" w:space="0"/>
              <w:left w:val="single" w:color="000000" w:sz="4" w:space="0"/>
              <w:bottom w:val="nil"/>
              <w:right w:val="single" w:color="000000" w:sz="4" w:space="0"/>
            </w:tcBorders>
            <w:shd w:val="clear"/>
            <w:vAlign w:val="center"/>
          </w:tcPr>
          <w:p w14:paraId="64B93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404" w:type="pct"/>
            <w:tcBorders>
              <w:top w:val="single" w:color="000000" w:sz="4" w:space="0"/>
              <w:left w:val="single" w:color="000000" w:sz="4" w:space="0"/>
              <w:bottom w:val="nil"/>
              <w:right w:val="single" w:color="000000" w:sz="4" w:space="0"/>
            </w:tcBorders>
            <w:shd w:val="clear"/>
            <w:vAlign w:val="center"/>
          </w:tcPr>
          <w:p w14:paraId="56E93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起</w:t>
            </w:r>
          </w:p>
        </w:tc>
        <w:tc>
          <w:tcPr>
            <w:tcW w:w="404" w:type="pct"/>
            <w:tcBorders>
              <w:top w:val="single" w:color="000000" w:sz="4" w:space="0"/>
              <w:left w:val="single" w:color="000000" w:sz="4" w:space="0"/>
              <w:bottom w:val="nil"/>
              <w:right w:val="single" w:color="000000" w:sz="4" w:space="0"/>
            </w:tcBorders>
            <w:shd w:val="clear"/>
            <w:vAlign w:val="center"/>
          </w:tcPr>
          <w:p w14:paraId="272B5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418" w:type="pct"/>
            <w:tcBorders>
              <w:top w:val="single" w:color="000000" w:sz="4" w:space="0"/>
              <w:left w:val="single" w:color="000000" w:sz="4" w:space="0"/>
              <w:bottom w:val="nil"/>
              <w:right w:val="single" w:color="000000" w:sz="4" w:space="0"/>
            </w:tcBorders>
            <w:shd w:val="clear"/>
            <w:vAlign w:val="center"/>
          </w:tcPr>
          <w:p w14:paraId="6F8C8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437" w:type="pct"/>
            <w:tcBorders>
              <w:top w:val="single" w:color="000000" w:sz="4" w:space="0"/>
              <w:left w:val="single" w:color="000000" w:sz="4" w:space="0"/>
              <w:bottom w:val="nil"/>
              <w:right w:val="single" w:color="000000" w:sz="4" w:space="0"/>
            </w:tcBorders>
            <w:shd w:val="clear"/>
            <w:vAlign w:val="center"/>
          </w:tcPr>
          <w:p w14:paraId="4E91F324">
            <w:pPr>
              <w:jc w:val="center"/>
              <w:rPr>
                <w:rFonts w:hint="eastAsia" w:ascii="宋体" w:hAnsi="宋体" w:eastAsia="宋体" w:cs="宋体"/>
                <w:i w:val="0"/>
                <w:iCs w:val="0"/>
                <w:color w:val="000000"/>
                <w:sz w:val="18"/>
                <w:szCs w:val="18"/>
                <w:u w:val="none"/>
              </w:rPr>
            </w:pPr>
          </w:p>
        </w:tc>
      </w:tr>
      <w:tr w14:paraId="09FD4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03FC1425">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6A30E91">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vAlign w:val="center"/>
          </w:tcPr>
          <w:p w14:paraId="7A4492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可持续影响指标</w:t>
            </w:r>
          </w:p>
        </w:tc>
        <w:tc>
          <w:tcPr>
            <w:tcW w:w="404" w:type="pct"/>
            <w:tcBorders>
              <w:top w:val="single" w:color="000000" w:sz="4" w:space="0"/>
              <w:left w:val="single" w:color="000000" w:sz="4" w:space="0"/>
              <w:bottom w:val="nil"/>
              <w:right w:val="single" w:color="000000" w:sz="4" w:space="0"/>
            </w:tcBorders>
            <w:shd w:val="clear"/>
            <w:vAlign w:val="center"/>
          </w:tcPr>
          <w:p w14:paraId="29BB6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特种设备使用单位安全意识</w:t>
            </w:r>
          </w:p>
        </w:tc>
        <w:tc>
          <w:tcPr>
            <w:tcW w:w="404" w:type="pct"/>
            <w:tcBorders>
              <w:top w:val="single" w:color="000000" w:sz="4" w:space="0"/>
              <w:left w:val="single" w:color="000000" w:sz="4" w:space="0"/>
              <w:bottom w:val="nil"/>
              <w:right w:val="single" w:color="000000" w:sz="4" w:space="0"/>
            </w:tcBorders>
            <w:shd w:val="clear"/>
            <w:vAlign w:val="center"/>
          </w:tcPr>
          <w:p w14:paraId="52AD8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404" w:type="pct"/>
            <w:tcBorders>
              <w:top w:val="single" w:color="000000" w:sz="4" w:space="0"/>
              <w:left w:val="single" w:color="000000" w:sz="4" w:space="0"/>
              <w:bottom w:val="nil"/>
              <w:right w:val="single" w:color="000000" w:sz="4" w:space="0"/>
            </w:tcBorders>
            <w:shd w:val="clear"/>
            <w:vAlign w:val="center"/>
          </w:tcPr>
          <w:p w14:paraId="6DC965C5">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7DDCA2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稳步提高</w:t>
            </w:r>
          </w:p>
        </w:tc>
        <w:tc>
          <w:tcPr>
            <w:tcW w:w="404" w:type="pct"/>
            <w:tcBorders>
              <w:top w:val="single" w:color="000000" w:sz="4" w:space="0"/>
              <w:left w:val="single" w:color="000000" w:sz="4" w:space="0"/>
              <w:bottom w:val="nil"/>
              <w:right w:val="single" w:color="000000" w:sz="4" w:space="0"/>
            </w:tcBorders>
            <w:shd w:val="clear"/>
            <w:vAlign w:val="center"/>
          </w:tcPr>
          <w:p w14:paraId="3A4D1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稳步提高</w:t>
            </w:r>
          </w:p>
        </w:tc>
        <w:tc>
          <w:tcPr>
            <w:tcW w:w="404" w:type="pct"/>
            <w:tcBorders>
              <w:top w:val="single" w:color="000000" w:sz="4" w:space="0"/>
              <w:left w:val="single" w:color="000000" w:sz="4" w:space="0"/>
              <w:bottom w:val="nil"/>
              <w:right w:val="single" w:color="000000" w:sz="4" w:space="0"/>
            </w:tcBorders>
            <w:shd w:val="clear"/>
            <w:vAlign w:val="center"/>
          </w:tcPr>
          <w:p w14:paraId="31C3C4FB">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6E967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18" w:type="pct"/>
            <w:tcBorders>
              <w:top w:val="single" w:color="000000" w:sz="4" w:space="0"/>
              <w:left w:val="single" w:color="000000" w:sz="4" w:space="0"/>
              <w:bottom w:val="nil"/>
              <w:right w:val="single" w:color="000000" w:sz="4" w:space="0"/>
            </w:tcBorders>
            <w:shd w:val="clear"/>
            <w:vAlign w:val="center"/>
          </w:tcPr>
          <w:p w14:paraId="1852C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437" w:type="pct"/>
            <w:tcBorders>
              <w:top w:val="single" w:color="000000" w:sz="4" w:space="0"/>
              <w:left w:val="single" w:color="000000" w:sz="4" w:space="0"/>
              <w:bottom w:val="nil"/>
              <w:right w:val="single" w:color="000000" w:sz="4" w:space="0"/>
            </w:tcBorders>
            <w:shd w:val="clear"/>
            <w:vAlign w:val="center"/>
          </w:tcPr>
          <w:p w14:paraId="05318BC9">
            <w:pPr>
              <w:jc w:val="center"/>
              <w:rPr>
                <w:rFonts w:hint="eastAsia" w:ascii="宋体" w:hAnsi="宋体" w:eastAsia="宋体" w:cs="宋体"/>
                <w:i w:val="0"/>
                <w:iCs w:val="0"/>
                <w:color w:val="000000"/>
                <w:sz w:val="18"/>
                <w:szCs w:val="18"/>
                <w:u w:val="none"/>
              </w:rPr>
            </w:pPr>
          </w:p>
        </w:tc>
      </w:tr>
      <w:tr w14:paraId="65729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33B93967">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vAlign w:val="center"/>
          </w:tcPr>
          <w:p w14:paraId="2D48C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w:t>
            </w:r>
          </w:p>
        </w:tc>
        <w:tc>
          <w:tcPr>
            <w:tcW w:w="436" w:type="pct"/>
            <w:tcBorders>
              <w:top w:val="single" w:color="000000" w:sz="4" w:space="0"/>
              <w:left w:val="single" w:color="000000" w:sz="4" w:space="0"/>
              <w:bottom w:val="nil"/>
              <w:right w:val="single" w:color="000000" w:sz="4" w:space="0"/>
            </w:tcBorders>
            <w:shd w:val="clear"/>
            <w:vAlign w:val="center"/>
          </w:tcPr>
          <w:p w14:paraId="6AD0B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服务对象满意度指标</w:t>
            </w:r>
          </w:p>
        </w:tc>
        <w:tc>
          <w:tcPr>
            <w:tcW w:w="404" w:type="pct"/>
            <w:tcBorders>
              <w:top w:val="single" w:color="000000" w:sz="4" w:space="0"/>
              <w:left w:val="single" w:color="000000" w:sz="4" w:space="0"/>
              <w:bottom w:val="nil"/>
              <w:right w:val="single" w:color="000000" w:sz="4" w:space="0"/>
            </w:tcBorders>
            <w:shd w:val="clear"/>
            <w:vAlign w:val="center"/>
          </w:tcPr>
          <w:p w14:paraId="243C3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被检验单位满意度</w:t>
            </w:r>
          </w:p>
        </w:tc>
        <w:tc>
          <w:tcPr>
            <w:tcW w:w="404" w:type="pct"/>
            <w:tcBorders>
              <w:top w:val="single" w:color="000000" w:sz="4" w:space="0"/>
              <w:left w:val="single" w:color="000000" w:sz="4" w:space="0"/>
              <w:bottom w:val="nil"/>
              <w:right w:val="single" w:color="000000" w:sz="4" w:space="0"/>
            </w:tcBorders>
            <w:shd w:val="clear"/>
            <w:vAlign w:val="center"/>
          </w:tcPr>
          <w:p w14:paraId="6589D3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2E762D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092B29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4" w:type="pct"/>
            <w:tcBorders>
              <w:top w:val="single" w:color="000000" w:sz="4" w:space="0"/>
              <w:left w:val="single" w:color="000000" w:sz="4" w:space="0"/>
              <w:bottom w:val="nil"/>
              <w:right w:val="single" w:color="000000" w:sz="4" w:space="0"/>
            </w:tcBorders>
            <w:shd w:val="clear"/>
            <w:vAlign w:val="center"/>
          </w:tcPr>
          <w:p w14:paraId="508C0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35C9E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0E41E5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18" w:type="pct"/>
            <w:tcBorders>
              <w:top w:val="single" w:color="000000" w:sz="4" w:space="0"/>
              <w:left w:val="single" w:color="000000" w:sz="4" w:space="0"/>
              <w:bottom w:val="nil"/>
              <w:right w:val="single" w:color="000000" w:sz="4" w:space="0"/>
            </w:tcBorders>
            <w:shd w:val="clear"/>
            <w:vAlign w:val="center"/>
          </w:tcPr>
          <w:p w14:paraId="1C5F6F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37" w:type="pct"/>
            <w:tcBorders>
              <w:top w:val="single" w:color="000000" w:sz="4" w:space="0"/>
              <w:left w:val="single" w:color="000000" w:sz="4" w:space="0"/>
              <w:bottom w:val="nil"/>
              <w:right w:val="single" w:color="000000" w:sz="4" w:space="0"/>
            </w:tcBorders>
            <w:shd w:val="clear"/>
            <w:vAlign w:val="center"/>
          </w:tcPr>
          <w:p w14:paraId="7E648CB7">
            <w:pPr>
              <w:jc w:val="center"/>
              <w:rPr>
                <w:rFonts w:hint="eastAsia" w:ascii="宋体" w:hAnsi="宋体" w:eastAsia="宋体" w:cs="宋体"/>
                <w:i w:val="0"/>
                <w:iCs w:val="0"/>
                <w:color w:val="000000"/>
                <w:sz w:val="18"/>
                <w:szCs w:val="18"/>
                <w:u w:val="none"/>
              </w:rPr>
            </w:pPr>
          </w:p>
        </w:tc>
      </w:tr>
      <w:tr w14:paraId="5A8A4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38" w:type="pct"/>
            <w:gridSpan w:val="9"/>
            <w:tcBorders>
              <w:top w:val="single" w:color="000000" w:sz="4" w:space="0"/>
              <w:left w:val="single" w:color="000000" w:sz="4" w:space="0"/>
              <w:bottom w:val="single" w:color="000000" w:sz="4" w:space="0"/>
              <w:right w:val="single" w:color="000000" w:sz="4" w:space="0"/>
            </w:tcBorders>
            <w:shd w:val="clear"/>
            <w:vAlign w:val="center"/>
          </w:tcPr>
          <w:p w14:paraId="141FEA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06C08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vAlign w:val="center"/>
          </w:tcPr>
          <w:p w14:paraId="0C2E4F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99.83</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72E66B7A">
            <w:pPr>
              <w:jc w:val="center"/>
              <w:rPr>
                <w:rFonts w:hint="eastAsia" w:ascii="宋体" w:hAnsi="宋体" w:eastAsia="宋体" w:cs="宋体"/>
                <w:i w:val="0"/>
                <w:iCs w:val="0"/>
                <w:color w:val="000000"/>
                <w:sz w:val="18"/>
                <w:szCs w:val="18"/>
                <w:u w:val="none"/>
              </w:rPr>
            </w:pPr>
          </w:p>
        </w:tc>
      </w:tr>
    </w:tbl>
    <w:p w14:paraId="653F4874">
      <w:pPr>
        <w:pStyle w:val="28"/>
        <w:widowControl/>
        <w:spacing w:before="240" w:after="240"/>
        <w:ind w:left="0" w:leftChars="0" w:firstLine="0" w:firstLineChars="0"/>
        <w:jc w:val="left"/>
        <w:rPr>
          <w:rFonts w:ascii="楷体" w:hAnsi="楷体" w:eastAsia="楷体" w:cs="楷体"/>
          <w:b/>
          <w:bCs/>
          <w:kern w:val="0"/>
          <w:sz w:val="32"/>
          <w:szCs w:val="32"/>
        </w:rPr>
      </w:pPr>
    </w:p>
    <w:p w14:paraId="7B46CE1B">
      <w:pPr>
        <w:pStyle w:val="28"/>
        <w:widowControl/>
        <w:spacing w:before="240" w:after="240"/>
        <w:ind w:left="0" w:leftChars="0" w:firstLine="421" w:firstLineChars="131"/>
        <w:jc w:val="left"/>
        <w:rPr>
          <w:rFonts w:ascii="Times New Roman" w:hAnsi="Times New Roman" w:eastAsia="Times New Roman" w:cs="Times New Roman"/>
          <w:color w:val="auto"/>
          <w:kern w:val="0"/>
          <w:sz w:val="24"/>
        </w:rPr>
      </w:pPr>
      <w:r>
        <w:rPr>
          <w:rFonts w:ascii="楷体" w:hAnsi="楷体" w:eastAsia="楷体" w:cs="楷体"/>
          <w:b/>
          <w:bCs/>
          <w:color w:val="auto"/>
          <w:kern w:val="0"/>
          <w:sz w:val="32"/>
          <w:szCs w:val="32"/>
        </w:rPr>
        <w:t>（三）部门项目绩效评价结果。</w:t>
      </w:r>
    </w:p>
    <w:p w14:paraId="19F6A439">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left="0" w:leftChars="0" w:firstLine="420" w:firstLineChars="0"/>
        <w:jc w:val="both"/>
        <w:textAlignment w:val="auto"/>
        <w:rPr>
          <w:rFonts w:ascii="Times New Roman" w:hAnsi="Times New Roman" w:eastAsia="Times New Roman" w:cs="Times New Roman"/>
          <w:kern w:val="0"/>
          <w:sz w:val="24"/>
        </w:rPr>
      </w:pPr>
      <w:r>
        <w:rPr>
          <w:rFonts w:hint="eastAsia" w:ascii="仿宋_GB2312" w:hAnsi="仿宋_GB2312" w:eastAsia="仿宋_GB2312" w:cs="仿宋_GB2312"/>
          <w:sz w:val="32"/>
          <w:szCs w:val="32"/>
          <w:u w:val="none"/>
          <w:lang w:val="en-US" w:eastAsia="zh-CN"/>
        </w:rPr>
        <w:t>  以“特种设备安全监管项目”为例，该项目绩效评价综合得分为91.80分，绩效评价结果为“优”。项目绩效评价得分情况详见内蒙古自治区特种设备检验研究院部门具体绩效评价结果。</w:t>
      </w:r>
    </w:p>
    <w:p w14:paraId="71518311">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第三部分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名词解释</w:t>
      </w:r>
    </w:p>
    <w:p w14:paraId="01C0D1C1">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一、财政拨款收入：</w:t>
      </w:r>
      <w:r>
        <w:rPr>
          <w:rFonts w:ascii="FangSong_GB2312" w:hAnsi="FangSong_GB2312" w:eastAsia="FangSong_GB2312" w:cs="FangSong_GB2312"/>
          <w:kern w:val="0"/>
          <w:sz w:val="32"/>
          <w:szCs w:val="32"/>
        </w:rPr>
        <w:t>从同级财政部门取得的各类财政拨款，包括一般公共预算财政拨款、政府性基金预算财政拨款、国有资本经营预算财政拨款。</w:t>
      </w:r>
    </w:p>
    <w:p w14:paraId="0A117E5F">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二、上级补助收入：</w:t>
      </w:r>
      <w:r>
        <w:rPr>
          <w:rFonts w:ascii="FangSong_GB2312" w:hAnsi="FangSong_GB2312" w:eastAsia="FangSong_GB2312" w:cs="FangSong_GB2312"/>
          <w:kern w:val="0"/>
          <w:sz w:val="32"/>
          <w:szCs w:val="32"/>
        </w:rPr>
        <w:t>指事业单位从主管部门和上级单位取得的非财政补助收入。</w:t>
      </w:r>
    </w:p>
    <w:p w14:paraId="6AB7ECCD">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三、事业收入：</w:t>
      </w:r>
      <w:r>
        <w:rPr>
          <w:rFonts w:ascii="FangSong_GB2312" w:hAnsi="FangSong_GB2312" w:eastAsia="FangSong_GB2312" w:cs="FangSong_GB2312"/>
          <w:kern w:val="0"/>
          <w:sz w:val="32"/>
          <w:szCs w:val="32"/>
        </w:rPr>
        <w:t>指事业单位开展专业业务活动及其辅助活动取得的收入。</w:t>
      </w:r>
    </w:p>
    <w:p w14:paraId="7DDC476A">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四、经营收入：</w:t>
      </w:r>
      <w:r>
        <w:rPr>
          <w:rFonts w:ascii="FangSong_GB2312" w:hAnsi="FangSong_GB2312" w:eastAsia="FangSong_GB2312" w:cs="FangSong_GB2312"/>
          <w:kern w:val="0"/>
          <w:sz w:val="32"/>
          <w:szCs w:val="32"/>
        </w:rPr>
        <w:t>指事业单位在专业业务活动及其辅助活动之外开展非独立核算经营活动取得的收入。</w:t>
      </w:r>
    </w:p>
    <w:p w14:paraId="2D6A2F3A">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五、附属单位上缴收入：</w:t>
      </w:r>
      <w:r>
        <w:rPr>
          <w:rFonts w:ascii="FangSong_GB2312" w:hAnsi="FangSong_GB2312" w:eastAsia="FangSong_GB2312" w:cs="FangSong_GB2312"/>
          <w:kern w:val="0"/>
          <w:sz w:val="32"/>
          <w:szCs w:val="32"/>
        </w:rPr>
        <w:t>指事业单位取得附属独立核算单位按照有关规定上缴的收入。</w:t>
      </w:r>
    </w:p>
    <w:p w14:paraId="01504990">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六、其他收入：</w:t>
      </w:r>
      <w:r>
        <w:rPr>
          <w:rFonts w:ascii="FangSong_GB2312" w:hAnsi="FangSong_GB2312" w:eastAsia="FangSong_GB2312" w:cs="FangSong_GB2312"/>
          <w:kern w:val="0"/>
          <w:sz w:val="32"/>
          <w:szCs w:val="32"/>
        </w:rPr>
        <w:t>取得的除上述财政拨款收入、上级补助收入、事业收入、经营收入、附属单位上缴收入等以外的各项收入。</w:t>
      </w:r>
    </w:p>
    <w:p w14:paraId="4457A7DD">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七、使用非财政拨款结余（含专用结余）：</w:t>
      </w:r>
      <w:r>
        <w:rPr>
          <w:rFonts w:ascii="FangSong_GB2312" w:hAnsi="FangSong_GB2312" w:eastAsia="FangSong_GB2312" w:cs="FangSong_GB2312"/>
          <w:kern w:val="0"/>
          <w:sz w:val="32"/>
          <w:szCs w:val="32"/>
        </w:rPr>
        <w:t>指事业单位按照预算管理要求使用非财政拨款结余弥补收支差额的金额，以及使用专用结余安排支出的金额。</w:t>
      </w:r>
    </w:p>
    <w:p w14:paraId="69901AC4">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八、年初结转和结余：</w:t>
      </w:r>
      <w:r>
        <w:rPr>
          <w:rFonts w:ascii="FangSong_GB2312" w:hAnsi="FangSong_GB2312" w:eastAsia="FangSong_GB2312" w:cs="FangSong_GB2312"/>
          <w:kern w:val="0"/>
          <w:sz w:val="32"/>
          <w:szCs w:val="32"/>
        </w:rPr>
        <w:t>指单位上年结转本年使用的基本支出结转、项目支出结转和结余、经营结余。</w:t>
      </w:r>
    </w:p>
    <w:p w14:paraId="002638E3">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九、结余分配：</w:t>
      </w:r>
      <w:r>
        <w:rPr>
          <w:rFonts w:ascii="FangSong_GB2312" w:hAnsi="FangSong_GB2312" w:eastAsia="FangSong_GB2312" w:cs="FangSong_GB2312"/>
          <w:kern w:val="0"/>
          <w:sz w:val="32"/>
          <w:szCs w:val="32"/>
        </w:rPr>
        <w:t>指单位按规定缴纳企业所得税以及从非财政拨款结余或经营结余中提取各类结余的情况。</w:t>
      </w:r>
    </w:p>
    <w:p w14:paraId="63657C17">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十、年末结转和结余资金：</w:t>
      </w:r>
      <w:r>
        <w:rPr>
          <w:rFonts w:ascii="FangSong_GB2312" w:hAnsi="FangSong_GB2312" w:eastAsia="FangSong_GB2312" w:cs="FangSong_GB2312"/>
          <w:kern w:val="0"/>
          <w:sz w:val="32"/>
          <w:szCs w:val="32"/>
        </w:rPr>
        <w:t>指单位结转下年的基本支出结转、项目支出结转和结余、经营结余。</w:t>
      </w:r>
    </w:p>
    <w:p w14:paraId="0FF851B2">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十一、基本支出：</w:t>
      </w:r>
      <w:r>
        <w:rPr>
          <w:rFonts w:ascii="FangSong_GB2312" w:hAnsi="FangSong_GB2312" w:eastAsia="FangSong_GB2312" w:cs="FangSong_GB2312"/>
          <w:kern w:val="0"/>
          <w:sz w:val="32"/>
          <w:szCs w:val="32"/>
        </w:rPr>
        <w:t>指为保障机构正常运转、完成日常工作任务所发生的支出，包括人员经费和公用经费。</w:t>
      </w:r>
    </w:p>
    <w:p w14:paraId="63CE62BA">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color w:val="000000"/>
          <w:kern w:val="0"/>
          <w:sz w:val="32"/>
          <w:szCs w:val="32"/>
        </w:rPr>
        <w:t>十二、项目支出：</w:t>
      </w:r>
      <w:r>
        <w:rPr>
          <w:rFonts w:ascii="FangSong_GB2312" w:hAnsi="FangSong_GB2312" w:eastAsia="FangSong_GB2312" w:cs="FangSong_GB2312"/>
          <w:color w:val="000000"/>
          <w:kern w:val="0"/>
          <w:sz w:val="32"/>
          <w:szCs w:val="32"/>
        </w:rPr>
        <w:t>指单位为完成特定的行政工作任务或事业发展目标，在基本支出之外发生的各项支出。</w:t>
      </w:r>
    </w:p>
    <w:p w14:paraId="542FE924">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十三、上缴上级支出：</w:t>
      </w:r>
      <w:r>
        <w:rPr>
          <w:rFonts w:ascii="FangSong_GB2312" w:hAnsi="FangSong_GB2312" w:eastAsia="FangSong_GB2312" w:cs="FangSong_GB2312"/>
          <w:kern w:val="0"/>
          <w:sz w:val="32"/>
          <w:szCs w:val="32"/>
        </w:rPr>
        <w:t>指事业单位按照财政部门和主管部门的规定上缴上级单位的支出。</w:t>
      </w:r>
    </w:p>
    <w:p w14:paraId="4805887C">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十四、经营支出：</w:t>
      </w:r>
      <w:r>
        <w:rPr>
          <w:rFonts w:ascii="FangSong_GB2312" w:hAnsi="FangSong_GB2312" w:eastAsia="FangSong_GB2312" w:cs="FangSong_GB2312"/>
          <w:kern w:val="0"/>
          <w:sz w:val="32"/>
          <w:szCs w:val="32"/>
        </w:rPr>
        <w:t>指事业单位在专业业务活动及其辅助活动之外开展非独立核算经营活动发生的支出。</w:t>
      </w:r>
    </w:p>
    <w:p w14:paraId="60375E71">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十五、对附属单位补助支出：</w:t>
      </w:r>
      <w:r>
        <w:rPr>
          <w:rFonts w:ascii="FangSong_GB2312" w:hAnsi="FangSong_GB2312" w:eastAsia="FangSong_GB2312" w:cs="FangSong_GB2312"/>
          <w:kern w:val="0"/>
          <w:sz w:val="32"/>
          <w:szCs w:val="32"/>
        </w:rPr>
        <w:t>指事业单位用财政拨款收入之外的收入对附属单位补助发生的支出。</w:t>
      </w:r>
    </w:p>
    <w:p w14:paraId="62FD4AEC">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十六、“三公”经费：</w:t>
      </w:r>
      <w:r>
        <w:rPr>
          <w:rFonts w:ascii="FangSong_GB2312" w:hAnsi="FangSong_GB2312" w:eastAsia="FangSong_GB2312" w:cs="FangSong_GB2312"/>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w:t>
      </w:r>
      <w:r>
        <w:rPr>
          <w:rFonts w:ascii="FangSong_GB2312" w:hAnsi="FangSong_GB2312" w:eastAsia="FangSong_GB2312" w:cs="FangSong_GB2312"/>
          <w:color w:val="000000"/>
          <w:kern w:val="0"/>
          <w:sz w:val="32"/>
          <w:szCs w:val="32"/>
        </w:rPr>
        <w:t>新能源汽车充电费、</w:t>
      </w:r>
      <w:r>
        <w:rPr>
          <w:rFonts w:ascii="FangSong_GB2312" w:hAnsi="FangSong_GB2312" w:eastAsia="FangSong_GB2312" w:cs="FangSong_GB2312"/>
          <w:kern w:val="0"/>
          <w:sz w:val="32"/>
          <w:szCs w:val="32"/>
        </w:rPr>
        <w:t>维修费、过路过桥费、保险费、安全奖励费用等支出；公务接待费反映部门（单位）按规定开支的各类公务接待（含外宾接待）费用。</w:t>
      </w:r>
    </w:p>
    <w:p w14:paraId="1B69F66F">
      <w:pPr>
        <w:pStyle w:val="28"/>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十七、机关运行经费：</w:t>
      </w:r>
      <w:r>
        <w:rPr>
          <w:rFonts w:ascii="FangSong_GB2312" w:hAnsi="FangSong_GB2312" w:eastAsia="FangSong_GB2312" w:cs="FangSong_GB2312"/>
          <w:kern w:val="0"/>
          <w:sz w:val="32"/>
          <w:szCs w:val="32"/>
        </w:rPr>
        <w:t>指行政单位和参照公务员法管理的事业单位财政拨款基本支出中的公用经费支出。</w:t>
      </w:r>
    </w:p>
    <w:p w14:paraId="23A22860">
      <w:pPr>
        <w:widowControl/>
        <w:spacing w:before="240" w:after="240"/>
        <w:jc w:val="left"/>
        <w:rPr>
          <w:rFonts w:ascii="Times New Roman" w:hAnsi="Times New Roman" w:eastAsia="Times New Roman" w:cs="Times New Roman"/>
          <w:kern w:val="0"/>
          <w:sz w:val="24"/>
        </w:rPr>
      </w:pPr>
    </w:p>
    <w:p w14:paraId="06D6CB06">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w:t>
      </w:r>
      <w:r>
        <w:rPr>
          <w:rFonts w:ascii="Times New Roman" w:hAnsi="Times New Roman" w:eastAsia="Times New Roman" w:cs="Times New Roman"/>
          <w:kern w:val="0"/>
          <w:sz w:val="36"/>
          <w:szCs w:val="36"/>
        </w:rPr>
        <w:t> </w:t>
      </w:r>
      <w:r>
        <w:rPr>
          <w:rFonts w:ascii="fang_zheng_xiao_biao_song_ti" w:hAnsi="fang_zheng_xiao_biao_song_ti" w:eastAsia="fang_zheng_xiao_biao_song_ti" w:cs="fang_zheng_xiao_biao_song_ti"/>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决算公开联系方式及信息反馈渠道</w:t>
      </w:r>
    </w:p>
    <w:p w14:paraId="548F7C4D">
      <w:pPr>
        <w:widowControl/>
        <w:spacing w:before="240" w:after="240"/>
        <w:jc w:val="left"/>
        <w:rPr>
          <w:rFonts w:ascii="Times New Roman" w:hAnsi="Times New Roman" w:eastAsia="Times New Roman" w:cs="Times New Roman"/>
          <w:kern w:val="0"/>
          <w:sz w:val="24"/>
        </w:rPr>
      </w:pPr>
    </w:p>
    <w:p w14:paraId="7E47442B">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本部门（单位）决算公开信息反馈和联系方式：</w:t>
      </w:r>
    </w:p>
    <w:p w14:paraId="79E0032A">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联系人：</w:t>
      </w:r>
      <w:r>
        <w:rPr>
          <w:rFonts w:ascii="FangSong_GB2312" w:hAnsi="FangSong_GB2312" w:eastAsia="FangSong_GB2312" w:cs="FangSong_GB2312"/>
          <w:kern w:val="0"/>
          <w:sz w:val="32"/>
          <w:szCs w:val="32"/>
          <w:lang w:eastAsia="en-US"/>
        </w:rPr>
        <w:t>金圆圆</w:t>
      </w:r>
      <w:r>
        <w:rPr>
          <w:rFonts w:ascii="Times New Roman" w:hAnsi="Times New Roman" w:eastAsia="Times New Roman" w:cs="Times New Roman"/>
          <w:kern w:val="0"/>
          <w:sz w:val="32"/>
          <w:szCs w:val="32"/>
          <w:lang w:eastAsia="en-US"/>
        </w:rPr>
        <w:t xml:space="preserve">              </w:t>
      </w:r>
      <w:r>
        <w:rPr>
          <w:rFonts w:ascii="FangSong_GB2312" w:hAnsi="FangSong_GB2312" w:eastAsia="FangSong_GB2312" w:cs="FangSong_GB2312"/>
          <w:kern w:val="0"/>
          <w:sz w:val="32"/>
          <w:szCs w:val="32"/>
        </w:rPr>
        <w:t>联系电话：</w:t>
      </w:r>
      <w:r>
        <w:rPr>
          <w:rFonts w:ascii="FangSong_GB2312" w:hAnsi="FangSong_GB2312" w:eastAsia="FangSong_GB2312" w:cs="FangSong_GB2312"/>
          <w:kern w:val="0"/>
          <w:sz w:val="32"/>
          <w:szCs w:val="32"/>
          <w:lang w:eastAsia="en-US"/>
        </w:rPr>
        <w:t>0482-2827208-</w:t>
      </w:r>
      <w:r>
        <w:rPr>
          <w:rFonts w:ascii="Calibri" w:hAnsi="Calibri" w:eastAsia="Calibri" w:cs="Calibri"/>
          <w:kern w:val="0"/>
          <w:sz w:val="32"/>
          <w:szCs w:val="32"/>
          <w:lang w:eastAsia="en-US"/>
        </w:rPr>
        <w:t> </w:t>
      </w:r>
    </w:p>
    <w:p w14:paraId="74796EF0">
      <w:pPr>
        <w:widowControl/>
        <w:spacing w:before="240" w:after="240"/>
        <w:jc w:val="left"/>
        <w:rPr>
          <w:rFonts w:ascii="Times New Roman" w:hAnsi="Times New Roman" w:eastAsia="Times New Roman" w:cs="Times New Roman"/>
          <w:kern w:val="0"/>
          <w:sz w:val="24"/>
        </w:rPr>
      </w:pPr>
    </w:p>
    <w:p w14:paraId="1ED4FCC7">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单位决算表</w:t>
      </w:r>
    </w:p>
    <w:p w14:paraId="743DCF42">
      <w:pPr>
        <w:pStyle w:val="28"/>
        <w:widowControl/>
        <w:spacing w:before="240" w:after="240"/>
        <w:ind w:left="0" w:right="0"/>
        <w:jc w:val="center"/>
        <w:rPr>
          <w:rFonts w:ascii="Times New Roman" w:hAnsi="Times New Roman" w:eastAsia="Times New Roman" w:cs="Times New Roman"/>
          <w:kern w:val="0"/>
          <w:sz w:val="24"/>
        </w:rPr>
      </w:pPr>
      <w:r>
        <w:rPr>
          <w:rFonts w:ascii="Times New Roman" w:hAnsi="Times New Roman" w:eastAsia="Times New Roman" w:cs="Times New Roman"/>
          <w:kern w:val="0"/>
          <w:sz w:val="24"/>
          <w:lang w:eastAsia="en-US"/>
        </w:rPr>
        <w:t> </w:t>
      </w:r>
    </w:p>
    <w:p w14:paraId="21C9D51A">
      <w:pPr>
        <w:pStyle w:val="28"/>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见附件。</w:t>
      </w:r>
    </w:p>
    <w:bookmarkEnd w:id="0"/>
    <w:p w14:paraId="1469750F">
      <w:pPr>
        <w:adjustRightInd w:val="0"/>
        <w:snapToGrid w:val="0"/>
        <w:rPr>
          <w:rFonts w:ascii="宋体" w:hAnsi="宋体"/>
          <w:b/>
          <w:sz w:val="32"/>
          <w:szCs w:val="32"/>
        </w:rPr>
      </w:pPr>
    </w:p>
    <w:p w14:paraId="064DC7E7">
      <w:pPr>
        <w:tabs>
          <w:tab w:val="left" w:pos="8415"/>
        </w:tabs>
      </w:pPr>
    </w:p>
    <w:sectPr>
      <w:footerReference r:id="rId3" w:type="default"/>
      <w:pgSz w:w="11906" w:h="16838"/>
      <w:pgMar w:top="1440" w:right="1800" w:bottom="1440" w:left="1800"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096750-A431-4615-9B67-3C95AED206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022862C-E004-4AFC-A848-5A0589E352B4}"/>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3" w:fontKey="{AF77E35E-C019-4200-B4BF-C9A4386D3A72}"/>
  </w:font>
  <w:font w:name="仿宋">
    <w:panose1 w:val="02010609060101010101"/>
    <w:charset w:val="86"/>
    <w:family w:val="modern"/>
    <w:pitch w:val="default"/>
    <w:sig w:usb0="800002BF" w:usb1="38CF7CFA" w:usb2="00000016" w:usb3="00000000" w:csb0="00040001" w:csb1="00000000"/>
    <w:embedRegular r:id="rId4" w:fontKey="{7086B517-29C7-480A-9AE4-09B119F235A3}"/>
  </w:font>
  <w:font w:name="方正小标宋简体">
    <w:panose1 w:val="02000000000000000000"/>
    <w:charset w:val="86"/>
    <w:family w:val="auto"/>
    <w:pitch w:val="default"/>
    <w:sig w:usb0="00000001" w:usb1="08000000" w:usb2="00000000" w:usb3="00000000" w:csb0="00040000" w:csb1="00000000"/>
    <w:embedRegular r:id="rId5" w:fontKey="{1E402A60-BD9C-4B9E-AE50-2B6B21BF40DD}"/>
  </w:font>
  <w:font w:name="FangSong_GB2312">
    <w:altName w:val="仿宋"/>
    <w:panose1 w:val="00000000000000000000"/>
    <w:charset w:val="00"/>
    <w:family w:val="auto"/>
    <w:pitch w:val="default"/>
    <w:sig w:usb0="00000000" w:usb1="00000000" w:usb2="00000000" w:usb3="00000000" w:csb0="00000000" w:csb1="00000000"/>
    <w:embedRegular r:id="rId6" w:fontKey="{EBDE97B1-1B7F-49F0-9CE8-D96B997E1359}"/>
  </w:font>
  <w:font w:name="楷体">
    <w:panose1 w:val="02010609060101010101"/>
    <w:charset w:val="86"/>
    <w:family w:val="auto"/>
    <w:pitch w:val="default"/>
    <w:sig w:usb0="800002BF" w:usb1="38CF7CFA" w:usb2="00000016" w:usb3="00000000" w:csb0="00040001" w:csb1="00000000"/>
    <w:embedRegular r:id="rId7" w:fontKey="{3EB96BE6-02E5-4ED0-8178-9E20396D4B96}"/>
  </w:font>
  <w:font w:name="Times New Roman Regular">
    <w:altName w:val="Times New Roman"/>
    <w:panose1 w:val="00000000000000000000"/>
    <w:charset w:val="00"/>
    <w:family w:val="auto"/>
    <w:pitch w:val="default"/>
    <w:sig w:usb0="00000000" w:usb1="00000000" w:usb2="00000001" w:usb3="00000000" w:csb0="400001BF" w:csb1="DFF70000"/>
    <w:embedRegular r:id="rId8" w:fontKey="{D896478B-E882-497C-8B72-D6E599034EB8}"/>
  </w:font>
  <w:font w:name="fang_zheng_xiao_biao_song_ti">
    <w:altName w:val="Segoe Print"/>
    <w:panose1 w:val="00000000000000000000"/>
    <w:charset w:val="00"/>
    <w:family w:val="auto"/>
    <w:pitch w:val="default"/>
    <w:sig w:usb0="00000000" w:usb1="00000000" w:usb2="00000000" w:usb3="00000000" w:csb0="00000000" w:csb1="00000000"/>
    <w:embedRegular r:id="rId9" w:fontKey="{8E1AF62D-89FB-4481-AF0D-209344BF8CD6}"/>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 w:name="KSOF8BCA4F43">
    <w:panose1 w:val="02010609060101010101"/>
    <w:charset w:val="86"/>
    <w:family w:val="auto"/>
    <w:pitch w:val="default"/>
    <w:sig w:usb0="00000001" w:usb1="00000000" w:usb2="00000000" w:usb3="00000000" w:csb0="00040001" w:csb1="00000000"/>
  </w:font>
  <w:font w:name="KSOF8BCAC3A2">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embedRegular r:id="rId10" w:fontKey="{99C892F8-45C4-4B1F-B253-A96F0529493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1BFA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195F88"/>
    <w:multiLevelType w:val="singleLevel"/>
    <w:tmpl w:val="F2195F88"/>
    <w:lvl w:ilvl="0" w:tentative="0">
      <w:start w:val="1"/>
      <w:numFmt w:val="decimal"/>
      <w:lvlText w:val="%1."/>
      <w:lvlJc w:val="left"/>
      <w:pPr>
        <w:tabs>
          <w:tab w:val="left" w:pos="312"/>
        </w:tabs>
      </w:pPr>
    </w:lvl>
  </w:abstractNum>
  <w:abstractNum w:abstractNumId="1">
    <w:nsid w:val="37F0BBD2"/>
    <w:multiLevelType w:val="singleLevel"/>
    <w:tmpl w:val="37F0BBD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172A27"/>
    <w:rsid w:val="03404493"/>
    <w:rsid w:val="04F419D9"/>
    <w:rsid w:val="0A5711E0"/>
    <w:rsid w:val="103F0C1B"/>
    <w:rsid w:val="14F84643"/>
    <w:rsid w:val="165C42CC"/>
    <w:rsid w:val="170D1A1F"/>
    <w:rsid w:val="20992FDD"/>
    <w:rsid w:val="26D23DFE"/>
    <w:rsid w:val="2BEA0B91"/>
    <w:rsid w:val="325F4087"/>
    <w:rsid w:val="38E70932"/>
    <w:rsid w:val="3A9E3876"/>
    <w:rsid w:val="3B2714BA"/>
    <w:rsid w:val="42E26BAC"/>
    <w:rsid w:val="47571378"/>
    <w:rsid w:val="4C2757BD"/>
    <w:rsid w:val="57D1482F"/>
    <w:rsid w:val="592B61C1"/>
    <w:rsid w:val="788566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paragraph" w:styleId="5">
    <w:name w:val="heading 4"/>
    <w:basedOn w:val="1"/>
    <w:next w:val="1"/>
    <w:link w:val="22"/>
    <w:qFormat/>
    <w:uiPriority w:val="0"/>
    <w:pPr>
      <w:keepNext/>
      <w:keepLines/>
      <w:spacing w:before="280" w:after="290" w:line="376" w:lineRule="auto"/>
      <w:outlineLvl w:val="3"/>
    </w:pPr>
    <w:rPr>
      <w:rFonts w:ascii="Cambria" w:hAnsi="Cambria"/>
      <w:b/>
      <w:bCs/>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toc 5"/>
    <w:basedOn w:val="1"/>
    <w:next w:val="1"/>
    <w:autoRedefine/>
    <w:qFormat/>
    <w:uiPriority w:val="0"/>
    <w:pPr>
      <w:ind w:left="840"/>
      <w:jc w:val="left"/>
    </w:pPr>
    <w:rPr>
      <w:sz w:val="20"/>
      <w:szCs w:val="20"/>
    </w:rPr>
  </w:style>
  <w:style w:type="paragraph" w:styleId="9">
    <w:name w:val="toc 3"/>
    <w:basedOn w:val="1"/>
    <w:next w:val="1"/>
    <w:qFormat/>
    <w:uiPriority w:val="0"/>
    <w:pPr>
      <w:adjustRightInd w:val="0"/>
      <w:snapToGrid w:val="0"/>
      <w:spacing w:line="360" w:lineRule="auto"/>
      <w:ind w:firstLine="400" w:firstLineChars="400"/>
      <w:jc w:val="left"/>
    </w:pPr>
    <w:rPr>
      <w:sz w:val="24"/>
      <w:szCs w:val="20"/>
    </w:rPr>
  </w:style>
  <w:style w:type="paragraph" w:styleId="10">
    <w:name w:val="toc 8"/>
    <w:basedOn w:val="1"/>
    <w:next w:val="1"/>
    <w:autoRedefine/>
    <w:qFormat/>
    <w:uiPriority w:val="0"/>
    <w:pPr>
      <w:ind w:left="1470"/>
      <w:jc w:val="left"/>
    </w:pPr>
    <w:rPr>
      <w:sz w:val="20"/>
      <w:szCs w:val="20"/>
    </w:rPr>
  </w:style>
  <w:style w:type="paragraph" w:styleId="11">
    <w:name w:val="footer"/>
    <w:basedOn w:val="1"/>
    <w:link w:val="25"/>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adjustRightInd w:val="0"/>
      <w:snapToGrid w:val="0"/>
      <w:spacing w:line="360" w:lineRule="auto"/>
      <w:jc w:val="left"/>
    </w:pPr>
    <w:rPr>
      <w:b/>
      <w:bCs/>
      <w:sz w:val="24"/>
      <w:szCs w:val="20"/>
    </w:rPr>
  </w:style>
  <w:style w:type="paragraph" w:styleId="14">
    <w:name w:val="toc 4"/>
    <w:basedOn w:val="1"/>
    <w:next w:val="1"/>
    <w:autoRedefine/>
    <w:qFormat/>
    <w:uiPriority w:val="0"/>
    <w:pPr>
      <w:ind w:left="630"/>
      <w:jc w:val="left"/>
    </w:pPr>
    <w:rPr>
      <w:sz w:val="20"/>
      <w:szCs w:val="20"/>
    </w:rPr>
  </w:style>
  <w:style w:type="paragraph" w:styleId="15">
    <w:name w:val="toc 6"/>
    <w:basedOn w:val="1"/>
    <w:next w:val="1"/>
    <w:autoRedefine/>
    <w:qFormat/>
    <w:uiPriority w:val="0"/>
    <w:pPr>
      <w:ind w:left="1050"/>
      <w:jc w:val="left"/>
    </w:pPr>
    <w:rPr>
      <w:sz w:val="20"/>
      <w:szCs w:val="20"/>
    </w:rPr>
  </w:style>
  <w:style w:type="paragraph" w:styleId="16">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7">
    <w:name w:val="toc 9"/>
    <w:basedOn w:val="1"/>
    <w:next w:val="1"/>
    <w:autoRedefine/>
    <w:qFormat/>
    <w:uiPriority w:val="0"/>
    <w:pPr>
      <w:ind w:left="1680"/>
      <w:jc w:val="left"/>
    </w:pPr>
    <w:rPr>
      <w:sz w:val="20"/>
      <w:szCs w:val="20"/>
    </w:rPr>
  </w:style>
  <w:style w:type="character" w:styleId="20">
    <w:name w:val="page number"/>
    <w:basedOn w:val="19"/>
    <w:qFormat/>
    <w:uiPriority w:val="0"/>
  </w:style>
  <w:style w:type="character" w:styleId="21">
    <w:name w:val="Hyperlink"/>
    <w:basedOn w:val="19"/>
    <w:qFormat/>
    <w:uiPriority w:val="0"/>
    <w:rPr>
      <w:color w:val="0000FF"/>
      <w:u w:val="single"/>
    </w:rPr>
  </w:style>
  <w:style w:type="character" w:customStyle="1" w:styleId="22">
    <w:name w:val="标题 4 Char"/>
    <w:basedOn w:val="19"/>
    <w:link w:val="5"/>
    <w:qFormat/>
    <w:uiPriority w:val="0"/>
    <w:rPr>
      <w:rFonts w:ascii="Cambria" w:hAnsi="Cambria"/>
      <w:b/>
      <w:bCs/>
      <w:kern w:val="2"/>
      <w:sz w:val="28"/>
      <w:szCs w:val="28"/>
    </w:rPr>
  </w:style>
  <w:style w:type="paragraph" w:styleId="23">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4">
    <w:name w:val="无间隔 Char"/>
    <w:link w:val="23"/>
    <w:qFormat/>
    <w:locked/>
    <w:uiPriority w:val="0"/>
    <w:rPr>
      <w:rFonts w:eastAsia="仿宋_GB2312"/>
      <w:sz w:val="30"/>
      <w:szCs w:val="22"/>
      <w:lang w:bidi="ar-SA"/>
    </w:rPr>
  </w:style>
  <w:style w:type="character" w:customStyle="1" w:styleId="25">
    <w:name w:val="页脚 Char"/>
    <w:basedOn w:val="19"/>
    <w:link w:val="11"/>
    <w:qFormat/>
    <w:uiPriority w:val="0"/>
    <w:rPr>
      <w:kern w:val="2"/>
      <w:sz w:val="18"/>
      <w:szCs w:val="18"/>
    </w:rPr>
  </w:style>
  <w:style w:type="paragraph" w:styleId="26">
    <w:name w:val="List Paragraph"/>
    <w:basedOn w:val="1"/>
    <w:qFormat/>
    <w:uiPriority w:val="0"/>
    <w:pPr>
      <w:ind w:firstLine="420" w:firstLineChars="200"/>
    </w:pPr>
  </w:style>
  <w:style w:type="character" w:customStyle="1" w:styleId="27">
    <w:name w:val="标题 3 Char"/>
    <w:basedOn w:val="19"/>
    <w:link w:val="4"/>
    <w:qFormat/>
    <w:uiPriority w:val="0"/>
    <w:rPr>
      <w:b/>
      <w:bCs/>
      <w:kern w:val="2"/>
      <w:sz w:val="32"/>
      <w:szCs w:val="32"/>
    </w:rPr>
  </w:style>
  <w:style w:type="paragraph" w:customStyle="1" w:styleId="28">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40</Pages>
  <Words>12365</Words>
  <Characters>13990</Characters>
  <Lines>1</Lines>
  <Paragraphs>1</Paragraphs>
  <TotalTime>32</TotalTime>
  <ScaleCrop>false</ScaleCrop>
  <LinksUpToDate>false</LinksUpToDate>
  <CharactersWithSpaces>14192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」米兔°～</cp:lastModifiedBy>
  <cp:lastPrinted>2026-08-20T02:47:00Z</cp:lastPrinted>
  <dcterms:modified xsi:type="dcterms:W3CDTF">2026-08-24T02:28:45Z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2052-12.1.0.28043</vt:lpwstr>
  </property>
  <property fmtid="{D5CDD505-2E9C-101B-9397-08002B2CF9AE}" pid="4" name="KSOTemplateDocerSaveRecord">
    <vt:lpwstr>eyJoZGlkIjoiNDlkNTFiMDBiYzk4NWEzOTE1ZjcwYmJkMDk1ZmI4YzMiLCJ1c2VySWQiOiI3OTU4MjgyMzYifQ==</vt:lpwstr>
  </property>
</Properties>
</file>