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C77A7">
      <w:pPr>
        <w:jc w:val="center"/>
        <w:rPr>
          <w:b/>
          <w:bCs/>
          <w:sz w:val="48"/>
          <w:szCs w:val="60"/>
        </w:rPr>
      </w:pPr>
      <w:r>
        <w:rPr>
          <w:rFonts w:hint="eastAsia"/>
          <w:b/>
          <w:bCs/>
          <w:sz w:val="48"/>
          <w:szCs w:val="60"/>
        </w:rPr>
        <w:t>起重机械</w:t>
      </w:r>
      <w:r>
        <w:rPr>
          <w:rFonts w:hint="eastAsia"/>
          <w:b/>
          <w:bCs/>
          <w:sz w:val="48"/>
          <w:szCs w:val="60"/>
          <w:lang w:eastAsia="zh-CN"/>
        </w:rPr>
        <w:t>（</w:t>
      </w:r>
      <w:r>
        <w:rPr>
          <w:rFonts w:hint="eastAsia"/>
          <w:b/>
          <w:bCs/>
          <w:sz w:val="48"/>
          <w:szCs w:val="60"/>
          <w:lang w:val="en-US" w:eastAsia="zh-CN"/>
        </w:rPr>
        <w:t>电动单梁</w:t>
      </w:r>
      <w:r>
        <w:rPr>
          <w:rFonts w:hint="eastAsia"/>
          <w:b/>
          <w:bCs/>
          <w:sz w:val="48"/>
          <w:szCs w:val="60"/>
          <w:lang w:eastAsia="zh-CN"/>
        </w:rPr>
        <w:t>）</w:t>
      </w:r>
      <w:r>
        <w:rPr>
          <w:rFonts w:hint="eastAsia"/>
          <w:b/>
          <w:bCs/>
          <w:sz w:val="48"/>
          <w:szCs w:val="60"/>
        </w:rPr>
        <w:t>首检</w:t>
      </w:r>
      <w:r>
        <w:rPr>
          <w:rFonts w:hint="eastAsia"/>
          <w:b/>
          <w:bCs/>
          <w:sz w:val="48"/>
          <w:szCs w:val="60"/>
          <w:lang w:val="en-US" w:eastAsia="zh-CN"/>
        </w:rPr>
        <w:t>办事</w:t>
      </w:r>
      <w:r>
        <w:rPr>
          <w:rFonts w:hint="eastAsia"/>
          <w:b/>
          <w:bCs/>
          <w:sz w:val="48"/>
          <w:szCs w:val="60"/>
        </w:rPr>
        <w:t>流程</w:t>
      </w:r>
    </w:p>
    <w:p w14:paraId="638EB16C">
      <w:pPr>
        <w:rPr>
          <w:sz w:val="52"/>
          <w:szCs w:val="72"/>
        </w:rPr>
      </w:pPr>
      <w:r>
        <w:rPr>
          <w:rFonts w:hint="eastAsia"/>
          <w:sz w:val="32"/>
          <w:szCs w:val="40"/>
        </w:rPr>
        <w:t>1、</w:t>
      </w:r>
      <w:r>
        <w:rPr>
          <w:rFonts w:hint="eastAsia"/>
          <w:sz w:val="36"/>
          <w:szCs w:val="44"/>
        </w:rPr>
        <w:t>登录特种设备信息化平台（网址https://tzsb.bttjs.org.cn/）→</w:t>
      </w:r>
      <w:r>
        <w:rPr>
          <w:rFonts w:hint="eastAsia"/>
          <w:sz w:val="36"/>
          <w:szCs w:val="44"/>
          <w:lang w:val="en-US" w:eastAsia="zh-CN"/>
        </w:rPr>
        <w:t>生产单位管理系统。</w:t>
      </w:r>
    </w:p>
    <w:p w14:paraId="5CD1F0EF">
      <w:r>
        <w:rPr>
          <w:rFonts w:hint="eastAsia"/>
          <w:lang w:val="en-US" w:eastAsia="zh-CN"/>
        </w:rPr>
        <w:drawing>
          <wp:inline distT="0" distB="0" distL="114300" distR="114300">
            <wp:extent cx="6635750" cy="4161790"/>
            <wp:effectExtent l="0" t="0" r="12700" b="10160"/>
            <wp:docPr id="2" name="图片 2" descr="容器监检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容器监检登录界面"/>
                    <pic:cNvPicPr>
                      <a:picLocks noChangeAspect="1"/>
                    </pic:cNvPicPr>
                  </pic:nvPicPr>
                  <pic:blipFill>
                    <a:blip r:embed="rId4"/>
                    <a:stretch>
                      <a:fillRect/>
                    </a:stretch>
                  </pic:blipFill>
                  <pic:spPr>
                    <a:xfrm>
                      <a:off x="0" y="0"/>
                      <a:ext cx="6635750" cy="4161790"/>
                    </a:xfrm>
                    <a:prstGeom prst="rect">
                      <a:avLst/>
                    </a:prstGeom>
                  </pic:spPr>
                </pic:pic>
              </a:graphicData>
            </a:graphic>
          </wp:inline>
        </w:drawing>
      </w:r>
    </w:p>
    <w:p w14:paraId="54AD7648">
      <w:pPr>
        <w:numPr>
          <w:ilvl w:val="0"/>
          <w:numId w:val="1"/>
        </w:numPr>
        <w:rPr>
          <w:sz w:val="36"/>
          <w:szCs w:val="36"/>
        </w:rPr>
      </w:pPr>
      <w:r>
        <w:rPr>
          <w:rFonts w:hint="eastAsia"/>
          <w:sz w:val="36"/>
          <w:szCs w:val="36"/>
        </w:rPr>
        <w:t>登录</w:t>
      </w:r>
      <w:r>
        <w:rPr>
          <w:rFonts w:hint="eastAsia"/>
          <w:sz w:val="36"/>
          <w:szCs w:val="36"/>
          <w:lang w:val="en-US" w:eastAsia="zh-CN"/>
        </w:rPr>
        <w:t>生产</w:t>
      </w:r>
      <w:r>
        <w:rPr>
          <w:rFonts w:hint="eastAsia"/>
          <w:sz w:val="36"/>
          <w:szCs w:val="36"/>
        </w:rPr>
        <w:t>单位管理系统后点击业务办理→设备检验业务→申请检验。</w:t>
      </w:r>
    </w:p>
    <w:p w14:paraId="13DE8B3F">
      <w:pPr>
        <w:rPr>
          <w:rFonts w:hint="eastAsia"/>
          <w:sz w:val="36"/>
          <w:szCs w:val="36"/>
        </w:rPr>
      </w:pPr>
      <w:r>
        <w:rPr>
          <w:rFonts w:hint="default"/>
          <w:sz w:val="36"/>
          <w:szCs w:val="36"/>
          <w:lang w:val="en-US" w:eastAsia="zh-CN"/>
        </w:rPr>
        <w:drawing>
          <wp:inline distT="0" distB="0" distL="114300" distR="114300">
            <wp:extent cx="6645275" cy="2874645"/>
            <wp:effectExtent l="0" t="0" r="3175" b="1905"/>
            <wp:docPr id="11" name="图片 11" descr="生产单位业务办理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生产单位业务办理页面"/>
                    <pic:cNvPicPr>
                      <a:picLocks noChangeAspect="1"/>
                    </pic:cNvPicPr>
                  </pic:nvPicPr>
                  <pic:blipFill>
                    <a:blip r:embed="rId5"/>
                    <a:stretch>
                      <a:fillRect/>
                    </a:stretch>
                  </pic:blipFill>
                  <pic:spPr>
                    <a:xfrm>
                      <a:off x="0" y="0"/>
                      <a:ext cx="6645275" cy="2874645"/>
                    </a:xfrm>
                    <a:prstGeom prst="rect">
                      <a:avLst/>
                    </a:prstGeom>
                  </pic:spPr>
                </pic:pic>
              </a:graphicData>
            </a:graphic>
          </wp:inline>
        </w:drawing>
      </w:r>
    </w:p>
    <w:p w14:paraId="7716B1F5">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0FE9451D">
      <w:pPr>
        <w:rPr>
          <w:sz w:val="36"/>
          <w:szCs w:val="36"/>
        </w:rPr>
      </w:pPr>
      <w:r>
        <w:rPr>
          <w:rFonts w:hint="default"/>
          <w:sz w:val="36"/>
          <w:szCs w:val="36"/>
          <w:lang w:val="en-US" w:eastAsia="zh-CN"/>
        </w:rPr>
        <w:drawing>
          <wp:inline distT="0" distB="0" distL="114300" distR="114300">
            <wp:extent cx="5838190" cy="3409315"/>
            <wp:effectExtent l="0" t="0" r="10160" b="635"/>
            <wp:docPr id="12" name="图片 12" descr="生产单位+申请检验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生产单位+申请检验页面"/>
                    <pic:cNvPicPr>
                      <a:picLocks noChangeAspect="1"/>
                    </pic:cNvPicPr>
                  </pic:nvPicPr>
                  <pic:blipFill>
                    <a:blip r:embed="rId7"/>
                    <a:stretch>
                      <a:fillRect/>
                    </a:stretch>
                  </pic:blipFill>
                  <pic:spPr>
                    <a:xfrm>
                      <a:off x="0" y="0"/>
                      <a:ext cx="5838190" cy="3409315"/>
                    </a:xfrm>
                    <a:prstGeom prst="rect">
                      <a:avLst/>
                    </a:prstGeom>
                  </pic:spPr>
                </pic:pic>
              </a:graphicData>
            </a:graphic>
          </wp:inline>
        </w:drawing>
      </w:r>
    </w:p>
    <w:p w14:paraId="06DF67CA">
      <w:pPr>
        <w:numPr>
          <w:ilvl w:val="0"/>
          <w:numId w:val="1"/>
        </w:numPr>
        <w:rPr>
          <w:sz w:val="36"/>
          <w:szCs w:val="36"/>
        </w:rPr>
      </w:pPr>
      <w:r>
        <w:rPr>
          <w:rFonts w:hint="eastAsia"/>
          <w:sz w:val="36"/>
          <w:szCs w:val="36"/>
        </w:rPr>
        <w:t>在基本信息页面填入基本信息→点击保存基本信息</w:t>
      </w:r>
    </w:p>
    <w:p w14:paraId="7C55340C">
      <w:pPr>
        <w:rPr>
          <w:sz w:val="36"/>
          <w:szCs w:val="36"/>
        </w:rPr>
      </w:pPr>
      <w:r>
        <w:rPr>
          <w:rFonts w:hint="eastAsia"/>
          <w:sz w:val="36"/>
          <w:szCs w:val="36"/>
        </w:rPr>
        <w:t>注：示例图中红色方框内为必填项。</w:t>
      </w:r>
    </w:p>
    <w:p w14:paraId="7CD017CF">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31305" cy="3858260"/>
            <wp:effectExtent l="0" t="0" r="17145" b="8890"/>
            <wp:docPr id="7" name="图片 7"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
                    <pic:cNvPicPr>
                      <a:picLocks noChangeAspect="1"/>
                    </pic:cNvPicPr>
                  </pic:nvPicPr>
                  <pic:blipFill>
                    <a:blip r:embed="rId8"/>
                    <a:stretch>
                      <a:fillRect/>
                    </a:stretch>
                  </pic:blipFill>
                  <pic:spPr>
                    <a:xfrm>
                      <a:off x="0" y="0"/>
                      <a:ext cx="6631305" cy="3858260"/>
                    </a:xfrm>
                    <a:prstGeom prst="rect">
                      <a:avLst/>
                    </a:prstGeom>
                  </pic:spPr>
                </pic:pic>
              </a:graphicData>
            </a:graphic>
          </wp:inline>
        </w:drawing>
      </w:r>
    </w:p>
    <w:p w14:paraId="174CAD45">
      <w:pPr>
        <w:rPr>
          <w:b/>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47389EEA">
      <w:pPr>
        <w:rPr>
          <w:rFonts w:hint="eastAsia" w:eastAsiaTheme="minorEastAsia"/>
          <w:sz w:val="36"/>
          <w:szCs w:val="36"/>
          <w:lang w:eastAsia="zh-CN"/>
        </w:rPr>
      </w:pPr>
    </w:p>
    <w:p w14:paraId="167D910D">
      <w:pPr>
        <w:numPr>
          <w:ilvl w:val="0"/>
          <w:numId w:val="1"/>
        </w:numPr>
        <w:rPr>
          <w:sz w:val="36"/>
          <w:szCs w:val="36"/>
        </w:rPr>
      </w:pPr>
      <w:r>
        <w:rPr>
          <w:rFonts w:hint="eastAsia"/>
          <w:sz w:val="36"/>
          <w:szCs w:val="36"/>
        </w:rPr>
        <w:t>保存基本信息生成受理单号后切换报检设备信息页面→点击“批量增加施工告知设备”。</w:t>
      </w:r>
    </w:p>
    <w:p w14:paraId="29D42CD5">
      <w:pPr>
        <w:rPr>
          <w:sz w:val="36"/>
          <w:szCs w:val="36"/>
        </w:rPr>
      </w:pPr>
      <w:r>
        <w:rPr>
          <w:sz w:val="36"/>
          <w:szCs w:val="36"/>
        </w:rPr>
        <w:drawing>
          <wp:inline distT="0" distB="0" distL="114300" distR="114300">
            <wp:extent cx="6638925" cy="2783840"/>
            <wp:effectExtent l="0" t="0" r="9525" b="16510"/>
            <wp:docPr id="15" name="图片 15" descr="容器渐渐报检设备信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容器渐渐报检设备信息页"/>
                    <pic:cNvPicPr>
                      <a:picLocks noChangeAspect="1"/>
                    </pic:cNvPicPr>
                  </pic:nvPicPr>
                  <pic:blipFill>
                    <a:blip r:embed="rId9"/>
                    <a:stretch>
                      <a:fillRect/>
                    </a:stretch>
                  </pic:blipFill>
                  <pic:spPr>
                    <a:xfrm>
                      <a:off x="0" y="0"/>
                      <a:ext cx="6638925" cy="2783840"/>
                    </a:xfrm>
                    <a:prstGeom prst="rect">
                      <a:avLst/>
                    </a:prstGeom>
                  </pic:spPr>
                </pic:pic>
              </a:graphicData>
            </a:graphic>
          </wp:inline>
        </w:drawing>
      </w:r>
    </w:p>
    <w:p w14:paraId="44893032">
      <w:pPr>
        <w:rPr>
          <w:sz w:val="36"/>
          <w:szCs w:val="36"/>
        </w:rPr>
      </w:pPr>
    </w:p>
    <w:p w14:paraId="77C8F870">
      <w:pPr>
        <w:numPr>
          <w:ilvl w:val="0"/>
          <w:numId w:val="1"/>
        </w:numPr>
        <w:rPr>
          <w:sz w:val="36"/>
          <w:szCs w:val="36"/>
        </w:rPr>
      </w:pPr>
      <w:r>
        <w:rPr>
          <w:rFonts w:hint="eastAsia"/>
          <w:sz w:val="36"/>
          <w:szCs w:val="36"/>
        </w:rPr>
        <w:t>在弹出的报检页面找到需要报检的设备→勾选后先点击选择设备按钮，再点击保存报检设备按钮。</w:t>
      </w:r>
    </w:p>
    <w:p w14:paraId="4C479BE2">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590925"/>
            <wp:effectExtent l="0" t="0" r="6350"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6642100" cy="3590925"/>
                    </a:xfrm>
                    <a:prstGeom prst="rect">
                      <a:avLst/>
                    </a:prstGeom>
                  </pic:spPr>
                </pic:pic>
              </a:graphicData>
            </a:graphic>
          </wp:inline>
        </w:drawing>
      </w:r>
    </w:p>
    <w:p w14:paraId="6C60D8F2">
      <w:pPr>
        <w:numPr>
          <w:ilvl w:val="0"/>
          <w:numId w:val="1"/>
        </w:numPr>
        <w:rPr>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57981235">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3370" cy="5776595"/>
            <wp:effectExtent l="0" t="0" r="5080" b="14605"/>
            <wp:docPr id="8" name="图片 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2"/>
                    <pic:cNvPicPr>
                      <a:picLocks noChangeAspect="1"/>
                    </pic:cNvPicPr>
                  </pic:nvPicPr>
                  <pic:blipFill>
                    <a:blip r:embed="rId11"/>
                    <a:stretch>
                      <a:fillRect/>
                    </a:stretch>
                  </pic:blipFill>
                  <pic:spPr>
                    <a:xfrm>
                      <a:off x="0" y="0"/>
                      <a:ext cx="6643370" cy="5776595"/>
                    </a:xfrm>
                    <a:prstGeom prst="rect">
                      <a:avLst/>
                    </a:prstGeom>
                  </pic:spPr>
                </pic:pic>
              </a:graphicData>
            </a:graphic>
          </wp:inline>
        </w:drawing>
      </w:r>
    </w:p>
    <w:p w14:paraId="22D4AB11">
      <w:pPr>
        <w:rPr>
          <w:sz w:val="36"/>
          <w:szCs w:val="36"/>
        </w:rPr>
      </w:pPr>
      <w:r>
        <w:rPr>
          <w:rFonts w:hint="eastAsia"/>
          <w:sz w:val="36"/>
          <w:szCs w:val="36"/>
          <w:lang w:val="en-US" w:eastAsia="zh-CN"/>
        </w:rPr>
        <w:t>8、</w:t>
      </w:r>
      <w:r>
        <w:rPr>
          <w:rFonts w:hint="eastAsia"/>
          <w:sz w:val="36"/>
          <w:szCs w:val="36"/>
        </w:rPr>
        <w:t>回到基本信息页面点击提交申请。</w:t>
      </w:r>
    </w:p>
    <w:p w14:paraId="285D9AEC">
      <w:pPr>
        <w:rPr>
          <w:sz w:val="36"/>
          <w:szCs w:val="36"/>
        </w:rPr>
      </w:pPr>
      <w:r>
        <w:rPr>
          <w:sz w:val="36"/>
          <w:szCs w:val="36"/>
        </w:rPr>
        <w:drawing>
          <wp:inline distT="0" distB="0" distL="0" distR="0">
            <wp:extent cx="5781675" cy="2105025"/>
            <wp:effectExtent l="0" t="0" r="9525" b="9525"/>
            <wp:docPr id="9" name="图片 9"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1115298">
      <w:pPr>
        <w:rPr>
          <w:sz w:val="36"/>
          <w:szCs w:val="36"/>
        </w:rPr>
      </w:pPr>
    </w:p>
    <w:p w14:paraId="3B11F021">
      <w:pPr>
        <w:ind w:left="810" w:leftChars="0" w:hanging="810" w:hangingChars="225"/>
        <w:jc w:val="left"/>
        <w:rPr>
          <w:rFonts w:hint="eastAsia"/>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w:t>
      </w:r>
      <w:r>
        <w:rPr>
          <w:rFonts w:hint="eastAsia"/>
          <w:sz w:val="36"/>
          <w:szCs w:val="36"/>
          <w:lang w:val="en-US" w:eastAsia="zh-CN"/>
        </w:rPr>
        <w:t>核实资料无误后进行费用核算并将检验任务提交到待缴费，用户根据费用信息中的缴款通知书中载明的账户信息进行付款，</w:t>
      </w:r>
      <w:r>
        <w:rPr>
          <w:rFonts w:hint="eastAsia"/>
          <w:sz w:val="36"/>
          <w:szCs w:val="36"/>
        </w:rPr>
        <w:t>（收款单位为：内蒙古自治区财政厅），付款时请认真阅读注意事项</w:t>
      </w:r>
      <w:r>
        <w:rPr>
          <w:rFonts w:hint="eastAsia"/>
          <w:sz w:val="36"/>
          <w:szCs w:val="36"/>
          <w:lang w:eastAsia="zh-CN"/>
        </w:rPr>
        <w:t>（</w:t>
      </w:r>
      <w:r>
        <w:rPr>
          <w:rFonts w:hint="eastAsia"/>
          <w:sz w:val="36"/>
          <w:szCs w:val="36"/>
          <w:lang w:val="en-US" w:eastAsia="zh-CN"/>
        </w:rPr>
        <w:t>见附件一</w:t>
      </w:r>
      <w:r>
        <w:rPr>
          <w:rFonts w:hint="eastAsia"/>
          <w:sz w:val="36"/>
          <w:szCs w:val="36"/>
          <w:lang w:eastAsia="zh-CN"/>
        </w:rPr>
        <w:t>）</w:t>
      </w:r>
      <w:r>
        <w:rPr>
          <w:rFonts w:hint="eastAsia"/>
          <w:sz w:val="36"/>
          <w:szCs w:val="36"/>
        </w:rPr>
        <w:t>。付款后，报检缴费工作完成</w:t>
      </w:r>
      <w:r>
        <w:rPr>
          <w:rFonts w:hint="eastAsia"/>
          <w:sz w:val="36"/>
          <w:szCs w:val="36"/>
          <w:lang w:eastAsia="zh-CN"/>
        </w:rPr>
        <w:t>（</w:t>
      </w:r>
      <w:r>
        <w:rPr>
          <w:rFonts w:hint="eastAsia"/>
          <w:sz w:val="36"/>
          <w:szCs w:val="36"/>
          <w:lang w:val="en-US" w:eastAsia="zh-CN"/>
        </w:rPr>
        <w:t>发票的下载地址见附件二</w:t>
      </w:r>
      <w:r>
        <w:rPr>
          <w:rFonts w:hint="eastAsia"/>
          <w:sz w:val="36"/>
          <w:szCs w:val="36"/>
          <w:lang w:eastAsia="zh-CN"/>
        </w:rPr>
        <w:t>）</w:t>
      </w:r>
      <w:r>
        <w:rPr>
          <w:rFonts w:hint="eastAsia"/>
          <w:sz w:val="36"/>
          <w:szCs w:val="36"/>
        </w:rPr>
        <w:t>。</w:t>
      </w:r>
    </w:p>
    <w:p w14:paraId="2A3C2D2F">
      <w:pPr>
        <w:pStyle w:val="8"/>
        <w:numPr>
          <w:ilvl w:val="0"/>
          <w:numId w:val="0"/>
        </w:numPr>
        <w:ind w:leftChars="0"/>
        <w:rPr>
          <w:rFonts w:asciiTheme="majorEastAsia" w:hAnsiTheme="majorEastAsia" w:eastAsiaTheme="majorEastAsia"/>
          <w:b/>
          <w:sz w:val="36"/>
          <w:szCs w:val="36"/>
        </w:rPr>
      </w:pPr>
    </w:p>
    <w:p w14:paraId="05DBDD36">
      <w:pPr>
        <w:pStyle w:val="8"/>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73321397">
      <w:pPr>
        <w:pStyle w:val="8"/>
        <w:ind w:left="720" w:firstLine="0" w:firstLineChars="0"/>
        <w:rPr>
          <w:rFonts w:hint="eastAsia" w:asciiTheme="majorEastAsia" w:hAnsiTheme="majorEastAsia" w:eastAsiaTheme="majorEastAsia"/>
          <w:b/>
          <w:sz w:val="36"/>
          <w:szCs w:val="36"/>
        </w:rPr>
      </w:pPr>
    </w:p>
    <w:p w14:paraId="168595D1">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72064721">
      <w:pPr>
        <w:rPr>
          <w:sz w:val="36"/>
          <w:szCs w:val="36"/>
        </w:rPr>
      </w:pPr>
    </w:p>
    <w:p w14:paraId="2B6234A7">
      <w:pPr>
        <w:rPr>
          <w:sz w:val="36"/>
          <w:szCs w:val="36"/>
        </w:rPr>
      </w:pPr>
    </w:p>
    <w:p w14:paraId="25C05D91">
      <w:pPr>
        <w:rPr>
          <w:sz w:val="36"/>
          <w:szCs w:val="36"/>
        </w:rPr>
      </w:pPr>
    </w:p>
    <w:p w14:paraId="20ACAD8A">
      <w:pPr>
        <w:numPr>
          <w:ilvl w:val="0"/>
          <w:numId w:val="2"/>
        </w:numPr>
        <w:jc w:val="left"/>
        <w:rPr>
          <w:rFonts w:hint="eastAsia"/>
          <w:sz w:val="36"/>
          <w:szCs w:val="36"/>
        </w:rPr>
      </w:pPr>
      <w:r>
        <w:rPr>
          <w:rFonts w:hint="eastAsia"/>
          <w:sz w:val="36"/>
          <w:szCs w:val="36"/>
        </w:rPr>
        <w:t>以上为起重机械</w:t>
      </w:r>
      <w:r>
        <w:rPr>
          <w:rFonts w:hint="eastAsia"/>
          <w:sz w:val="36"/>
          <w:szCs w:val="36"/>
          <w:lang w:eastAsia="zh-CN"/>
        </w:rPr>
        <w:t>（</w:t>
      </w:r>
      <w:r>
        <w:rPr>
          <w:rFonts w:hint="eastAsia"/>
          <w:sz w:val="36"/>
          <w:szCs w:val="36"/>
          <w:lang w:val="en-US" w:eastAsia="zh-CN"/>
        </w:rPr>
        <w:t>电动单梁</w:t>
      </w:r>
      <w:r>
        <w:rPr>
          <w:rFonts w:hint="eastAsia"/>
          <w:sz w:val="36"/>
          <w:szCs w:val="36"/>
          <w:lang w:eastAsia="zh-CN"/>
        </w:rPr>
        <w:t>）</w:t>
      </w:r>
      <w:r>
        <w:rPr>
          <w:rFonts w:hint="eastAsia"/>
          <w:sz w:val="36"/>
          <w:szCs w:val="36"/>
        </w:rPr>
        <w:t>首检报检</w:t>
      </w:r>
      <w:r>
        <w:rPr>
          <w:rFonts w:hint="eastAsia"/>
          <w:sz w:val="36"/>
          <w:szCs w:val="36"/>
          <w:lang w:val="en-US" w:eastAsia="zh-CN"/>
        </w:rPr>
        <w:t>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60D3DF03">
      <w:pPr>
        <w:widowControl w:val="0"/>
        <w:numPr>
          <w:numId w:val="0"/>
        </w:numPr>
        <w:jc w:val="left"/>
        <w:rPr>
          <w:rFonts w:hint="eastAsia"/>
          <w:sz w:val="36"/>
          <w:szCs w:val="36"/>
        </w:rPr>
      </w:pPr>
    </w:p>
    <w:p w14:paraId="35F56D05">
      <w:pPr>
        <w:widowControl w:val="0"/>
        <w:numPr>
          <w:numId w:val="0"/>
        </w:numPr>
        <w:jc w:val="left"/>
        <w:rPr>
          <w:rFonts w:hint="eastAsia"/>
          <w:sz w:val="36"/>
          <w:szCs w:val="36"/>
        </w:rPr>
      </w:pPr>
    </w:p>
    <w:p w14:paraId="4B11053F">
      <w:pPr>
        <w:widowControl w:val="0"/>
        <w:numPr>
          <w:numId w:val="0"/>
        </w:numPr>
        <w:jc w:val="left"/>
        <w:rPr>
          <w:rFonts w:hint="eastAsia"/>
          <w:sz w:val="36"/>
          <w:szCs w:val="36"/>
        </w:rPr>
      </w:pPr>
    </w:p>
    <w:p w14:paraId="665DF0AD">
      <w:pPr>
        <w:widowControl w:val="0"/>
        <w:numPr>
          <w:numId w:val="0"/>
        </w:numPr>
        <w:jc w:val="left"/>
        <w:rPr>
          <w:rFonts w:hint="eastAsia"/>
          <w:sz w:val="36"/>
          <w:szCs w:val="36"/>
        </w:rPr>
      </w:pPr>
    </w:p>
    <w:p w14:paraId="76DA9BBD">
      <w:pPr>
        <w:widowControl w:val="0"/>
        <w:numPr>
          <w:numId w:val="0"/>
        </w:numPr>
        <w:jc w:val="left"/>
        <w:rPr>
          <w:rFonts w:hint="eastAsia"/>
          <w:sz w:val="36"/>
          <w:szCs w:val="36"/>
        </w:rPr>
      </w:pPr>
    </w:p>
    <w:p w14:paraId="508C73C7">
      <w:pPr>
        <w:widowControl w:val="0"/>
        <w:numPr>
          <w:numId w:val="0"/>
        </w:numPr>
        <w:jc w:val="left"/>
        <w:rPr>
          <w:rFonts w:hint="eastAsia"/>
          <w:sz w:val="36"/>
          <w:szCs w:val="36"/>
        </w:rPr>
      </w:pPr>
    </w:p>
    <w:p w14:paraId="6BFAE39C">
      <w:pPr>
        <w:widowControl w:val="0"/>
        <w:numPr>
          <w:numId w:val="0"/>
        </w:numPr>
        <w:jc w:val="left"/>
        <w:rPr>
          <w:rFonts w:hint="eastAsia"/>
          <w:sz w:val="36"/>
          <w:szCs w:val="36"/>
        </w:rPr>
      </w:pPr>
    </w:p>
    <w:p w14:paraId="7558B09B">
      <w:pPr>
        <w:widowControl w:val="0"/>
        <w:numPr>
          <w:numId w:val="0"/>
        </w:numPr>
        <w:jc w:val="left"/>
        <w:rPr>
          <w:rFonts w:hint="eastAsia"/>
          <w:sz w:val="36"/>
          <w:szCs w:val="36"/>
        </w:rPr>
      </w:pPr>
    </w:p>
    <w:p w14:paraId="5D18C7DC">
      <w:pPr>
        <w:widowControl w:val="0"/>
        <w:numPr>
          <w:numId w:val="0"/>
        </w:numPr>
        <w:jc w:val="left"/>
        <w:rPr>
          <w:rFonts w:hint="eastAsia"/>
          <w:sz w:val="36"/>
          <w:szCs w:val="36"/>
        </w:rPr>
      </w:pPr>
    </w:p>
    <w:p w14:paraId="67A74BA6">
      <w:pPr>
        <w:widowControl w:val="0"/>
        <w:numPr>
          <w:numId w:val="0"/>
        </w:numPr>
        <w:jc w:val="left"/>
        <w:rPr>
          <w:rFonts w:hint="eastAsia"/>
          <w:sz w:val="36"/>
          <w:szCs w:val="36"/>
        </w:rPr>
      </w:pPr>
    </w:p>
    <w:p w14:paraId="64516311">
      <w:pPr>
        <w:widowControl w:val="0"/>
        <w:numPr>
          <w:numId w:val="0"/>
        </w:numPr>
        <w:jc w:val="left"/>
        <w:rPr>
          <w:rFonts w:hint="eastAsia"/>
          <w:sz w:val="36"/>
          <w:szCs w:val="36"/>
        </w:rPr>
      </w:pPr>
    </w:p>
    <w:p w14:paraId="5E771683">
      <w:pPr>
        <w:widowControl w:val="0"/>
        <w:numPr>
          <w:numId w:val="0"/>
        </w:numPr>
        <w:jc w:val="left"/>
        <w:rPr>
          <w:rFonts w:hint="eastAsia"/>
          <w:sz w:val="36"/>
          <w:szCs w:val="36"/>
        </w:rPr>
      </w:pPr>
    </w:p>
    <w:p w14:paraId="08E2B68E">
      <w:pPr>
        <w:widowControl w:val="0"/>
        <w:numPr>
          <w:numId w:val="0"/>
        </w:numPr>
        <w:jc w:val="left"/>
        <w:rPr>
          <w:rFonts w:hint="eastAsia"/>
          <w:sz w:val="36"/>
          <w:szCs w:val="36"/>
        </w:rPr>
      </w:pPr>
    </w:p>
    <w:p w14:paraId="3601E8C4">
      <w:pPr>
        <w:widowControl w:val="0"/>
        <w:numPr>
          <w:numId w:val="0"/>
        </w:numPr>
        <w:jc w:val="left"/>
        <w:rPr>
          <w:rFonts w:hint="eastAsia"/>
          <w:sz w:val="36"/>
          <w:szCs w:val="36"/>
        </w:rPr>
      </w:pPr>
    </w:p>
    <w:p w14:paraId="36D3A0B6">
      <w:pPr>
        <w:widowControl w:val="0"/>
        <w:numPr>
          <w:numId w:val="0"/>
        </w:numPr>
        <w:jc w:val="left"/>
        <w:rPr>
          <w:rFonts w:hint="eastAsia"/>
          <w:sz w:val="36"/>
          <w:szCs w:val="36"/>
        </w:rPr>
      </w:pPr>
    </w:p>
    <w:p w14:paraId="1CB11053">
      <w:pPr>
        <w:widowControl w:val="0"/>
        <w:numPr>
          <w:numId w:val="0"/>
        </w:numPr>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11、检验结束后，需将电子报告领取协议签字盖章后扫描发送至指定邮箱eebjdt147@163.com。（电子报告领取协议请于费用信息-附件信息中下载，只需开通一次）。</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5" name="图片 5"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5E8DE1E6">
      <w:pPr>
        <w:ind w:firstLine="602" w:firstLineChars="150"/>
        <w:rPr>
          <w:rFonts w:hint="default" w:eastAsiaTheme="minorEastAsia"/>
          <w:b/>
          <w:sz w:val="40"/>
          <w:szCs w:val="36"/>
          <w:lang w:val="en-US" w:eastAsia="zh-CN"/>
        </w:rPr>
      </w:pPr>
      <w:bookmarkStart w:id="0" w:name="_GoBack"/>
      <w:bookmarkEnd w:id="0"/>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10634DB0">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0C86C212">
      <w:pPr>
        <w:rPr>
          <w:rFonts w:hint="eastAsia"/>
          <w:sz w:val="36"/>
          <w:szCs w:val="36"/>
          <w:lang w:val="en-US" w:eastAsia="zh-CN"/>
        </w:rPr>
      </w:pPr>
    </w:p>
    <w:p w14:paraId="3BD2A35C">
      <w:pPr>
        <w:rPr>
          <w:rFonts w:hint="default"/>
          <w:sz w:val="36"/>
          <w:szCs w:val="36"/>
          <w:lang w:val="en-US" w:eastAsia="zh-CN"/>
        </w:rPr>
      </w:pPr>
    </w:p>
    <w:p w14:paraId="219ED5ED">
      <w:pPr>
        <w:rPr>
          <w:rFonts w:hint="default"/>
          <w:sz w:val="36"/>
          <w:szCs w:val="36"/>
          <w:lang w:val="en-US" w:eastAsia="zh-CN"/>
        </w:rPr>
      </w:pPr>
    </w:p>
    <w:p w14:paraId="2C504179">
      <w:pPr>
        <w:rPr>
          <w:rFonts w:hint="default"/>
          <w:sz w:val="36"/>
          <w:szCs w:val="36"/>
          <w:lang w:val="en-US" w:eastAsia="zh-CN"/>
        </w:rPr>
      </w:pPr>
    </w:p>
    <w:p w14:paraId="0FEBFE4C">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68E9671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25359F66">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3A42478E">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063B5061">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3" name="图片 3"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218F8CDE">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052159DB">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0A4F8E38">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79195651">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064EB1A6">
      <w:pPr>
        <w:jc w:val="center"/>
        <w:rPr>
          <w:rFonts w:hint="eastAsia"/>
          <w:b/>
          <w:bCs/>
          <w:sz w:val="36"/>
          <w:szCs w:val="36"/>
          <w:lang w:val="en-US" w:eastAsia="zh-CN"/>
        </w:rPr>
      </w:pPr>
    </w:p>
    <w:p w14:paraId="381E942D">
      <w:pPr>
        <w:rPr>
          <w:rFonts w:hint="eastAsia"/>
          <w:sz w:val="30"/>
          <w:szCs w:val="30"/>
          <w:lang w:val="en-US" w:eastAsia="zh-CN"/>
        </w:rPr>
      </w:pPr>
    </w:p>
    <w:p w14:paraId="41D321C6">
      <w:pPr>
        <w:numPr>
          <w:ilvl w:val="0"/>
          <w:numId w:val="0"/>
        </w:numPr>
        <w:ind w:leftChars="0"/>
        <w:rPr>
          <w:rFonts w:hint="eastAsia"/>
          <w:b/>
          <w:bCs/>
          <w:sz w:val="30"/>
          <w:szCs w:val="30"/>
          <w:lang w:val="en-US" w:eastAsia="zh-CN"/>
        </w:rPr>
      </w:pPr>
    </w:p>
    <w:p w14:paraId="6DAFC976">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487D5BC2">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33A1AC71">
      <w:pPr>
        <w:rPr>
          <w:sz w:val="36"/>
          <w:szCs w:val="36"/>
        </w:rPr>
      </w:pPr>
    </w:p>
    <w:p w14:paraId="30160D59">
      <w:pPr>
        <w:rPr>
          <w:sz w:val="36"/>
          <w:szCs w:val="36"/>
        </w:rPr>
      </w:pPr>
    </w:p>
    <w:p w14:paraId="47F365A4">
      <w:pPr>
        <w:rPr>
          <w:sz w:val="36"/>
          <w:szCs w:val="36"/>
        </w:rPr>
      </w:pPr>
    </w:p>
    <w:p w14:paraId="05FFBBFB">
      <w:pPr>
        <w:rPr>
          <w:sz w:val="36"/>
          <w:szCs w:val="36"/>
        </w:rPr>
      </w:pPr>
    </w:p>
    <w:p w14:paraId="2E4AAC2D">
      <w:pPr>
        <w:rPr>
          <w:sz w:val="36"/>
          <w:szCs w:val="36"/>
        </w:rPr>
      </w:pPr>
    </w:p>
    <w:p w14:paraId="3B279B71">
      <w:pPr>
        <w:rPr>
          <w:rFonts w:hint="eastAsia"/>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F9BBCB75"/>
    <w:multiLevelType w:val="singleLevel"/>
    <w:tmpl w:val="F9BBCB75"/>
    <w:lvl w:ilvl="0" w:tentative="0">
      <w:start w:val="10"/>
      <w:numFmt w:val="decimal"/>
      <w:suff w:val="nothing"/>
      <w:lvlText w:val="%1、"/>
      <w:lvlJc w:val="left"/>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A1C57"/>
    <w:rsid w:val="000A1C57"/>
    <w:rsid w:val="007877F8"/>
    <w:rsid w:val="007E3925"/>
    <w:rsid w:val="00B35650"/>
    <w:rsid w:val="00F61AE5"/>
    <w:rsid w:val="08640C24"/>
    <w:rsid w:val="089D30EE"/>
    <w:rsid w:val="120D6079"/>
    <w:rsid w:val="1353396D"/>
    <w:rsid w:val="16B9075A"/>
    <w:rsid w:val="199706EC"/>
    <w:rsid w:val="1DEA1916"/>
    <w:rsid w:val="20556AF2"/>
    <w:rsid w:val="25AD623B"/>
    <w:rsid w:val="2AA331C0"/>
    <w:rsid w:val="2DB32BFC"/>
    <w:rsid w:val="31714185"/>
    <w:rsid w:val="3D485717"/>
    <w:rsid w:val="415428DD"/>
    <w:rsid w:val="4839269F"/>
    <w:rsid w:val="50FB4B23"/>
    <w:rsid w:val="52976ACD"/>
    <w:rsid w:val="584C7EAD"/>
    <w:rsid w:val="59C05717"/>
    <w:rsid w:val="652A5805"/>
    <w:rsid w:val="67DD4B2A"/>
    <w:rsid w:val="689340DA"/>
    <w:rsid w:val="6CDC4021"/>
    <w:rsid w:val="71491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kern w:val="2"/>
      <w:sz w:val="18"/>
      <w:szCs w:val="18"/>
    </w:rPr>
  </w:style>
  <w:style w:type="character" w:customStyle="1" w:styleId="7">
    <w:name w:val="页脚 字符"/>
    <w:basedOn w:val="5"/>
    <w:link w:val="2"/>
    <w:qFormat/>
    <w:uiPriority w:val="0"/>
    <w:rPr>
      <w:kern w:val="2"/>
      <w:sz w:val="18"/>
      <w:szCs w:val="18"/>
    </w:r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1098</Words>
  <Characters>1177</Characters>
  <Lines>6</Lines>
  <Paragraphs>1</Paragraphs>
  <TotalTime>1</TotalTime>
  <ScaleCrop>false</ScaleCrop>
  <LinksUpToDate>false</LinksUpToDate>
  <CharactersWithSpaces>1237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2025-08-28T01:31:19Z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C86E3307BBE94D7F82C8B7ECD9636A28_13</vt:lpwstr>
  </property>
  <property fmtid="{D5CDD505-2E9C-101B-9397-08002B2CF9AE}" pid="4" name="KSOTemplateDocerSaveRecord">
    <vt:lpwstr>eyJoZGlkIjoiMDExMTM1MzkzOGM2MTE4NzMyNGEzNTMwNGRmMWE3ODYiLCJ1c2VySWQiOiI2NDY5Nzc0NzcifQ==</vt:lpwstr>
  </property>
</Properties>
</file>