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77E6C3D2">
      <w:pPr>
        <w:spacing w:line="360" w:lineRule="auto"/>
        <w:jc w:val="center"/>
        <w:rPr>
          <w:rFonts w:hint="default" w:ascii="宋体" w:hAnsi="宋体" w:eastAsia="宋体"/>
          <w:b/>
          <w:bCs/>
          <w:sz w:val="52"/>
          <w:szCs w:val="52"/>
          <w:lang w:val="en-US" w:eastAsia="zh-CN"/>
        </w:rPr>
      </w:pPr>
      <w:r>
        <w:rPr>
          <w:rFonts w:ascii="宋体" w:hAnsi="宋体"/>
          <w:b/>
          <w:bCs/>
          <w:sz w:val="52"/>
          <w:szCs w:val="52"/>
        </w:rPr>
        <w:t>2023</w:t>
      </w:r>
      <w:r>
        <w:rPr>
          <w:rFonts w:hint="eastAsia" w:ascii="宋体" w:hAnsi="宋体"/>
          <w:b/>
          <w:bCs/>
          <w:sz w:val="52"/>
          <w:szCs w:val="52"/>
        </w:rPr>
        <w:t>年度内蒙古自治区特种设备检验研究院阿拉善分院</w:t>
      </w:r>
      <w:r>
        <w:rPr>
          <w:rFonts w:hint="eastAsia" w:ascii="宋体" w:hAnsi="宋体"/>
          <w:b/>
          <w:bCs/>
          <w:sz w:val="52"/>
          <w:szCs w:val="52"/>
          <w:lang w:val="en-US" w:eastAsia="zh-CN"/>
        </w:rPr>
        <w:t>决算公开</w:t>
      </w:r>
    </w:p>
    <w:p w14:paraId="6AF33ABC">
      <w:pPr>
        <w:spacing w:line="360" w:lineRule="auto"/>
        <w:jc w:val="center"/>
        <w:rPr>
          <w:rFonts w:ascii="宋体" w:hAnsi="宋体"/>
          <w:b/>
          <w:bCs/>
          <w:sz w:val="52"/>
          <w:szCs w:val="52"/>
        </w:rPr>
      </w:pP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6C9B9DF2">
      <w:pPr>
        <w:spacing w:line="360" w:lineRule="auto"/>
        <w:ind w:firstLine="2240" w:firstLineChars="700"/>
        <w:jc w:val="left"/>
        <w:rPr>
          <w:rFonts w:ascii="宋体" w:hAnsi="宋体"/>
          <w:sz w:val="32"/>
          <w:szCs w:val="32"/>
        </w:rPr>
      </w:pPr>
      <w:r>
        <w:rPr>
          <w:rFonts w:hint="eastAsia" w:ascii="宋体" w:hAnsi="宋体"/>
          <w:sz w:val="32"/>
          <w:szCs w:val="32"/>
        </w:rPr>
        <w:t>部门（单位）名称：内蒙古自治区特种设备检验研究院阿拉善分院</w:t>
      </w:r>
    </w:p>
    <w:p w14:paraId="29073C42">
      <w:pPr>
        <w:spacing w:line="360" w:lineRule="auto"/>
        <w:ind w:firstLine="2240" w:firstLineChars="700"/>
        <w:jc w:val="left"/>
        <w:rPr>
          <w:rFonts w:ascii="宋体" w:hAnsi="宋体"/>
          <w:sz w:val="32"/>
          <w:szCs w:val="32"/>
        </w:rPr>
      </w:pPr>
      <w:r>
        <w:rPr>
          <w:rFonts w:hint="eastAsia" w:ascii="宋体" w:hAnsi="宋体"/>
          <w:sz w:val="32"/>
          <w:szCs w:val="32"/>
        </w:rPr>
        <w:t>单位负责人：高永清</w:t>
      </w:r>
    </w:p>
    <w:p w14:paraId="159F86D2">
      <w:pPr>
        <w:spacing w:line="360" w:lineRule="auto"/>
        <w:ind w:firstLine="2240" w:firstLineChars="700"/>
        <w:jc w:val="left"/>
        <w:rPr>
          <w:rFonts w:hint="eastAsia" w:ascii="宋体" w:hAnsi="宋体" w:eastAsia="宋体"/>
          <w:sz w:val="32"/>
          <w:szCs w:val="32"/>
          <w:lang w:val="en-US" w:eastAsia="zh-CN"/>
        </w:rPr>
      </w:pPr>
      <w:r>
        <w:rPr>
          <w:rFonts w:hint="eastAsia" w:ascii="宋体" w:hAnsi="宋体"/>
          <w:sz w:val="32"/>
          <w:szCs w:val="32"/>
        </w:rPr>
        <w:t>财务负责人：</w:t>
      </w:r>
      <w:r>
        <w:rPr>
          <w:rFonts w:hint="eastAsia" w:ascii="宋体" w:hAnsi="宋体"/>
          <w:sz w:val="32"/>
          <w:szCs w:val="32"/>
          <w:lang w:val="en-US" w:eastAsia="zh-CN"/>
        </w:rPr>
        <w:t>特日格乐</w:t>
      </w:r>
    </w:p>
    <w:p w14:paraId="2403EDC6">
      <w:pPr>
        <w:spacing w:line="360" w:lineRule="auto"/>
        <w:ind w:firstLine="2240" w:firstLineChars="700"/>
        <w:jc w:val="left"/>
        <w:rPr>
          <w:rFonts w:ascii="宋体" w:hAnsi="宋体"/>
          <w:sz w:val="32"/>
          <w:szCs w:val="32"/>
        </w:rPr>
      </w:pPr>
      <w:r>
        <w:rPr>
          <w:rFonts w:hint="eastAsia" w:ascii="宋体" w:hAnsi="宋体"/>
          <w:sz w:val="32"/>
          <w:szCs w:val="32"/>
        </w:rPr>
        <w:t>编制人：陆梦瑶</w:t>
      </w:r>
    </w:p>
    <w:p w14:paraId="45C58358">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年8月</w:t>
      </w:r>
    </w:p>
    <w:p w14:paraId="7875BF1A">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7342F8BA">
      <w:pPr>
        <w:adjustRightInd w:val="0"/>
        <w:snapToGrid w:val="0"/>
        <w:rPr>
          <w:rFonts w:ascii="宋体" w:hAnsi="宋体"/>
          <w:b/>
          <w:sz w:val="32"/>
          <w:szCs w:val="32"/>
        </w:rPr>
      </w:pPr>
    </w:p>
    <w:p w14:paraId="4A679AAA">
      <w:pPr>
        <w:adjustRightInd w:val="0"/>
        <w:snapToGrid w:val="0"/>
        <w:jc w:val="center"/>
      </w:pPr>
    </w:p>
    <w:p w14:paraId="574E833F">
      <w:pPr>
        <w:adjustRightInd w:val="0"/>
        <w:snapToGrid w:val="0"/>
        <w:rPr>
          <w:rFonts w:ascii="宋体" w:hAnsi="宋体"/>
          <w:b/>
          <w:sz w:val="32"/>
          <w:szCs w:val="32"/>
        </w:rPr>
      </w:pPr>
    </w:p>
    <w:p w14:paraId="508CBC77">
      <w:pPr>
        <w:pStyle w:val="2"/>
      </w:pPr>
      <w:r>
        <w:rPr>
          <w:rFonts w:hint="eastAsia"/>
        </w:rPr>
        <w:t>公开文档</w:t>
      </w:r>
    </w:p>
    <w:p w14:paraId="1C9A9517">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116C68CF">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4145BA3D">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部门（单位）概况</w:t>
      </w:r>
    </w:p>
    <w:p w14:paraId="27DBB59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14:paraId="4A4E40F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二、部门（单位）机构设置及决算单位构成情况</w:t>
      </w:r>
    </w:p>
    <w:p w14:paraId="18F006F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年度部门（单位）主要工作完成情况</w:t>
      </w:r>
    </w:p>
    <w:p w14:paraId="6143B264">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14:paraId="3A917A6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14:paraId="1DDEA00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14:paraId="3B9A38A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14:paraId="2508860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14:paraId="40ED072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14:paraId="65E6916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14:paraId="5D2DC39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14:paraId="5A224F8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14:paraId="39CAAD4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14:paraId="299FA2A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14:paraId="302F1BD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14:paraId="48EEABC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14:paraId="2C7801B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14:paraId="080594A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14:paraId="560970B7">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50337FA4">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6167DD43">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14:paraId="78F782A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14:paraId="4E248EE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14:paraId="72AD50B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14:paraId="5C975B3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14:paraId="5B51DA9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14:paraId="168FB92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14:paraId="2D7E0C6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14:paraId="6693290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14:paraId="1E3CDB1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14:paraId="2E16884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14:paraId="6C41B0E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14:paraId="0CBAA4A8">
      <w:pPr>
        <w:widowControl/>
        <w:spacing w:before="240" w:after="240"/>
        <w:rPr>
          <w:rFonts w:ascii="Times New Roman" w:hAnsi="Times New Roman" w:eastAsia="Times New Roman" w:cs="Times New Roman"/>
          <w:kern w:val="0"/>
          <w:sz w:val="24"/>
        </w:rPr>
      </w:pPr>
    </w:p>
    <w:p w14:paraId="6F0CC579">
      <w:pPr>
        <w:widowControl/>
        <w:spacing w:before="240" w:after="240"/>
        <w:rPr>
          <w:rFonts w:ascii="Times New Roman" w:hAnsi="Times New Roman" w:eastAsia="Times New Roman" w:cs="Times New Roman"/>
          <w:kern w:val="0"/>
          <w:sz w:val="24"/>
        </w:rPr>
      </w:pPr>
    </w:p>
    <w:p w14:paraId="376AAE67">
      <w:pPr>
        <w:widowControl/>
        <w:spacing w:before="240" w:after="240"/>
        <w:rPr>
          <w:rFonts w:ascii="Times New Roman" w:hAnsi="Times New Roman" w:eastAsia="Times New Roman" w:cs="Times New Roman"/>
          <w:kern w:val="0"/>
          <w:sz w:val="24"/>
        </w:rPr>
      </w:pPr>
    </w:p>
    <w:p w14:paraId="5CD33C83">
      <w:pPr>
        <w:widowControl/>
        <w:spacing w:before="240" w:after="240"/>
        <w:rPr>
          <w:rFonts w:ascii="Times New Roman" w:hAnsi="Times New Roman" w:eastAsia="Times New Roman" w:cs="Times New Roman"/>
          <w:kern w:val="0"/>
          <w:sz w:val="24"/>
        </w:rPr>
      </w:pPr>
    </w:p>
    <w:p w14:paraId="7D431240">
      <w:pPr>
        <w:widowControl/>
        <w:spacing w:before="240" w:after="240"/>
        <w:rPr>
          <w:rFonts w:ascii="Times New Roman" w:hAnsi="Times New Roman" w:eastAsia="Times New Roman" w:cs="Times New Roman"/>
          <w:kern w:val="0"/>
          <w:sz w:val="24"/>
        </w:rPr>
      </w:pPr>
    </w:p>
    <w:p w14:paraId="702ED3EF">
      <w:pPr>
        <w:widowControl/>
        <w:spacing w:before="240" w:after="240"/>
        <w:rPr>
          <w:rFonts w:ascii="Times New Roman" w:hAnsi="Times New Roman" w:eastAsia="Times New Roman" w:cs="Times New Roman"/>
          <w:kern w:val="0"/>
          <w:sz w:val="24"/>
        </w:rPr>
      </w:pPr>
    </w:p>
    <w:p w14:paraId="045331F5">
      <w:pPr>
        <w:widowControl/>
        <w:spacing w:before="240" w:after="240"/>
        <w:rPr>
          <w:rFonts w:ascii="Times New Roman" w:hAnsi="Times New Roman" w:eastAsia="Times New Roman" w:cs="Times New Roman"/>
          <w:kern w:val="0"/>
          <w:sz w:val="24"/>
        </w:rPr>
      </w:pPr>
    </w:p>
    <w:p w14:paraId="39322B2C">
      <w:pPr>
        <w:widowControl/>
        <w:spacing w:before="240" w:after="240"/>
        <w:rPr>
          <w:rFonts w:ascii="Times New Roman" w:hAnsi="Times New Roman" w:eastAsia="Times New Roman" w:cs="Times New Roman"/>
          <w:kern w:val="0"/>
          <w:sz w:val="24"/>
        </w:rPr>
      </w:pPr>
    </w:p>
    <w:p w14:paraId="0B86CE66">
      <w:pPr>
        <w:widowControl/>
        <w:spacing w:before="240" w:after="240"/>
        <w:rPr>
          <w:rFonts w:ascii="Times New Roman" w:hAnsi="Times New Roman" w:eastAsia="Times New Roman" w:cs="Times New Roman"/>
          <w:kern w:val="0"/>
          <w:sz w:val="24"/>
        </w:rPr>
      </w:pPr>
    </w:p>
    <w:p w14:paraId="49FF437F">
      <w:pPr>
        <w:widowControl/>
        <w:spacing w:before="240" w:after="240"/>
        <w:rPr>
          <w:rFonts w:ascii="Times New Roman" w:hAnsi="Times New Roman" w:eastAsia="Times New Roman" w:cs="Times New Roman"/>
          <w:kern w:val="0"/>
          <w:sz w:val="24"/>
        </w:rPr>
      </w:pPr>
    </w:p>
    <w:p w14:paraId="20415DF5">
      <w:pPr>
        <w:widowControl/>
        <w:spacing w:before="240" w:after="240"/>
        <w:rPr>
          <w:rFonts w:ascii="Times New Roman" w:hAnsi="Times New Roman" w:eastAsia="Times New Roman" w:cs="Times New Roman"/>
          <w:kern w:val="0"/>
          <w:sz w:val="24"/>
        </w:rPr>
      </w:pPr>
    </w:p>
    <w:p w14:paraId="6CC9024F">
      <w:pPr>
        <w:widowControl/>
        <w:spacing w:before="240" w:after="240"/>
        <w:rPr>
          <w:rFonts w:ascii="Times New Roman" w:hAnsi="Times New Roman" w:eastAsia="Times New Roman" w:cs="Times New Roman"/>
          <w:kern w:val="0"/>
          <w:sz w:val="24"/>
        </w:rPr>
      </w:pPr>
    </w:p>
    <w:p w14:paraId="170A96AB">
      <w:pPr>
        <w:widowControl/>
        <w:spacing w:before="240" w:after="240"/>
        <w:rPr>
          <w:rFonts w:ascii="Times New Roman" w:hAnsi="Times New Roman" w:eastAsia="Times New Roman" w:cs="Times New Roman"/>
          <w:kern w:val="0"/>
          <w:sz w:val="24"/>
        </w:rPr>
      </w:pPr>
    </w:p>
    <w:p w14:paraId="18965A5E">
      <w:pPr>
        <w:widowControl/>
        <w:spacing w:before="240" w:after="240"/>
        <w:rPr>
          <w:rFonts w:ascii="Times New Roman" w:hAnsi="Times New Roman" w:eastAsia="Times New Roman" w:cs="Times New Roman"/>
          <w:kern w:val="0"/>
          <w:sz w:val="24"/>
        </w:rPr>
      </w:pPr>
    </w:p>
    <w:p w14:paraId="37A29A83">
      <w:pPr>
        <w:widowControl/>
        <w:spacing w:before="240" w:after="240"/>
        <w:rPr>
          <w:rFonts w:ascii="Times New Roman" w:hAnsi="Times New Roman" w:eastAsia="Times New Roman" w:cs="Times New Roman"/>
          <w:kern w:val="0"/>
          <w:sz w:val="24"/>
        </w:rPr>
      </w:pPr>
    </w:p>
    <w:p w14:paraId="4B87C5B2">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单位概况</w:t>
      </w:r>
    </w:p>
    <w:p w14:paraId="36DFC7F2">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14:paraId="6AD2906C">
      <w:pPr>
        <w:spacing w:before="100" w:beforeAutospacing="1" w:after="100" w:afterAutospacing="1" w:line="560" w:lineRule="atLeast"/>
        <w:ind w:firstLine="640"/>
        <w:jc w:val="both"/>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内蒙古自治区特种设备检验研究院阿拉善分院承担本地区锅炉、压力容器、压力管道及特种设备检验，开展技术咨询和技术服务。</w:t>
      </w:r>
    </w:p>
    <w:p w14:paraId="772B6E49">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二、部门（单位）机构设置及决算单位构成情况</w:t>
      </w:r>
    </w:p>
    <w:p w14:paraId="784A3D5B">
      <w:pPr>
        <w:widowControl/>
        <w:spacing w:before="240" w:after="240"/>
        <w:rPr>
          <w:rFonts w:hint="eastAsia" w:ascii="Times New Roman" w:hAnsi="Times New Roman" w:eastAsia="宋体" w:cs="Times New Roman"/>
          <w:kern w:val="0"/>
          <w:sz w:val="24"/>
          <w:lang w:eastAsia="zh-CN"/>
        </w:rPr>
      </w:pPr>
      <w:r>
        <w:rPr>
          <w:rFonts w:ascii="times_new_roman" w:hAnsi="times_new_roman" w:eastAsia="times_new_roman" w:cs="times_new_roman"/>
          <w:kern w:val="0"/>
          <w:sz w:val="27"/>
          <w:szCs w:val="27"/>
        </w:rPr>
        <w:t xml:space="preserve">  </w:t>
      </w:r>
      <w:r>
        <w:rPr>
          <w:rFonts w:ascii="fang_song_gb2312" w:hAnsi="fang_song_gb2312" w:eastAsia="fang_song_gb2312" w:cs="fang_song_gb2312"/>
          <w:kern w:val="0"/>
          <w:sz w:val="27"/>
          <w:szCs w:val="27"/>
        </w:rPr>
        <w:t>  1.本单位为内蒙古自治区市场监督管理局所属二级预算单位，单位性质为财政补助事业单位，执行政府会计制度。单位人员编制数：事业编制20人，年末实有在职人数</w:t>
      </w:r>
      <w:r>
        <w:rPr>
          <w:rFonts w:hint="eastAsia" w:ascii="fang_song_gb2312" w:hAnsi="fang_song_gb2312" w:eastAsia="fang_song_gb2312" w:cs="fang_song_gb2312"/>
          <w:kern w:val="0"/>
          <w:sz w:val="27"/>
          <w:szCs w:val="27"/>
        </w:rPr>
        <w:t>19</w:t>
      </w:r>
      <w:r>
        <w:rPr>
          <w:rFonts w:ascii="fang_song_gb2312" w:hAnsi="fang_song_gb2312" w:eastAsia="fang_song_gb2312" w:cs="fang_song_gb2312"/>
          <w:kern w:val="0"/>
          <w:sz w:val="27"/>
          <w:szCs w:val="27"/>
        </w:rPr>
        <w:t>人。年末特种设备检验检测项目人员及后勤人员</w:t>
      </w:r>
      <w:r>
        <w:rPr>
          <w:rFonts w:hint="eastAsia" w:ascii="fang_song_gb2312" w:hAnsi="fang_song_gb2312" w:eastAsia="fang_song_gb2312" w:cs="fang_song_gb2312"/>
          <w:kern w:val="0"/>
          <w:sz w:val="27"/>
          <w:szCs w:val="27"/>
          <w:lang w:val="en-US" w:eastAsia="zh-CN"/>
        </w:rPr>
        <w:t>28</w:t>
      </w:r>
      <w:r>
        <w:rPr>
          <w:rFonts w:ascii="fang_song_gb2312" w:hAnsi="fang_song_gb2312" w:eastAsia="fang_song_gb2312" w:cs="fang_song_gb2312"/>
          <w:kern w:val="0"/>
          <w:sz w:val="27"/>
          <w:szCs w:val="27"/>
        </w:rPr>
        <w:t>人</w:t>
      </w:r>
      <w:r>
        <w:rPr>
          <w:rFonts w:hint="eastAsia" w:ascii="fang_song_gb2312" w:hAnsi="fang_song_gb2312" w:eastAsia="fang_song_gb2312" w:cs="fang_song_gb2312"/>
          <w:kern w:val="0"/>
          <w:sz w:val="27"/>
          <w:szCs w:val="27"/>
          <w:lang w:eastAsia="zh-CN"/>
        </w:rPr>
        <w:t>，</w:t>
      </w:r>
      <w:r>
        <w:rPr>
          <w:rFonts w:ascii="fang_song_gb2312" w:hAnsi="fang_song_gb2312" w:eastAsia="fang_song_gb2312" w:cs="fang_song_gb2312"/>
          <w:kern w:val="0"/>
          <w:sz w:val="27"/>
          <w:szCs w:val="27"/>
        </w:rPr>
        <w:t>本单位无下属部门</w:t>
      </w:r>
      <w:r>
        <w:rPr>
          <w:rFonts w:hint="eastAsia" w:ascii="fang_song_gb2312" w:hAnsi="fang_song_gb2312" w:cs="fang_song_gb2312"/>
          <w:kern w:val="0"/>
          <w:sz w:val="27"/>
          <w:szCs w:val="27"/>
          <w:lang w:eastAsia="zh-CN"/>
        </w:rPr>
        <w:t>。</w:t>
      </w:r>
    </w:p>
    <w:p w14:paraId="4D3C749C">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.从决算单位构成看，纳入本财政汇总决算编制范围的预算单位共计</w:t>
      </w:r>
      <w:r>
        <w:rPr>
          <w:rFonts w:hint="eastAsia" w:ascii="fang_song_gb2312" w:hAnsi="fang_song_gb2312" w:cs="fang_song_gb2312"/>
          <w:kern w:val="0"/>
          <w:sz w:val="27"/>
          <w:szCs w:val="27"/>
          <w:u w:val="single"/>
          <w:lang w:val="en-US" w:eastAsia="zh-CN"/>
        </w:rPr>
        <w:t>1</w:t>
      </w:r>
      <w:r>
        <w:rPr>
          <w:rFonts w:ascii="fang_song_gb2312" w:hAnsi="fang_song_gb2312" w:eastAsia="fang_song_gb2312" w:cs="fang_song_gb2312"/>
          <w:kern w:val="0"/>
          <w:sz w:val="27"/>
          <w:szCs w:val="27"/>
        </w:rPr>
        <w:t>家，具体包括：内蒙古自治区特种设备检验研究院阿拉善分院。详细情况见表：</w:t>
      </w:r>
    </w:p>
    <w:tbl>
      <w:tblPr>
        <w:tblStyle w:val="18"/>
        <w:tblW w:w="3513"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4"/>
        <w:gridCol w:w="3170"/>
        <w:gridCol w:w="3140"/>
      </w:tblGrid>
      <w:tr w14:paraId="43EF5BF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0" w:type="pct"/>
            <w:tcBorders>
              <w:bottom w:val="inset" w:color="808080" w:sz="6" w:space="0"/>
              <w:right w:val="inset" w:color="808080" w:sz="6" w:space="0"/>
            </w:tcBorders>
            <w:noWrap w:val="0"/>
            <w:tcMar>
              <w:top w:w="22" w:type="dxa"/>
              <w:left w:w="22" w:type="dxa"/>
              <w:bottom w:w="22" w:type="dxa"/>
              <w:right w:w="22" w:type="dxa"/>
            </w:tcMar>
            <w:vAlign w:val="center"/>
          </w:tcPr>
          <w:p w14:paraId="3E2662C3">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D4CAD00">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2283" w:type="pct"/>
            <w:tcBorders>
              <w:left w:val="inset" w:color="808080" w:sz="6" w:space="0"/>
              <w:bottom w:val="inset" w:color="808080" w:sz="6" w:space="0"/>
            </w:tcBorders>
            <w:noWrap w:val="0"/>
            <w:tcMar>
              <w:top w:w="22" w:type="dxa"/>
              <w:left w:w="22" w:type="dxa"/>
              <w:bottom w:w="22" w:type="dxa"/>
              <w:right w:w="22" w:type="dxa"/>
            </w:tcMar>
            <w:vAlign w:val="center"/>
          </w:tcPr>
          <w:p w14:paraId="71314B91">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14:paraId="24C4EBA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0"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D20483E">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1</w:t>
            </w:r>
          </w:p>
        </w:tc>
        <w:tc>
          <w:tcPr>
            <w:tcW w:w="2305"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5AB6A796">
            <w:pPr>
              <w:widowControl/>
              <w:jc w:val="left"/>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kern w:val="0"/>
                <w:sz w:val="27"/>
                <w:szCs w:val="27"/>
              </w:rPr>
              <w:t>内蒙古自治区特种设备检验研究院阿拉善分院</w:t>
            </w:r>
          </w:p>
        </w:tc>
        <w:tc>
          <w:tcPr>
            <w:tcW w:w="2283"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2D5697FD">
            <w:pPr>
              <w:widowControl/>
              <w:jc w:val="left"/>
              <w:rPr>
                <w:rFonts w:hint="default" w:ascii="Times New Roman" w:hAnsi="Times New Roman" w:eastAsia="宋体" w:cs="Times New Roman"/>
                <w:b w:val="0"/>
                <w:bCs w:val="0"/>
                <w:i w:val="0"/>
                <w:iCs w:val="0"/>
                <w:smallCaps w:val="0"/>
                <w:color w:val="000000"/>
                <w:kern w:val="0"/>
                <w:sz w:val="24"/>
                <w:lang w:val="en-US" w:eastAsia="zh-CN"/>
              </w:rPr>
            </w:pPr>
            <w:r>
              <w:rPr>
                <w:rFonts w:hint="eastAsia" w:ascii="fang_song_gb2312" w:hAnsi="fang_song_gb2312" w:eastAsia="fang_song_gb2312" w:cs="fang_song_gb2312"/>
                <w:kern w:val="0"/>
                <w:sz w:val="27"/>
                <w:szCs w:val="27"/>
                <w:lang w:val="en-US" w:eastAsia="zh-CN"/>
              </w:rPr>
              <w:t>公益二类事业单位</w:t>
            </w:r>
          </w:p>
        </w:tc>
      </w:tr>
    </w:tbl>
    <w:p w14:paraId="262F20A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三、2023年度单位主要工作完成情况</w:t>
      </w:r>
    </w:p>
    <w:p w14:paraId="16CB2F13">
      <w:pPr>
        <w:keepNext w:val="0"/>
        <w:keepLines w:val="0"/>
        <w:pageBreakBefore w:val="0"/>
        <w:widowControl/>
        <w:numPr>
          <w:ilvl w:val="0"/>
          <w:numId w:val="0"/>
        </w:numPr>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b/>
          <w:bCs/>
          <w:kern w:val="0"/>
          <w:sz w:val="27"/>
          <w:szCs w:val="27"/>
        </w:rPr>
      </w:pPr>
      <w:r>
        <w:rPr>
          <w:rFonts w:hint="eastAsia" w:ascii="fang_song_gb2312" w:hAnsi="fang_song_gb2312" w:eastAsia="fang_song_gb2312" w:cs="fang_song_gb2312"/>
          <w:b/>
          <w:bCs/>
          <w:kern w:val="0"/>
          <w:sz w:val="27"/>
          <w:szCs w:val="27"/>
          <w:lang w:val="en-US" w:eastAsia="zh-CN"/>
        </w:rPr>
        <w:t>1、检验工作完成情况</w:t>
      </w:r>
    </w:p>
    <w:p w14:paraId="6087302E">
      <w:pPr>
        <w:keepNext w:val="0"/>
        <w:keepLines w:val="0"/>
        <w:pageBreakBefore w:val="0"/>
        <w:widowControl/>
        <w:numPr>
          <w:ilvl w:val="0"/>
          <w:numId w:val="0"/>
        </w:numPr>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截止12月31日，内蒙古自治区特种设备检验研究院阿拉善分院共完成设备检验22813台（套），其中：承压设备检验部共完成承压类特种设备检验共20445台（套），其中锅炉共340台（套），压力容器共8093台（套），压力管道4405份362.12千米，安全阀7118台（套），气瓶489只；机电设备检验部共完成机电设备检验共计 2368台（套），其中电梯：806台（套），厂车：1087台（套），起重机械：475台（套）。</w:t>
      </w:r>
    </w:p>
    <w:p w14:paraId="24913527">
      <w:pPr>
        <w:keepNext w:val="0"/>
        <w:keepLines w:val="0"/>
        <w:pageBreakBefore w:val="0"/>
        <w:widowControl/>
        <w:numPr>
          <w:ilvl w:val="0"/>
          <w:numId w:val="0"/>
        </w:numPr>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b/>
          <w:bCs/>
          <w:kern w:val="0"/>
          <w:sz w:val="27"/>
          <w:szCs w:val="27"/>
          <w:lang w:val="en-US" w:eastAsia="zh-CN"/>
        </w:rPr>
      </w:pPr>
      <w:r>
        <w:rPr>
          <w:rFonts w:hint="eastAsia" w:ascii="fang_song_gb2312" w:hAnsi="fang_song_gb2312" w:eastAsia="fang_song_gb2312" w:cs="fang_song_gb2312"/>
          <w:b/>
          <w:bCs/>
          <w:kern w:val="0"/>
          <w:sz w:val="27"/>
          <w:szCs w:val="27"/>
          <w:lang w:val="en-US" w:eastAsia="zh-CN"/>
        </w:rPr>
        <w:t>2、配合完成2022年财务收支审计工作</w:t>
      </w:r>
    </w:p>
    <w:p w14:paraId="1B95B411">
      <w:pPr>
        <w:keepNext w:val="0"/>
        <w:keepLines w:val="0"/>
        <w:pageBreakBefore w:val="0"/>
        <w:widowControl/>
        <w:numPr>
          <w:ilvl w:val="0"/>
          <w:numId w:val="0"/>
        </w:numPr>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根据内蒙古自治区市场监督管理局财务工作安排，2023年6月由岳峰会计师事务所对我院进行了2022年财务收支审计，为确保审计工作顺利实施，财务人员实时跟踪工作进展和工作质量，全力配合审计工作，努力做好审计所需账、表、据搜集整理和准备工作。针对在审计过程中提出有疑问的事项，及时进行沟通，分析原因并提供有关见证材料。对于审计组反馈的各类问题，财务部门积极采纳，并将审计反馈的有关情况向领导进行汇报。对审计报告中提出的问题建立问题整改台账，即知即改、立行立改，确保今后工作中避免重复出现该类问题。</w:t>
      </w:r>
    </w:p>
    <w:p w14:paraId="7BF9967E">
      <w:pPr>
        <w:keepNext w:val="0"/>
        <w:keepLines w:val="0"/>
        <w:pageBreakBefore w:val="0"/>
        <w:widowControl/>
        <w:numPr>
          <w:ilvl w:val="0"/>
          <w:numId w:val="0"/>
        </w:numPr>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b/>
          <w:bCs/>
          <w:kern w:val="0"/>
          <w:sz w:val="27"/>
          <w:szCs w:val="27"/>
          <w:lang w:val="en-US" w:eastAsia="zh-CN"/>
        </w:rPr>
      </w:pPr>
      <w:r>
        <w:rPr>
          <w:rFonts w:hint="eastAsia" w:ascii="fang_song_gb2312" w:hAnsi="fang_song_gb2312" w:eastAsia="fang_song_gb2312" w:cs="fang_song_gb2312"/>
          <w:b/>
          <w:bCs/>
          <w:kern w:val="0"/>
          <w:sz w:val="27"/>
          <w:szCs w:val="27"/>
          <w:lang w:val="en-US" w:eastAsia="zh-CN"/>
        </w:rPr>
        <w:t>3、组织全面开展资产清查工作</w:t>
      </w:r>
    </w:p>
    <w:p w14:paraId="3B74298C">
      <w:pPr>
        <w:keepNext w:val="0"/>
        <w:keepLines w:val="0"/>
        <w:pageBreakBefore w:val="0"/>
        <w:widowControl/>
        <w:numPr>
          <w:ilvl w:val="0"/>
          <w:numId w:val="0"/>
        </w:numPr>
        <w:kinsoku/>
        <w:wordWrap/>
        <w:overflowPunct/>
        <w:topLinePunct w:val="0"/>
        <w:autoSpaceDE/>
        <w:autoSpaceDN/>
        <w:bidi w:val="0"/>
        <w:adjustRightInd/>
        <w:snapToGrid/>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按照内蒙古自治区特种设备检验研究院固定（无形）资产专项清查工作部署总体要求，于2022年6月开展了以2021年12月31日为基准日的固定（无形）资产自查、盘点工作。2023年5月配合铭德事务所对我院资产进行清查审计工作，建立资产实物盘点台账，对已盘点资产明确使用责任人、责任部门，为区院“五统一”中资产统一奠定坚实基础。同时配合建立资产清查损溢认定表，对符合报废要求的固定（无形）资产进行整理归纳，仪器设备由华新绿源（内蒙古）环保产业发展有限公司统一进行集中回收，对于单价10万元以上的设备，聘请三方评估机构进行资产评估并履行相关报废手续。</w:t>
      </w:r>
    </w:p>
    <w:p w14:paraId="369CBFF8">
      <w:pPr>
        <w:keepNext w:val="0"/>
        <w:keepLines w:val="0"/>
        <w:pageBreakBefore w:val="0"/>
        <w:widowControl/>
        <w:numPr>
          <w:ilvl w:val="0"/>
          <w:numId w:val="0"/>
        </w:numPr>
        <w:kinsoku/>
        <w:wordWrap/>
        <w:overflowPunct/>
        <w:topLinePunct w:val="0"/>
        <w:autoSpaceDE/>
        <w:autoSpaceDN/>
        <w:bidi w:val="0"/>
        <w:adjustRightInd/>
        <w:snapToGrid/>
        <w:spacing w:before="240" w:after="240"/>
        <w:ind w:firstLine="540" w:firstLineChars="200"/>
        <w:textAlignment w:val="auto"/>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rPr>
        <w:t>此次清查工作我院共计报废固定资产253项，账面原值1167075.17元，其中：设备类113项，账面原值1054993元；家具和用具116项，账面原值91378元；图书和档案21项，账面原值6935.17元；无形资产3项，账面原值13364元。按照自治区市场监管局资产处置批复，我院按时完成本年度资产处置核销手续。</w:t>
      </w:r>
    </w:p>
    <w:p w14:paraId="77E2AD02">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单位决算情况说明</w:t>
      </w:r>
    </w:p>
    <w:p w14:paraId="7E542F97">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16C2F6B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1,922.06</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11.33</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0.59</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年中追加艰苦边远津贴7万元，经营收入较年初增加4.33万元，故收入较年初增加11.33万元；年中支付追加艰苦边远津贴7万元，年末使用上年非财政拨款结余资金70万元支付委托业务费弥补弥补特种设备安全监管经费差额，经营支出较年初减少90.43万元，年末结转和结余分配资金24.77万元，故支出较年初增加11.33万元</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 xml:space="preserve"> 291.16</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17.85</w:t>
      </w:r>
      <w:r>
        <w:rPr>
          <w:rFonts w:ascii="fang_song_gb2312" w:hAnsi="fang_song_gb2312" w:eastAsia="fang_song_gb2312" w:cs="fang_song_gb2312"/>
          <w:kern w:val="0"/>
          <w:sz w:val="27"/>
          <w:szCs w:val="27"/>
        </w:rPr>
        <w:t>%。其中：</w:t>
      </w:r>
    </w:p>
    <w:p w14:paraId="11276E87">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1,922.06</w:t>
      </w:r>
      <w:r>
        <w:rPr>
          <w:rFonts w:ascii="kai_ti_gb2312" w:hAnsi="kai_ti_gb2312" w:eastAsia="kai_ti_gb2312" w:cs="kai_ti_gb2312"/>
          <w:b/>
          <w:bCs/>
          <w:kern w:val="0"/>
          <w:sz w:val="27"/>
          <w:szCs w:val="27"/>
        </w:rPr>
        <w:t>万元。包括：</w:t>
      </w:r>
    </w:p>
    <w:p w14:paraId="6D4CE03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1,852.06</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221.16</w:t>
      </w:r>
      <w:r>
        <w:rPr>
          <w:rFonts w:ascii="fang_song_gb2312" w:hAnsi="fang_song_gb2312" w:eastAsia="fang_song_gb2312" w:cs="fang_song_gb2312"/>
          <w:kern w:val="0"/>
          <w:sz w:val="27"/>
          <w:szCs w:val="27"/>
        </w:rPr>
        <w:t xml:space="preserve">万元，增长（减少） </w:t>
      </w:r>
      <w:r>
        <w:rPr>
          <w:rFonts w:ascii="times_new_roman" w:hAnsi="times_new_roman" w:eastAsia="times_new_roman" w:cs="times_new_roman"/>
          <w:kern w:val="0"/>
          <w:sz w:val="27"/>
          <w:szCs w:val="27"/>
          <w:u w:val="single"/>
        </w:rPr>
        <w:t>13.56</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财政拨款收入较上年增加10.81万元，经营收入较上年增加211.56万元，其他收入较上年减少1.21万元</w:t>
      </w:r>
      <w:r>
        <w:rPr>
          <w:rFonts w:ascii="fang_song_gb2312" w:hAnsi="fang_song_gb2312" w:eastAsia="fang_song_gb2312" w:cs="fang_song_gb2312"/>
          <w:kern w:val="0"/>
          <w:sz w:val="27"/>
          <w:szCs w:val="27"/>
        </w:rPr>
        <w:t>。</w:t>
      </w:r>
    </w:p>
    <w:p w14:paraId="11AC9D0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70.00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70.00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年末使用上年非财政拨款结余资金70万元支付委托业务费弥补弥补特种设备安全监管经费差额</w:t>
      </w:r>
      <w:r>
        <w:rPr>
          <w:rFonts w:ascii="fang_song_gb2312" w:hAnsi="fang_song_gb2312" w:eastAsia="fang_song_gb2312" w:cs="fang_song_gb2312"/>
          <w:kern w:val="0"/>
          <w:sz w:val="27"/>
          <w:szCs w:val="27"/>
        </w:rPr>
        <w:t>。</w:t>
      </w:r>
    </w:p>
    <w:p w14:paraId="235FD40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14:paraId="5554C5D6">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1,922.06</w:t>
      </w:r>
      <w:r>
        <w:rPr>
          <w:rFonts w:ascii="kai_ti_gb2312" w:hAnsi="kai_ti_gb2312" w:eastAsia="kai_ti_gb2312" w:cs="kai_ti_gb2312"/>
          <w:b/>
          <w:bCs/>
          <w:kern w:val="0"/>
          <w:sz w:val="27"/>
          <w:szCs w:val="27"/>
        </w:rPr>
        <w:t>万元。包括：</w:t>
      </w:r>
    </w:p>
    <w:p w14:paraId="538957B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1,897.29</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449.10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31.01</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一般公共服务支出较上年增加374.43万元，社会保障和就业支出较上年增加50.59万元，住房保障支出较上年增加24.08万元，</w:t>
      </w:r>
      <w:r>
        <w:rPr>
          <w:rFonts w:ascii="fang_song_gb2312" w:hAnsi="fang_song_gb2312" w:eastAsia="fang_song_gb2312" w:cs="fang_song_gb2312"/>
          <w:kern w:val="0"/>
          <w:sz w:val="27"/>
          <w:szCs w:val="27"/>
        </w:rPr>
        <w:t>。</w:t>
      </w:r>
    </w:p>
    <w:p w14:paraId="298105ED">
      <w:pPr>
        <w:widowControl/>
        <w:spacing w:before="240" w:after="240"/>
        <w:ind w:firstLine="493"/>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2.结余分配</w:t>
      </w:r>
      <w:r>
        <w:rPr>
          <w:rFonts w:ascii="times_new_roman" w:hAnsi="times_new_roman" w:eastAsia="times_new_roman" w:cs="times_new_roman"/>
          <w:kern w:val="0"/>
          <w:sz w:val="27"/>
          <w:szCs w:val="27"/>
          <w:u w:val="single"/>
        </w:rPr>
        <w:t xml:space="preserve"> 24.77</w:t>
      </w:r>
      <w:r>
        <w:rPr>
          <w:rFonts w:ascii="fang_song_gb2312" w:hAnsi="fang_song_gb2312" w:eastAsia="fang_song_gb2312" w:cs="fang_song_gb2312"/>
          <w:kern w:val="0"/>
          <w:sz w:val="27"/>
          <w:szCs w:val="27"/>
        </w:rPr>
        <w:t>万元。结余分配事项：</w:t>
      </w:r>
      <w:r>
        <w:rPr>
          <w:rFonts w:hint="eastAsia" w:ascii="fang_song_gb2312" w:hAnsi="fang_song_gb2312" w:cs="fang_song_gb2312"/>
          <w:kern w:val="0"/>
          <w:sz w:val="27"/>
          <w:szCs w:val="27"/>
          <w:lang w:val="en-US" w:eastAsia="zh-CN"/>
        </w:rPr>
        <w:t>业单位经营收支差额年末分配至非财政拨款结余</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u w:val="single"/>
        </w:rPr>
        <w:t xml:space="preserve"> 157.94</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86.44</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本年经营收支擦和24.77万元，上年经营收入差额182.7万元</w:t>
      </w:r>
      <w:r>
        <w:rPr>
          <w:rFonts w:ascii="fang_song_gb2312" w:hAnsi="fang_song_gb2312" w:eastAsia="fang_song_gb2312" w:cs="fang_song_gb2312"/>
          <w:kern w:val="0"/>
          <w:sz w:val="27"/>
          <w:szCs w:val="27"/>
        </w:rPr>
        <w:t>。</w:t>
      </w:r>
    </w:p>
    <w:p w14:paraId="2962376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万元。结转和结余事项：</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14:paraId="5A9378BB">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41BF6E4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1,852.06</w:t>
      </w:r>
      <w:r>
        <w:rPr>
          <w:rFonts w:ascii="fang_song_gb2312" w:hAnsi="fang_song_gb2312" w:eastAsia="fang_song_gb2312" w:cs="fang_song_gb2312"/>
          <w:kern w:val="0"/>
          <w:sz w:val="27"/>
          <w:szCs w:val="27"/>
        </w:rPr>
        <w:t>万元，其中：</w:t>
      </w:r>
    </w:p>
    <w:p w14:paraId="6B12CCB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1,097.72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59.27</w:t>
      </w:r>
      <w:r>
        <w:rPr>
          <w:rFonts w:ascii="fang_song_gb2312" w:hAnsi="fang_song_gb2312" w:eastAsia="fang_song_gb2312" w:cs="fang_song_gb2312"/>
          <w:kern w:val="0"/>
          <w:sz w:val="27"/>
          <w:szCs w:val="27"/>
        </w:rPr>
        <w:t>%；</w:t>
      </w:r>
    </w:p>
    <w:p w14:paraId="43BE3F7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0302A71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2B3ACEC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1B25C67A">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7D22F11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754.33</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40.73</w:t>
      </w:r>
      <w:r>
        <w:rPr>
          <w:rFonts w:ascii="fang_song_gb2312" w:hAnsi="fang_song_gb2312" w:eastAsia="fang_song_gb2312" w:cs="fang_song_gb2312"/>
          <w:kern w:val="0"/>
          <w:sz w:val="27"/>
          <w:szCs w:val="27"/>
        </w:rPr>
        <w:t>%；</w:t>
      </w:r>
    </w:p>
    <w:p w14:paraId="1227170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59A6D45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475FBFD5">
      <w:pPr>
        <w:widowControl/>
        <w:spacing w:before="240" w:after="240"/>
        <w:ind w:firstLine="481"/>
        <w:jc w:val="center"/>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14:paraId="2AA63180">
      <w:pPr>
        <w:widowControl/>
        <w:spacing w:before="240" w:after="240"/>
        <w:ind w:firstLine="481"/>
        <w:jc w:val="center"/>
        <w:rPr>
          <w:rFonts w:ascii="fang_song_gb2312" w:hAnsi="fang_song_gb2312" w:eastAsia="fang_song_gb2312" w:cs="fang_song_gb2312"/>
          <w:kern w:val="0"/>
          <w:sz w:val="27"/>
          <w:szCs w:val="27"/>
        </w:rPr>
      </w:pPr>
      <w:r>
        <w:drawing>
          <wp:inline distT="0" distB="0" distL="114300" distR="114300">
            <wp:extent cx="4826000" cy="2743200"/>
            <wp:effectExtent l="4445" t="4445" r="8255" b="52705"/>
            <wp:docPr id="3" name="图表 2" descr="7b0a202020202263686172745265734964223a2022323031313634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C413B5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22374C5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内蒙古自治区特种设备检验研究院阿拉善分院 2023年度本年支出决算合计</w:t>
      </w:r>
      <w:r>
        <w:rPr>
          <w:rFonts w:ascii="times_new_roman" w:hAnsi="times_new_roman" w:eastAsia="times_new_roman" w:cs="times_new_roman"/>
          <w:kern w:val="0"/>
          <w:sz w:val="27"/>
          <w:szCs w:val="27"/>
          <w:u w:val="single"/>
        </w:rPr>
        <w:t xml:space="preserve"> 1,897.29</w:t>
      </w:r>
      <w:r>
        <w:rPr>
          <w:rFonts w:ascii="fang_song_gb2312" w:hAnsi="fang_song_gb2312" w:eastAsia="fang_song_gb2312" w:cs="fang_song_gb2312"/>
          <w:kern w:val="0"/>
          <w:sz w:val="27"/>
          <w:szCs w:val="27"/>
        </w:rPr>
        <w:t>万元，其中：</w:t>
      </w:r>
    </w:p>
    <w:p w14:paraId="77A0527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809.72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42.68</w:t>
      </w:r>
      <w:r>
        <w:rPr>
          <w:rFonts w:ascii="fang_song_gb2312" w:hAnsi="fang_song_gb2312" w:eastAsia="fang_song_gb2312" w:cs="fang_song_gb2312"/>
          <w:kern w:val="0"/>
          <w:sz w:val="27"/>
          <w:szCs w:val="27"/>
        </w:rPr>
        <w:t>%；</w:t>
      </w:r>
    </w:p>
    <w:p w14:paraId="7779384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358.00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18.87</w:t>
      </w:r>
      <w:r>
        <w:rPr>
          <w:rFonts w:ascii="fang_song_gb2312" w:hAnsi="fang_song_gb2312" w:eastAsia="fang_song_gb2312" w:cs="fang_song_gb2312"/>
          <w:kern w:val="0"/>
          <w:sz w:val="27"/>
          <w:szCs w:val="27"/>
        </w:rPr>
        <w:t>%；</w:t>
      </w:r>
    </w:p>
    <w:p w14:paraId="655FDAD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2EEF1F6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729.57</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38.45</w:t>
      </w:r>
      <w:r>
        <w:rPr>
          <w:rFonts w:ascii="fang_song_gb2312" w:hAnsi="fang_song_gb2312" w:eastAsia="fang_song_gb2312" w:cs="fang_song_gb2312"/>
          <w:kern w:val="0"/>
          <w:sz w:val="27"/>
          <w:szCs w:val="27"/>
        </w:rPr>
        <w:t>%；</w:t>
      </w:r>
    </w:p>
    <w:p w14:paraId="46EAB28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646E1297">
      <w:pPr>
        <w:widowControl/>
        <w:spacing w:before="240" w:after="240"/>
        <w:jc w:val="center"/>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图2.支出决算图</w:t>
      </w:r>
    </w:p>
    <w:p w14:paraId="7ED6744A">
      <w:pPr>
        <w:widowControl/>
        <w:spacing w:before="240" w:after="240"/>
        <w:jc w:val="center"/>
        <w:rPr>
          <w:rFonts w:ascii="fang_song_gb2312" w:hAnsi="fang_song_gb2312" w:eastAsia="fang_song_gb2312" w:cs="fang_song_gb2312"/>
          <w:kern w:val="0"/>
          <w:sz w:val="27"/>
          <w:szCs w:val="27"/>
        </w:rPr>
      </w:pPr>
      <w:r>
        <w:drawing>
          <wp:inline distT="0" distB="0" distL="114300" distR="114300">
            <wp:extent cx="4826000" cy="2743200"/>
            <wp:effectExtent l="4445" t="4445" r="8255" b="52705"/>
            <wp:docPr id="2" name="图表 1" descr="7b0a202020202263686172745265734964223a2022323031313634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66F110">
      <w:pPr>
        <w:widowControl/>
        <w:spacing w:before="240" w:after="240"/>
        <w:jc w:val="left"/>
        <w:rPr>
          <w:rFonts w:ascii="Times New Roman" w:hAnsi="Times New Roman" w:eastAsia="Times New Roman" w:cs="Times New Roman"/>
          <w:kern w:val="0"/>
          <w:sz w:val="24"/>
        </w:rPr>
      </w:pPr>
    </w:p>
    <w:p w14:paraId="23AD695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5383448B">
      <w:pPr>
        <w:widowControl/>
        <w:spacing w:before="240" w:after="240"/>
        <w:ind w:firstLine="481"/>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p>
    <w:p w14:paraId="410D35EE">
      <w:pPr>
        <w:widowControl/>
        <w:spacing w:before="240" w:after="240"/>
        <w:ind w:firstLine="481"/>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度财政拨款收入、支出决算总计</w:t>
      </w:r>
      <w:r>
        <w:rPr>
          <w:rFonts w:ascii="times_new_roman" w:hAnsi="times_new_roman" w:eastAsia="times_new_roman" w:cs="times_new_roman"/>
          <w:kern w:val="0"/>
          <w:sz w:val="27"/>
          <w:szCs w:val="27"/>
          <w:u w:val="single"/>
        </w:rPr>
        <w:t xml:space="preserve"> 1,097.72</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7.00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0.64</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年中追加艰苦边远津贴7万元</w:t>
      </w:r>
      <w:r>
        <w:rPr>
          <w:rFonts w:ascii="fang_song_gb2312" w:hAnsi="fang_song_gb2312" w:eastAsia="fang_song_gb2312" w:cs="fang_song_gb2312"/>
          <w:kern w:val="0"/>
          <w:sz w:val="27"/>
          <w:szCs w:val="27"/>
        </w:rPr>
        <w:t>；与上年决算相比，收、支总计各增加（减少）</w:t>
      </w:r>
      <w:r>
        <w:rPr>
          <w:rFonts w:ascii="times_new_roman" w:hAnsi="times_new_roman" w:eastAsia="times_new_roman" w:cs="times_new_roman"/>
          <w:kern w:val="0"/>
          <w:sz w:val="27"/>
          <w:szCs w:val="27"/>
          <w:u w:val="single"/>
        </w:rPr>
        <w:t xml:space="preserve"> 10.82</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1.00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一般公共预算财政拨款收入较上年减少10.82万元</w:t>
      </w:r>
      <w:r>
        <w:rPr>
          <w:rFonts w:ascii="fang_song_gb2312" w:hAnsi="fang_song_gb2312" w:eastAsia="fang_song_gb2312" w:cs="fang_song_gb2312"/>
          <w:kern w:val="0"/>
          <w:sz w:val="27"/>
          <w:szCs w:val="27"/>
        </w:rPr>
        <w:t>。</w:t>
      </w:r>
    </w:p>
    <w:p w14:paraId="57BD6519">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46AB1FD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1,097.72</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1,090.72</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100.64</w:t>
      </w:r>
      <w:r>
        <w:rPr>
          <w:rFonts w:ascii="fang_song_gb2312" w:hAnsi="fang_song_gb2312" w:eastAsia="fang_song_gb2312" w:cs="fang_song_gb2312"/>
          <w:kern w:val="0"/>
          <w:sz w:val="27"/>
          <w:szCs w:val="27"/>
        </w:rPr>
        <w:t>%。其中：</w:t>
      </w:r>
    </w:p>
    <w:p w14:paraId="194662EE">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（一）一般公共服务（类）</w:t>
      </w:r>
    </w:p>
    <w:p w14:paraId="1D3C6FA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一般公共服务类决算数为</w:t>
      </w:r>
      <w:r>
        <w:rPr>
          <w:rFonts w:ascii="times_new_roman" w:hAnsi="times_new_roman" w:eastAsia="times_new_roman" w:cs="times_new_roman"/>
          <w:kern w:val="0"/>
          <w:sz w:val="27"/>
          <w:szCs w:val="27"/>
          <w:u w:val="single"/>
        </w:rPr>
        <w:t xml:space="preserve"> 1,012.86</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7.00</w:t>
      </w:r>
      <w:r>
        <w:rPr>
          <w:rFonts w:ascii="fang_song_gb2312" w:hAnsi="fang_song_gb2312" w:eastAsia="fang_song_gb2312" w:cs="fang_song_gb2312"/>
          <w:kern w:val="0"/>
          <w:sz w:val="27"/>
          <w:szCs w:val="27"/>
        </w:rPr>
        <w:t>万元。其中：</w:t>
      </w:r>
    </w:p>
    <w:p w14:paraId="2F084D1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1．人大事务（款）行政运行（项）。年初预算</w:t>
      </w:r>
      <w:r>
        <w:rPr>
          <w:rFonts w:hint="eastAsia" w:ascii="times_new_roman" w:hAnsi="times_new_roman" w:cs="times_new_roman"/>
          <w:kern w:val="0"/>
          <w:sz w:val="27"/>
          <w:szCs w:val="27"/>
          <w:u w:val="single"/>
          <w:lang w:val="en-US" w:eastAsia="zh-CN"/>
        </w:rPr>
        <w:t>1005.86</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1012.86</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年中追加艰苦边远津贴7万元</w:t>
      </w:r>
      <w:r>
        <w:rPr>
          <w:rFonts w:ascii="fang_song_gb2312" w:hAnsi="fang_song_gb2312" w:eastAsia="fang_song_gb2312" w:cs="fang_song_gb2312"/>
          <w:kern w:val="0"/>
          <w:sz w:val="27"/>
          <w:szCs w:val="27"/>
        </w:rPr>
        <w:t>。</w:t>
      </w:r>
    </w:p>
    <w:p w14:paraId="607F3A10">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（二）公共安全（类）</w:t>
      </w:r>
    </w:p>
    <w:p w14:paraId="59427F9E">
      <w:pPr>
        <w:widowControl/>
        <w:spacing w:before="240" w:after="240"/>
        <w:rPr>
          <w:rFonts w:hint="default" w:ascii="Times New Roman" w:hAnsi="Times New Roman" w:eastAsia="宋体" w:cs="Times New Roman"/>
          <w:kern w:val="0"/>
          <w:sz w:val="24"/>
          <w:lang w:val="en-US" w:eastAsia="zh-CN"/>
        </w:rPr>
      </w:pPr>
      <w:r>
        <w:rPr>
          <w:rFonts w:ascii="fang_song_gb2312" w:hAnsi="fang_song_gb2312" w:eastAsia="fang_song_gb2312" w:cs="fang_song_gb2312"/>
          <w:kern w:val="0"/>
          <w:sz w:val="27"/>
          <w:szCs w:val="27"/>
        </w:rPr>
        <w:t>    公共安全类决算数为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val="en-US" w:eastAsia="zh-CN"/>
        </w:rPr>
        <w:t>主要原因：不存在此项内容。</w:t>
      </w:r>
    </w:p>
    <w:p w14:paraId="481ABAF5">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（三）社会保障和就业支出（类）</w:t>
      </w:r>
    </w:p>
    <w:p w14:paraId="5616D29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57.79</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14:paraId="2F134FA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行政事业单位养老支出（款）行政单位离退休（项）。年初预算</w:t>
      </w:r>
      <w:r>
        <w:rPr>
          <w:rFonts w:hint="eastAsia" w:ascii="times_new_roman" w:hAnsi="times_new_roman" w:cs="times_new_roman"/>
          <w:kern w:val="0"/>
          <w:sz w:val="27"/>
          <w:szCs w:val="27"/>
          <w:u w:val="single"/>
          <w:lang w:val="en-US" w:eastAsia="zh-CN"/>
        </w:rPr>
        <w:t>3.62</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3.62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不存在差异</w:t>
      </w:r>
      <w:r>
        <w:rPr>
          <w:rFonts w:ascii="fang_song_gb2312" w:hAnsi="fang_song_gb2312" w:eastAsia="fang_song_gb2312" w:cs="fang_song_gb2312"/>
          <w:kern w:val="0"/>
          <w:sz w:val="27"/>
          <w:szCs w:val="27"/>
        </w:rPr>
        <w:t>。</w:t>
      </w:r>
    </w:p>
    <w:p w14:paraId="680ED21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cs="times_new_roman"/>
          <w:kern w:val="0"/>
          <w:sz w:val="27"/>
          <w:szCs w:val="27"/>
          <w:u w:val="single"/>
          <w:lang w:val="en-US" w:eastAsia="zh-CN"/>
        </w:rPr>
        <w:t>36.11</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36.11</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不存在差异</w:t>
      </w:r>
      <w:r>
        <w:rPr>
          <w:rFonts w:ascii="fang_song_gb2312" w:hAnsi="fang_song_gb2312" w:eastAsia="fang_song_gb2312" w:cs="fang_song_gb2312"/>
          <w:kern w:val="0"/>
          <w:sz w:val="27"/>
          <w:szCs w:val="27"/>
        </w:rPr>
        <w:t>。</w:t>
      </w:r>
    </w:p>
    <w:p w14:paraId="7BCE026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3．</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cs="times_new_roman"/>
          <w:kern w:val="0"/>
          <w:sz w:val="27"/>
          <w:szCs w:val="27"/>
          <w:u w:val="single"/>
          <w:lang w:val="en-US" w:eastAsia="zh-CN"/>
        </w:rPr>
        <w:t>18.06</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18.06</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不存在差异</w:t>
      </w:r>
      <w:r>
        <w:rPr>
          <w:rFonts w:ascii="fang_song_gb2312" w:hAnsi="fang_song_gb2312" w:eastAsia="fang_song_gb2312" w:cs="fang_song_gb2312"/>
          <w:kern w:val="0"/>
          <w:sz w:val="27"/>
          <w:szCs w:val="27"/>
        </w:rPr>
        <w:t>。</w:t>
      </w:r>
    </w:p>
    <w:p w14:paraId="19DC2787">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（四）卫生健康支出（类）</w:t>
      </w:r>
    </w:p>
    <w:p w14:paraId="5797F5F9">
      <w:pPr>
        <w:widowControl/>
        <w:spacing w:before="240" w:after="240"/>
        <w:rPr>
          <w:rFonts w:hint="default" w:ascii="Times New Roman" w:hAnsi="Times New Roman" w:eastAsia="宋体" w:cs="Times New Roman"/>
          <w:kern w:val="0"/>
          <w:sz w:val="24"/>
          <w:lang w:val="en-US" w:eastAsia="zh-CN"/>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val="en-US" w:eastAsia="zh-CN"/>
        </w:rPr>
        <w:t>主要原因：不存在此项内容。</w:t>
      </w:r>
    </w:p>
    <w:p w14:paraId="08D79688">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（五）住房保障支出（类）</w:t>
      </w:r>
    </w:p>
    <w:p w14:paraId="2079720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27.08</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14:paraId="0D7265AB">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cs="times_new_roman"/>
          <w:kern w:val="0"/>
          <w:sz w:val="27"/>
          <w:szCs w:val="27"/>
          <w:u w:val="single"/>
          <w:lang w:val="en-US" w:eastAsia="zh-CN"/>
        </w:rPr>
        <w:t>27.08</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27.08</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不存在差异</w:t>
      </w:r>
      <w:r>
        <w:rPr>
          <w:rFonts w:ascii="fang_song_gb2312" w:hAnsi="fang_song_gb2312" w:eastAsia="fang_song_gb2312" w:cs="fang_song_gb2312"/>
          <w:kern w:val="0"/>
          <w:sz w:val="27"/>
          <w:szCs w:val="27"/>
        </w:rPr>
        <w:t>。</w:t>
      </w:r>
    </w:p>
    <w:p w14:paraId="1A9E4722">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14:paraId="034E737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内蒙古自治区特种设备检验研究院阿拉善分院 2023年度一般公共预算财政拨款基本支出决算</w:t>
      </w:r>
      <w:r>
        <w:rPr>
          <w:rFonts w:ascii="times_new_roman" w:hAnsi="times_new_roman" w:eastAsia="times_new_roman" w:cs="times_new_roman"/>
          <w:kern w:val="0"/>
          <w:sz w:val="27"/>
          <w:szCs w:val="27"/>
          <w:u w:val="single"/>
        </w:rPr>
        <w:t xml:space="preserve"> 809.72</w:t>
      </w:r>
      <w:r>
        <w:rPr>
          <w:rFonts w:ascii="fang_song_gb2312" w:hAnsi="fang_song_gb2312" w:eastAsia="fang_song_gb2312" w:cs="fang_song_gb2312"/>
          <w:kern w:val="0"/>
          <w:sz w:val="27"/>
          <w:szCs w:val="27"/>
        </w:rPr>
        <w:t>万元，其中：</w:t>
      </w:r>
    </w:p>
    <w:p w14:paraId="07044DF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809.62</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w:t>
      </w:r>
      <w:r>
        <w:rPr>
          <w:rFonts w:hint="eastAsia" w:ascii="fang_song_gb2312" w:hAnsi="fang_song_gb2312" w:cs="fang_song_gb2312"/>
          <w:kern w:val="0"/>
          <w:sz w:val="27"/>
          <w:szCs w:val="27"/>
          <w:lang w:val="en-US" w:eastAsia="zh-CN"/>
        </w:rPr>
        <w:t>76.84万元</w:t>
      </w:r>
      <w:r>
        <w:rPr>
          <w:rFonts w:ascii="fang_song_gb2312" w:hAnsi="fang_song_gb2312" w:eastAsia="fang_song_gb2312" w:cs="fang_song_gb2312"/>
          <w:kern w:val="0"/>
          <w:sz w:val="27"/>
          <w:szCs w:val="27"/>
        </w:rPr>
        <w:t>、津贴补贴</w:t>
      </w:r>
      <w:r>
        <w:rPr>
          <w:rFonts w:hint="eastAsia" w:ascii="fang_song_gb2312" w:hAnsi="fang_song_gb2312" w:cs="fang_song_gb2312"/>
          <w:kern w:val="0"/>
          <w:sz w:val="27"/>
          <w:szCs w:val="27"/>
          <w:lang w:val="en-US" w:eastAsia="zh-CN"/>
        </w:rPr>
        <w:t>68.72万元</w:t>
      </w:r>
      <w:r>
        <w:rPr>
          <w:rFonts w:ascii="fang_song_gb2312" w:hAnsi="fang_song_gb2312" w:eastAsia="fang_song_gb2312" w:cs="fang_song_gb2312"/>
          <w:kern w:val="0"/>
          <w:sz w:val="27"/>
          <w:szCs w:val="27"/>
        </w:rPr>
        <w:t>、奖金</w:t>
      </w:r>
      <w:r>
        <w:rPr>
          <w:rFonts w:hint="eastAsia" w:ascii="fang_song_gb2312" w:hAnsi="fang_song_gb2312" w:cs="fang_song_gb2312"/>
          <w:kern w:val="0"/>
          <w:sz w:val="27"/>
          <w:szCs w:val="27"/>
          <w:lang w:val="en-US" w:eastAsia="zh-CN"/>
        </w:rPr>
        <w:t>11.47万元</w:t>
      </w:r>
      <w:r>
        <w:rPr>
          <w:rFonts w:ascii="fang_song_gb2312" w:hAnsi="fang_song_gb2312" w:eastAsia="fang_song_gb2312" w:cs="fang_song_gb2312"/>
          <w:kern w:val="0"/>
          <w:sz w:val="27"/>
          <w:szCs w:val="27"/>
        </w:rPr>
        <w:t>、绩效工资</w:t>
      </w:r>
      <w:r>
        <w:rPr>
          <w:rFonts w:hint="eastAsia" w:ascii="fang_song_gb2312" w:hAnsi="fang_song_gb2312" w:cs="fang_song_gb2312"/>
          <w:kern w:val="0"/>
          <w:sz w:val="27"/>
          <w:szCs w:val="27"/>
          <w:lang w:val="en-US" w:eastAsia="zh-CN"/>
        </w:rPr>
        <w:t>48.16万元</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 xml:space="preserve"> 机关事业单位基本养老保险缴费</w:t>
      </w:r>
      <w:r>
        <w:rPr>
          <w:rFonts w:hint="eastAsia" w:ascii="fang_song_gb2312" w:hAnsi="fang_song_gb2312" w:cs="fang_song_gb2312"/>
          <w:kern w:val="0"/>
          <w:sz w:val="27"/>
          <w:szCs w:val="27"/>
          <w:lang w:val="en-US" w:eastAsia="zh-CN"/>
        </w:rPr>
        <w:t>36.11万元、职业年金缴费18.06万元、职工基本医疗保险缴费14万元、其他社会保障缴费1.56万元、住房公积金27.08万元、</w:t>
      </w:r>
      <w:r>
        <w:rPr>
          <w:rFonts w:ascii="fang_song_gb2312" w:hAnsi="fang_song_gb2312" w:eastAsia="fang_song_gb2312" w:cs="fang_song_gb2312"/>
          <w:kern w:val="0"/>
          <w:sz w:val="27"/>
          <w:szCs w:val="27"/>
        </w:rPr>
        <w:t>其他工资福利支出</w:t>
      </w:r>
      <w:r>
        <w:rPr>
          <w:rFonts w:hint="eastAsia" w:ascii="fang_song_gb2312" w:hAnsi="fang_song_gb2312" w:cs="fang_song_gb2312"/>
          <w:kern w:val="0"/>
          <w:sz w:val="27"/>
          <w:szCs w:val="27"/>
          <w:lang w:val="en-US" w:eastAsia="zh-CN"/>
        </w:rPr>
        <w:t>504万元</w:t>
      </w:r>
      <w:r>
        <w:rPr>
          <w:rFonts w:ascii="fang_song_gb2312" w:hAnsi="fang_song_gb2312" w:eastAsia="fang_song_gb2312" w:cs="fang_song_gb2312"/>
          <w:kern w:val="0"/>
          <w:sz w:val="27"/>
          <w:szCs w:val="27"/>
        </w:rPr>
        <w:t>、退休费</w:t>
      </w:r>
      <w:r>
        <w:rPr>
          <w:rFonts w:hint="eastAsia" w:ascii="fang_song_gb2312" w:hAnsi="fang_song_gb2312" w:cs="fang_song_gb2312"/>
          <w:kern w:val="0"/>
          <w:sz w:val="27"/>
          <w:szCs w:val="27"/>
          <w:lang w:val="en-US" w:eastAsia="zh-CN"/>
        </w:rPr>
        <w:t>3.62万元</w:t>
      </w:r>
      <w:r>
        <w:rPr>
          <w:rFonts w:ascii="fang_song_gb2312" w:hAnsi="fang_song_gb2312" w:eastAsia="fang_song_gb2312" w:cs="fang_song_gb2312"/>
          <w:kern w:val="0"/>
          <w:sz w:val="27"/>
          <w:szCs w:val="27"/>
        </w:rPr>
        <w:t>。</w:t>
      </w:r>
    </w:p>
    <w:p w14:paraId="1142796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0.11</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cs="fang_song_gb2312"/>
          <w:kern w:val="0"/>
          <w:sz w:val="27"/>
          <w:szCs w:val="27"/>
          <w:lang w:val="en-US" w:eastAsia="zh-CN"/>
        </w:rPr>
        <w:t>电费0.11万元</w:t>
      </w:r>
      <w:r>
        <w:rPr>
          <w:rFonts w:ascii="fang_song_gb2312" w:hAnsi="fang_song_gb2312" w:eastAsia="fang_song_gb2312" w:cs="fang_song_gb2312"/>
          <w:kern w:val="0"/>
          <w:sz w:val="27"/>
          <w:szCs w:val="27"/>
        </w:rPr>
        <w:t>。</w:t>
      </w:r>
    </w:p>
    <w:p w14:paraId="3912B264">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14:paraId="3253867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288.00</w:t>
      </w:r>
      <w:r>
        <w:rPr>
          <w:rFonts w:ascii="fang_song_gb2312" w:hAnsi="fang_song_gb2312" w:eastAsia="fang_song_gb2312" w:cs="fang_song_gb2312"/>
          <w:kern w:val="0"/>
          <w:sz w:val="27"/>
          <w:szCs w:val="27"/>
        </w:rPr>
        <w:t>万元，其中：</w:t>
      </w:r>
    </w:p>
    <w:p w14:paraId="7F4B2970">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    （一）工资福利支出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w:t>
      </w:r>
    </w:p>
    <w:p w14:paraId="1AFC721B">
      <w:pPr>
        <w:widowControl/>
        <w:spacing w:before="240" w:after="240"/>
        <w:ind w:firstLine="481"/>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（二）商品和服务支出</w:t>
      </w:r>
      <w:r>
        <w:rPr>
          <w:rFonts w:ascii="times_new_roman" w:hAnsi="times_new_roman" w:eastAsia="times_new_roman" w:cs="times_new_roman"/>
          <w:kern w:val="0"/>
          <w:sz w:val="27"/>
          <w:szCs w:val="27"/>
          <w:u w:val="single"/>
        </w:rPr>
        <w:t xml:space="preserve"> 245.00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cs="fang_song_gb2312"/>
          <w:kern w:val="0"/>
          <w:sz w:val="27"/>
          <w:szCs w:val="27"/>
          <w:lang w:val="en-US" w:eastAsia="zh-CN"/>
        </w:rPr>
        <w:t>16万元</w:t>
      </w:r>
      <w:r>
        <w:rPr>
          <w:rFonts w:ascii="fang_song_gb2312" w:hAnsi="fang_song_gb2312" w:eastAsia="fang_song_gb2312" w:cs="fang_song_gb2312"/>
          <w:kern w:val="0"/>
          <w:sz w:val="27"/>
          <w:szCs w:val="27"/>
        </w:rPr>
        <w:t>、印刷费</w:t>
      </w:r>
      <w:r>
        <w:rPr>
          <w:rFonts w:hint="eastAsia" w:ascii="fang_song_gb2312" w:hAnsi="fang_song_gb2312" w:cs="fang_song_gb2312"/>
          <w:kern w:val="0"/>
          <w:sz w:val="27"/>
          <w:szCs w:val="27"/>
          <w:lang w:val="en-US" w:eastAsia="zh-CN"/>
        </w:rPr>
        <w:t>5万元</w:t>
      </w:r>
      <w:r>
        <w:rPr>
          <w:rFonts w:ascii="fang_song_gb2312" w:hAnsi="fang_song_gb2312" w:eastAsia="fang_song_gb2312" w:cs="fang_song_gb2312"/>
          <w:kern w:val="0"/>
          <w:sz w:val="27"/>
          <w:szCs w:val="27"/>
        </w:rPr>
        <w:t>、咨询费</w:t>
      </w:r>
      <w:r>
        <w:rPr>
          <w:rFonts w:hint="eastAsia" w:ascii="fang_song_gb2312" w:hAnsi="fang_song_gb2312" w:cs="fang_song_gb2312"/>
          <w:kern w:val="0"/>
          <w:sz w:val="27"/>
          <w:szCs w:val="27"/>
          <w:lang w:val="en-US" w:eastAsia="zh-CN"/>
        </w:rPr>
        <w:t>3万元</w:t>
      </w:r>
      <w:r>
        <w:rPr>
          <w:rFonts w:ascii="fang_song_gb2312" w:hAnsi="fang_song_gb2312" w:eastAsia="fang_song_gb2312" w:cs="fang_song_gb2312"/>
          <w:kern w:val="0"/>
          <w:sz w:val="27"/>
          <w:szCs w:val="27"/>
        </w:rPr>
        <w:t>、水费</w:t>
      </w:r>
      <w:r>
        <w:rPr>
          <w:rFonts w:hint="eastAsia" w:ascii="fang_song_gb2312" w:hAnsi="fang_song_gb2312" w:cs="fang_song_gb2312"/>
          <w:kern w:val="0"/>
          <w:sz w:val="27"/>
          <w:szCs w:val="27"/>
          <w:lang w:val="en-US" w:eastAsia="zh-CN"/>
        </w:rPr>
        <w:t>1万元、</w:t>
      </w:r>
      <w:r>
        <w:rPr>
          <w:rFonts w:ascii="fang_song_gb2312" w:hAnsi="fang_song_gb2312" w:eastAsia="fang_song_gb2312" w:cs="fang_song_gb2312"/>
          <w:kern w:val="0"/>
          <w:sz w:val="27"/>
          <w:szCs w:val="27"/>
        </w:rPr>
        <w:t>邮电费</w:t>
      </w:r>
      <w:r>
        <w:rPr>
          <w:rFonts w:hint="eastAsia" w:ascii="fang_song_gb2312" w:hAnsi="fang_song_gb2312" w:cs="fang_song_gb2312"/>
          <w:kern w:val="0"/>
          <w:sz w:val="27"/>
          <w:szCs w:val="27"/>
          <w:lang w:val="en-US" w:eastAsia="zh-CN"/>
        </w:rPr>
        <w:t>5万元</w:t>
      </w:r>
      <w:r>
        <w:rPr>
          <w:rFonts w:ascii="fang_song_gb2312" w:hAnsi="fang_song_gb2312" w:eastAsia="fang_song_gb2312" w:cs="fang_song_gb2312"/>
          <w:kern w:val="0"/>
          <w:sz w:val="27"/>
          <w:szCs w:val="27"/>
        </w:rPr>
        <w:t>、取暖费</w:t>
      </w:r>
      <w:r>
        <w:rPr>
          <w:rFonts w:hint="eastAsia" w:ascii="fang_song_gb2312" w:hAnsi="fang_song_gb2312" w:cs="fang_song_gb2312"/>
          <w:kern w:val="0"/>
          <w:sz w:val="27"/>
          <w:szCs w:val="27"/>
          <w:lang w:val="en-US" w:eastAsia="zh-CN"/>
        </w:rPr>
        <w:t>5万元</w:t>
      </w:r>
      <w:r>
        <w:rPr>
          <w:rFonts w:ascii="fang_song_gb2312" w:hAnsi="fang_song_gb2312" w:eastAsia="fang_song_gb2312" w:cs="fang_song_gb2312"/>
          <w:kern w:val="0"/>
          <w:sz w:val="27"/>
          <w:szCs w:val="27"/>
        </w:rPr>
        <w:t>、物业管理费</w:t>
      </w:r>
      <w:r>
        <w:rPr>
          <w:rFonts w:hint="eastAsia" w:ascii="fang_song_gb2312" w:hAnsi="fang_song_gb2312" w:cs="fang_song_gb2312"/>
          <w:kern w:val="0"/>
          <w:sz w:val="27"/>
          <w:szCs w:val="27"/>
          <w:lang w:val="en-US" w:eastAsia="zh-CN"/>
        </w:rPr>
        <w:t>8万元</w:t>
      </w:r>
      <w:r>
        <w:rPr>
          <w:rFonts w:ascii="fang_song_gb2312" w:hAnsi="fang_song_gb2312" w:eastAsia="fang_song_gb2312" w:cs="fang_song_gb2312"/>
          <w:kern w:val="0"/>
          <w:sz w:val="27"/>
          <w:szCs w:val="27"/>
        </w:rPr>
        <w:t>、差旅费</w:t>
      </w:r>
      <w:r>
        <w:rPr>
          <w:rFonts w:hint="eastAsia" w:ascii="fang_song_gb2312" w:hAnsi="fang_song_gb2312" w:cs="fang_song_gb2312"/>
          <w:kern w:val="0"/>
          <w:sz w:val="27"/>
          <w:szCs w:val="27"/>
          <w:lang w:val="en-US" w:eastAsia="zh-CN"/>
        </w:rPr>
        <w:t>80万元</w:t>
      </w:r>
      <w:r>
        <w:rPr>
          <w:rFonts w:ascii="fang_song_gb2312" w:hAnsi="fang_song_gb2312" w:eastAsia="fang_song_gb2312" w:cs="fang_song_gb2312"/>
          <w:kern w:val="0"/>
          <w:sz w:val="27"/>
          <w:szCs w:val="27"/>
        </w:rPr>
        <w:t>、维修（护）费</w:t>
      </w:r>
      <w:r>
        <w:rPr>
          <w:rFonts w:hint="eastAsia" w:ascii="fang_song_gb2312" w:hAnsi="fang_song_gb2312" w:cs="fang_song_gb2312"/>
          <w:kern w:val="0"/>
          <w:sz w:val="27"/>
          <w:szCs w:val="27"/>
          <w:lang w:val="en-US" w:eastAsia="zh-CN"/>
        </w:rPr>
        <w:t>10万元</w:t>
      </w:r>
      <w:r>
        <w:rPr>
          <w:rFonts w:ascii="fang_song_gb2312" w:hAnsi="fang_song_gb2312" w:eastAsia="fang_song_gb2312" w:cs="fang_song_gb2312"/>
          <w:kern w:val="0"/>
          <w:sz w:val="27"/>
          <w:szCs w:val="27"/>
        </w:rPr>
        <w:t>、培训费</w:t>
      </w:r>
      <w:r>
        <w:rPr>
          <w:rFonts w:hint="eastAsia" w:ascii="fang_song_gb2312" w:hAnsi="fang_song_gb2312" w:cs="fang_song_gb2312"/>
          <w:kern w:val="0"/>
          <w:sz w:val="27"/>
          <w:szCs w:val="27"/>
          <w:lang w:val="en-US" w:eastAsia="zh-CN"/>
        </w:rPr>
        <w:t>5万元</w:t>
      </w:r>
      <w:r>
        <w:rPr>
          <w:rFonts w:ascii="fang_song_gb2312" w:hAnsi="fang_song_gb2312" w:eastAsia="fang_song_gb2312" w:cs="fang_song_gb2312"/>
          <w:kern w:val="0"/>
          <w:sz w:val="27"/>
          <w:szCs w:val="27"/>
        </w:rPr>
        <w:t>、公务接待费</w:t>
      </w:r>
      <w:r>
        <w:rPr>
          <w:rFonts w:hint="eastAsia" w:ascii="fang_song_gb2312" w:hAnsi="fang_song_gb2312" w:cs="fang_song_gb2312"/>
          <w:kern w:val="0"/>
          <w:sz w:val="27"/>
          <w:szCs w:val="27"/>
          <w:lang w:val="en-US" w:eastAsia="zh-CN"/>
        </w:rPr>
        <w:t>1万元</w:t>
      </w:r>
      <w:r>
        <w:rPr>
          <w:rFonts w:ascii="fang_song_gb2312" w:hAnsi="fang_song_gb2312" w:eastAsia="fang_song_gb2312" w:cs="fang_song_gb2312"/>
          <w:kern w:val="0"/>
          <w:sz w:val="27"/>
          <w:szCs w:val="27"/>
        </w:rPr>
        <w:t>、专用材料费</w:t>
      </w:r>
      <w:r>
        <w:rPr>
          <w:rFonts w:hint="eastAsia" w:ascii="fang_song_gb2312" w:hAnsi="fang_song_gb2312" w:cs="fang_song_gb2312"/>
          <w:kern w:val="0"/>
          <w:sz w:val="27"/>
          <w:szCs w:val="27"/>
          <w:lang w:val="en-US" w:eastAsia="zh-CN"/>
        </w:rPr>
        <w:t>35万元</w:t>
      </w:r>
      <w:r>
        <w:rPr>
          <w:rFonts w:ascii="fang_song_gb2312" w:hAnsi="fang_song_gb2312" w:eastAsia="fang_song_gb2312" w:cs="fang_song_gb2312"/>
          <w:kern w:val="0"/>
          <w:sz w:val="27"/>
          <w:szCs w:val="27"/>
        </w:rPr>
        <w:t>、劳务费</w:t>
      </w:r>
      <w:r>
        <w:rPr>
          <w:rFonts w:hint="eastAsia" w:ascii="fang_song_gb2312" w:hAnsi="fang_song_gb2312" w:cs="fang_song_gb2312"/>
          <w:kern w:val="0"/>
          <w:sz w:val="27"/>
          <w:szCs w:val="27"/>
          <w:lang w:val="en-US" w:eastAsia="zh-CN"/>
        </w:rPr>
        <w:t>20万元</w:t>
      </w:r>
      <w:r>
        <w:rPr>
          <w:rFonts w:ascii="fang_song_gb2312" w:hAnsi="fang_song_gb2312" w:eastAsia="fang_song_gb2312" w:cs="fang_song_gb2312"/>
          <w:kern w:val="0"/>
          <w:sz w:val="27"/>
          <w:szCs w:val="27"/>
        </w:rPr>
        <w:t>、工会经费</w:t>
      </w:r>
      <w:r>
        <w:rPr>
          <w:rFonts w:hint="eastAsia" w:ascii="fang_song_gb2312" w:hAnsi="fang_song_gb2312" w:cs="fang_song_gb2312"/>
          <w:kern w:val="0"/>
          <w:sz w:val="27"/>
          <w:szCs w:val="27"/>
          <w:lang w:val="en-US" w:eastAsia="zh-CN"/>
        </w:rPr>
        <w:t>8万元</w:t>
      </w:r>
      <w:r>
        <w:rPr>
          <w:rFonts w:ascii="fang_song_gb2312" w:hAnsi="fang_song_gb2312" w:eastAsia="fang_song_gb2312" w:cs="fang_song_gb2312"/>
          <w:kern w:val="0"/>
          <w:sz w:val="27"/>
          <w:szCs w:val="27"/>
        </w:rPr>
        <w:t>、福利费</w:t>
      </w:r>
      <w:r>
        <w:rPr>
          <w:rFonts w:hint="eastAsia" w:ascii="fang_song_gb2312" w:hAnsi="fang_song_gb2312" w:cs="fang_song_gb2312"/>
          <w:kern w:val="0"/>
          <w:sz w:val="27"/>
          <w:szCs w:val="27"/>
          <w:lang w:val="en-US" w:eastAsia="zh-CN"/>
        </w:rPr>
        <w:t>6万元</w:t>
      </w:r>
      <w:r>
        <w:rPr>
          <w:rFonts w:ascii="fang_song_gb2312" w:hAnsi="fang_song_gb2312" w:eastAsia="fang_song_gb2312" w:cs="fang_song_gb2312"/>
          <w:kern w:val="0"/>
          <w:sz w:val="27"/>
          <w:szCs w:val="27"/>
        </w:rPr>
        <w:t>、公务用车运行维护费</w:t>
      </w:r>
      <w:r>
        <w:rPr>
          <w:rFonts w:hint="eastAsia" w:ascii="fang_song_gb2312" w:hAnsi="fang_song_gb2312" w:cs="fang_song_gb2312"/>
          <w:kern w:val="0"/>
          <w:sz w:val="27"/>
          <w:szCs w:val="27"/>
          <w:lang w:val="en-US" w:eastAsia="zh-CN"/>
        </w:rPr>
        <w:t>25万元</w:t>
      </w:r>
      <w:r>
        <w:rPr>
          <w:rFonts w:ascii="fang_song_gb2312" w:hAnsi="fang_song_gb2312" w:eastAsia="fang_song_gb2312" w:cs="fang_song_gb2312"/>
          <w:kern w:val="0"/>
          <w:sz w:val="27"/>
          <w:szCs w:val="27"/>
        </w:rPr>
        <w:t>、其他交通费用</w:t>
      </w:r>
      <w:r>
        <w:rPr>
          <w:rFonts w:hint="eastAsia" w:ascii="fang_song_gb2312" w:hAnsi="fang_song_gb2312" w:cs="fang_song_gb2312"/>
          <w:kern w:val="0"/>
          <w:sz w:val="27"/>
          <w:szCs w:val="27"/>
          <w:lang w:val="en-US" w:eastAsia="zh-CN"/>
        </w:rPr>
        <w:t>9万元</w:t>
      </w:r>
      <w:r>
        <w:rPr>
          <w:rFonts w:ascii="fang_song_gb2312" w:hAnsi="fang_song_gb2312" w:eastAsia="fang_song_gb2312" w:cs="fang_song_gb2312"/>
          <w:kern w:val="0"/>
          <w:sz w:val="27"/>
          <w:szCs w:val="27"/>
        </w:rPr>
        <w:t>、税金及附加费用、其他商品和服务支出等。</w:t>
      </w:r>
    </w:p>
    <w:p w14:paraId="1C91B4E8">
      <w:pPr>
        <w:widowControl/>
        <w:spacing w:before="240" w:after="240"/>
        <w:ind w:firstLine="481"/>
        <w:rPr>
          <w:rFonts w:hint="default" w:ascii="fang_song_gb2312" w:hAnsi="fang_song_gb2312" w:eastAsia="fang_song_gb2312" w:cs="fang_song_gb2312"/>
          <w:b/>
          <w:bCs/>
          <w:kern w:val="0"/>
          <w:sz w:val="27"/>
          <w:szCs w:val="27"/>
          <w:lang w:val="en-US" w:eastAsia="zh-CN"/>
        </w:rPr>
      </w:pPr>
      <w:r>
        <w:rPr>
          <w:rFonts w:hint="eastAsia" w:ascii="fang_song_gb2312" w:hAnsi="fang_song_gb2312" w:eastAsia="fang_song_gb2312" w:cs="fang_song_gb2312"/>
          <w:b/>
          <w:bCs/>
          <w:kern w:val="0"/>
          <w:sz w:val="27"/>
          <w:szCs w:val="27"/>
          <w:lang w:eastAsia="zh-CN"/>
        </w:rPr>
        <w:t>（</w:t>
      </w:r>
      <w:r>
        <w:rPr>
          <w:rFonts w:hint="eastAsia" w:ascii="fang_song_gb2312" w:hAnsi="fang_song_gb2312" w:eastAsia="fang_song_gb2312" w:cs="fang_song_gb2312"/>
          <w:b/>
          <w:bCs/>
          <w:kern w:val="0"/>
          <w:sz w:val="27"/>
          <w:szCs w:val="27"/>
          <w:lang w:val="en-US" w:eastAsia="zh-CN"/>
        </w:rPr>
        <w:t>三</w:t>
      </w:r>
      <w:r>
        <w:rPr>
          <w:rFonts w:hint="eastAsia" w:ascii="fang_song_gb2312" w:hAnsi="fang_song_gb2312" w:eastAsia="fang_song_gb2312" w:cs="fang_song_gb2312"/>
          <w:b/>
          <w:bCs/>
          <w:kern w:val="0"/>
          <w:sz w:val="27"/>
          <w:szCs w:val="27"/>
          <w:lang w:eastAsia="zh-CN"/>
        </w:rPr>
        <w:t>）</w:t>
      </w:r>
      <w:r>
        <w:rPr>
          <w:rFonts w:hint="eastAsia" w:ascii="fang_song_gb2312" w:hAnsi="fang_song_gb2312" w:eastAsia="fang_song_gb2312" w:cs="fang_song_gb2312"/>
          <w:b/>
          <w:bCs/>
          <w:kern w:val="0"/>
          <w:sz w:val="27"/>
          <w:szCs w:val="27"/>
          <w:lang w:val="en-US" w:eastAsia="zh-CN"/>
        </w:rPr>
        <w:t>资本性支出43万元。</w:t>
      </w:r>
      <w:r>
        <w:rPr>
          <w:rFonts w:hint="eastAsia" w:ascii="fang_song_gb2312" w:hAnsi="fang_song_gb2312" w:eastAsia="fang_song_gb2312" w:cs="fang_song_gb2312"/>
          <w:kern w:val="0"/>
          <w:sz w:val="27"/>
          <w:szCs w:val="27"/>
          <w:lang w:val="en-US" w:eastAsia="zh-CN"/>
        </w:rPr>
        <w:t>主要包括：办公设备购置18万元、专用设备购置25万元。</w:t>
      </w:r>
    </w:p>
    <w:p w14:paraId="0016FDB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14:paraId="6B44E674">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14:paraId="0ADD4D22">
      <w:pPr>
        <w:widowControl/>
        <w:spacing w:before="240" w:after="240"/>
        <w:rPr>
          <w:rFonts w:hint="default" w:ascii="Times New Roman" w:hAnsi="Times New Roman" w:eastAsia="宋体" w:cs="Times New Roman"/>
          <w:kern w:val="0"/>
          <w:sz w:val="24"/>
          <w:lang w:val="en-US" w:eastAsia="zh-CN"/>
        </w:rPr>
      </w:pPr>
      <w:r>
        <w:rPr>
          <w:rFonts w:ascii="fang_song_gb2312" w:hAnsi="fang_song_gb2312" w:eastAsia="fang_song_gb2312" w:cs="fang_song_gb2312"/>
          <w:kern w:val="0"/>
          <w:sz w:val="27"/>
          <w:szCs w:val="27"/>
        </w:rPr>
        <w:t xml:space="preserve">    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26.00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26.00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25.00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25.00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1.00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1.00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%。2023年度一般公共预算财政拨款“三公”经费支出决算与预算差异原因</w:t>
      </w:r>
      <w:r>
        <w:rPr>
          <w:rFonts w:hint="eastAsia" w:ascii="fang_song_gb2312" w:hAnsi="fang_song_gb2312" w:cs="fang_song_gb2312"/>
          <w:kern w:val="0"/>
          <w:sz w:val="27"/>
          <w:szCs w:val="27"/>
          <w:lang w:eastAsia="zh-CN"/>
        </w:rPr>
        <w:t>：</w:t>
      </w:r>
      <w:r>
        <w:rPr>
          <w:rFonts w:hint="eastAsia" w:ascii="fang_song_gb2312" w:hAnsi="fang_song_gb2312" w:cs="fang_song_gb2312"/>
          <w:kern w:val="0"/>
          <w:sz w:val="27"/>
          <w:szCs w:val="27"/>
          <w:lang w:val="en-US" w:eastAsia="zh-CN"/>
        </w:rPr>
        <w:t>不存在差异。</w:t>
      </w:r>
    </w:p>
    <w:p w14:paraId="3345F10C">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14:paraId="05A387B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26.00</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25.00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96.15</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1.00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3.85</w:t>
      </w:r>
      <w:r>
        <w:rPr>
          <w:rFonts w:ascii="fang_song_gb2312" w:hAnsi="fang_song_gb2312" w:eastAsia="fang_song_gb2312" w:cs="fang_song_gb2312"/>
          <w:kern w:val="0"/>
          <w:sz w:val="27"/>
          <w:szCs w:val="27"/>
        </w:rPr>
        <w:t>%。其中：</w:t>
      </w:r>
    </w:p>
    <w:p w14:paraId="18DB5FB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14:paraId="1734E82E">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25.00</w:t>
      </w:r>
      <w:r>
        <w:rPr>
          <w:rFonts w:ascii="fang_song_gb2312" w:hAnsi="fang_song_gb2312" w:eastAsia="fang_song_gb2312" w:cs="fang_song_gb2312"/>
          <w:kern w:val="0"/>
          <w:sz w:val="27"/>
          <w:szCs w:val="27"/>
        </w:rPr>
        <w:t>万元。其中：</w:t>
      </w:r>
    </w:p>
    <w:p w14:paraId="21A471B6">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。与上年决算相比，增加（减少）</w:t>
      </w:r>
      <w:r>
        <w:rPr>
          <w:rFonts w:ascii="times_new_roman" w:hAnsi="times_new_roman" w:eastAsia="times_new_roman" w:cs="times_new_roman"/>
          <w:kern w:val="0"/>
          <w:sz w:val="27"/>
          <w:szCs w:val="27"/>
          <w:u w:val="single"/>
        </w:rPr>
        <w:t xml:space="preserve"> -16.79</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上年购置公务用车一辆，金额16.79万元，本年无公务用车购置</w:t>
      </w:r>
      <w:r>
        <w:rPr>
          <w:rFonts w:ascii="fang_song_gb2312" w:hAnsi="fang_song_gb2312" w:eastAsia="fang_song_gb2312" w:cs="fang_song_gb2312"/>
          <w:kern w:val="0"/>
          <w:sz w:val="27"/>
          <w:szCs w:val="27"/>
        </w:rPr>
        <w:t>。</w:t>
      </w:r>
    </w:p>
    <w:p w14:paraId="427FFB7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25.00</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11 </w:t>
      </w:r>
      <w:r>
        <w:rPr>
          <w:rFonts w:ascii="fang_song_gb2312" w:hAnsi="fang_song_gb2312" w:eastAsia="fang_song_gb2312" w:cs="fang_song_gb2312"/>
          <w:kern w:val="0"/>
          <w:sz w:val="27"/>
          <w:szCs w:val="27"/>
        </w:rPr>
        <w:t>辆。与上年决算相比，增加</w:t>
      </w:r>
      <w:r>
        <w:rPr>
          <w:rFonts w:ascii="fang_song_gb2312" w:hAnsi="fang_song_gb2312" w:eastAsia="fang_song_gb2312" w:cs="fang_song_gb2312"/>
          <w:kern w:val="0"/>
          <w:sz w:val="27"/>
          <w:szCs w:val="27"/>
          <w:u w:val="single"/>
        </w:rPr>
        <w:t xml:space="preserve"> </w:t>
      </w:r>
      <w:r>
        <w:rPr>
          <w:rFonts w:ascii="times_new_roman" w:hAnsi="times_new_roman" w:eastAsia="times_new_roman" w:cs="times_new_roman"/>
          <w:kern w:val="0"/>
          <w:sz w:val="27"/>
          <w:szCs w:val="27"/>
          <w:u w:val="single"/>
        </w:rPr>
        <w:t>2.00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8.70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2023年新购置公务用车3辆，车辆保险等费用较上年有所增加</w:t>
      </w:r>
      <w:r>
        <w:rPr>
          <w:rFonts w:ascii="fang_song_gb2312" w:hAnsi="fang_song_gb2312" w:eastAsia="fang_song_gb2312" w:cs="fang_song_gb2312"/>
          <w:kern w:val="0"/>
          <w:sz w:val="27"/>
          <w:szCs w:val="27"/>
        </w:rPr>
        <w:t>。</w:t>
      </w:r>
    </w:p>
    <w:p w14:paraId="7E40EC26">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1.00</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1.00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16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87 </w:t>
      </w:r>
      <w:r>
        <w:rPr>
          <w:rFonts w:ascii="fang_song_gb2312" w:hAnsi="fang_song_gb2312" w:eastAsia="fang_song_gb2312" w:cs="fang_song_gb2312"/>
          <w:kern w:val="0"/>
          <w:sz w:val="27"/>
          <w:szCs w:val="27"/>
        </w:rPr>
        <w:t>人次，开支内容：</w:t>
      </w:r>
      <w:r>
        <w:rPr>
          <w:rFonts w:hint="eastAsia" w:ascii="fang_song_gb2312" w:hAnsi="fang_song_gb2312" w:cs="fang_song_gb2312"/>
          <w:kern w:val="0"/>
          <w:sz w:val="27"/>
          <w:szCs w:val="27"/>
          <w:lang w:val="en-US" w:eastAsia="zh-CN"/>
        </w:rPr>
        <w:t>与各盟市学历交流、能力比对以及接待各类考核等</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0.24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32.31</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上年由于疫情影响，各类考核、对比及交流学习情况较2023年少，接待批次及人次均较2023年较少</w:t>
      </w:r>
      <w:r>
        <w:rPr>
          <w:rFonts w:ascii="fang_song_gb2312" w:hAnsi="fang_song_gb2312" w:eastAsia="fang_song_gb2312" w:cs="fang_song_gb2312"/>
          <w:kern w:val="0"/>
          <w:sz w:val="27"/>
          <w:szCs w:val="27"/>
        </w:rPr>
        <w:t>。</w:t>
      </w:r>
    </w:p>
    <w:p w14:paraId="3C235BE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14:paraId="75FF578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14:paraId="496A4BC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4FCDFD5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14:paraId="462D4EFF">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14:paraId="376677F8">
      <w:pPr>
        <w:widowControl/>
        <w:spacing w:before="240" w:after="240"/>
        <w:rPr>
          <w:rFonts w:hint="eastAsia" w:ascii="Times New Roman" w:hAnsi="Times New Roman" w:eastAsia="宋体" w:cs="Times New Roman"/>
          <w:kern w:val="0"/>
          <w:sz w:val="24"/>
          <w:lang w:eastAsia="zh-CN"/>
        </w:rPr>
      </w:pPr>
      <w:r>
        <w:rPr>
          <w:rFonts w:ascii="fang_song_gb2312" w:hAnsi="fang_song_gb2312" w:eastAsia="fang_song_gb2312" w:cs="fang_song_gb2312"/>
          <w:kern w:val="0"/>
          <w:sz w:val="27"/>
          <w:szCs w:val="27"/>
        </w:rPr>
        <w:t xml:space="preserve">    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0.11</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u w:val="single"/>
        </w:rPr>
        <w:t xml:space="preserve"> 0.03</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33.33</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本年机构运行经费年初测算为0.11万元，用于支付电费；上年机构运行经费年初测算0.08万元，用于支付办公费</w:t>
      </w:r>
      <w:r>
        <w:rPr>
          <w:rFonts w:ascii="fang_song_gb2312" w:hAnsi="fang_song_gb2312" w:eastAsia="fang_song_gb2312" w:cs="fang_song_gb2312"/>
          <w:kern w:val="0"/>
          <w:sz w:val="27"/>
          <w:szCs w:val="27"/>
        </w:rPr>
        <w:t>。</w:t>
      </w:r>
    </w:p>
    <w:p w14:paraId="5E4137E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5C9C22A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内蒙古自治区特种设备检验研究院阿拉善分院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365.13</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134.12</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231.01</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277.52</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76.01</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277.52</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76.01</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w:t>
      </w:r>
    </w:p>
    <w:p w14:paraId="7FC17095">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3275FAD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内蒙古自治区特种设备检验研究院阿拉善分院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11</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3</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8</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1</w:t>
      </w:r>
      <w:r>
        <w:rPr>
          <w:rFonts w:ascii="fang_song_gb2312" w:hAnsi="fang_song_gb2312" w:eastAsia="fang_song_gb2312" w:cs="fang_song_gb2312"/>
          <w:kern w:val="0"/>
          <w:sz w:val="27"/>
          <w:szCs w:val="27"/>
        </w:rPr>
        <w:t>台（套）。</w:t>
      </w:r>
    </w:p>
    <w:p w14:paraId="7CC08F62">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4C10C6D9">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14:paraId="5F618CB8">
      <w:pPr>
        <w:widowControl/>
        <w:spacing w:before="240" w:after="240"/>
        <w:rPr>
          <w:rFonts w:ascii="Times New Roman" w:hAnsi="Times New Roman" w:eastAsia="Times New Roman" w:cs="Times New Roman"/>
          <w:kern w:val="0"/>
          <w:sz w:val="24"/>
        </w:rPr>
      </w:pPr>
      <w:r>
        <w:rPr>
          <w:rFonts w:hint="eastAsia" w:ascii="times_new_roman" w:hAnsi="times_new_roman" w:eastAsia="times_new_roman" w:cs="times_new_roman"/>
          <w:kern w:val="0"/>
          <w:sz w:val="27"/>
          <w:szCs w:val="27"/>
        </w:rPr>
        <w:t>    内蒙古自治区特种设备检验研究院阿拉善分院根据预算绩效管理要求组织对2023年</w:t>
      </w:r>
      <w:bookmarkStart w:id="1" w:name="_Hlk175129207"/>
      <w:r>
        <w:rPr>
          <w:rFonts w:hint="eastAsia" w:ascii="times_new_roman" w:hAnsi="times_new_roman" w:eastAsia="times_new_roman" w:cs="times_new_roman"/>
          <w:kern w:val="0"/>
          <w:sz w:val="27"/>
          <w:szCs w:val="27"/>
        </w:rPr>
        <w:t>一般公共预算项目支出</w:t>
      </w:r>
      <w:bookmarkEnd w:id="1"/>
      <w:r>
        <w:rPr>
          <w:rFonts w:hint="eastAsia" w:ascii="times_new_roman" w:hAnsi="times_new_roman" w:eastAsia="times_new_roman" w:cs="times_new_roman"/>
          <w:kern w:val="0"/>
          <w:sz w:val="27"/>
          <w:szCs w:val="27"/>
        </w:rPr>
        <w:t>全面开展绩效自评，其中二级项目1个，共涉及资金</w:t>
      </w:r>
      <w:r>
        <w:rPr>
          <w:rFonts w:hint="eastAsia" w:ascii="times_new_roman" w:hAnsi="times_new_roman" w:cs="times_new_roman"/>
          <w:kern w:val="0"/>
          <w:sz w:val="27"/>
          <w:szCs w:val="27"/>
          <w:lang w:val="en-US" w:eastAsia="zh-CN"/>
        </w:rPr>
        <w:t>288万元，</w:t>
      </w:r>
      <w:r>
        <w:rPr>
          <w:rFonts w:hint="eastAsia" w:ascii="times_new_roman" w:hAnsi="times_new_roman" w:eastAsia="times_new_roman" w:cs="times_new_roman"/>
          <w:kern w:val="0"/>
          <w:sz w:val="27"/>
          <w:szCs w:val="27"/>
        </w:rPr>
        <w:t>与锅炉压力容器与特种设备安全监管支出一致，占一般公共预算项目支出总额的100%；经营支出预算项目1个，其中二级项目1个，共涉及资金</w:t>
      </w:r>
      <w:r>
        <w:rPr>
          <w:rFonts w:hint="eastAsia" w:ascii="times_new_roman" w:hAnsi="times_new_roman" w:cs="times_new_roman"/>
          <w:kern w:val="0"/>
          <w:sz w:val="27"/>
          <w:szCs w:val="27"/>
          <w:lang w:val="en-US" w:eastAsia="zh-CN"/>
        </w:rPr>
        <w:t>820万元，</w:t>
      </w:r>
      <w:r>
        <w:rPr>
          <w:rFonts w:hint="eastAsia" w:ascii="times_new_roman" w:hAnsi="times_new_roman" w:eastAsia="times_new_roman" w:cs="times_new_roman"/>
          <w:kern w:val="0"/>
          <w:sz w:val="27"/>
          <w:szCs w:val="27"/>
        </w:rPr>
        <w:t>与</w:t>
      </w:r>
      <w:r>
        <w:rPr>
          <w:rFonts w:hint="eastAsia" w:ascii="times_new_roman" w:hAnsi="times_new_roman" w:cs="times_new_roman"/>
          <w:kern w:val="0"/>
          <w:sz w:val="27"/>
          <w:szCs w:val="27"/>
          <w:lang w:val="en-US" w:eastAsia="zh-CN"/>
        </w:rPr>
        <w:t>事业单位经营支出</w:t>
      </w:r>
      <w:r>
        <w:rPr>
          <w:rFonts w:hint="eastAsia" w:ascii="times_new_roman" w:hAnsi="times_new_roman" w:eastAsia="times_new_roman" w:cs="times_new_roman"/>
          <w:kern w:val="0"/>
          <w:sz w:val="27"/>
          <w:szCs w:val="27"/>
        </w:rPr>
        <w:t>一致，占经营支出总额的100%。</w:t>
      </w:r>
    </w:p>
    <w:p w14:paraId="0A2115DD">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（二）部门（单位）决算中项目绩效自评结果。</w:t>
      </w:r>
    </w:p>
    <w:p w14:paraId="62A89B2D">
      <w:pPr>
        <w:widowControl/>
        <w:spacing w:before="240" w:after="240"/>
        <w:ind w:firstLine="481"/>
        <w:rPr>
          <w:rFonts w:ascii="fang_song_gb2312" w:hAnsi="fang_song_gb2312" w:eastAsia="fang_song_gb2312" w:cs="fang_song_gb2312"/>
          <w:kern w:val="0"/>
          <w:sz w:val="27"/>
          <w:szCs w:val="27"/>
        </w:rPr>
      </w:pPr>
      <w:r>
        <w:rPr>
          <w:rFonts w:hint="eastAsia" w:ascii="fang_song_gb2312" w:hAnsi="fang_song_gb2312" w:cs="fang_song_gb2312"/>
          <w:kern w:val="0"/>
          <w:sz w:val="27"/>
          <w:szCs w:val="27"/>
          <w:lang w:val="en-US" w:eastAsia="zh-CN"/>
        </w:rPr>
        <w:t>内蒙古自治区特种设备检验研究院阿拉善分院</w:t>
      </w:r>
      <w:r>
        <w:rPr>
          <w:rFonts w:ascii="fang_song_gb2312" w:hAnsi="fang_song_gb2312" w:eastAsia="fang_song_gb2312" w:cs="fang_song_gb2312"/>
          <w:kern w:val="0"/>
          <w:sz w:val="27"/>
          <w:szCs w:val="27"/>
        </w:rPr>
        <w:t>2023年度在决算中反映</w:t>
      </w:r>
      <w:r>
        <w:rPr>
          <w:rFonts w:hint="eastAsia" w:ascii="fang_song_gb2312" w:hAnsi="fang_song_gb2312" w:eastAsia="fang_song_gb2312" w:cs="fang_song_gb2312"/>
          <w:kern w:val="0"/>
          <w:sz w:val="27"/>
          <w:szCs w:val="27"/>
        </w:rPr>
        <w:t>1</w:t>
      </w:r>
      <w:r>
        <w:rPr>
          <w:rFonts w:ascii="fang_song_gb2312" w:hAnsi="fang_song_gb2312" w:eastAsia="fang_song_gb2312" w:cs="fang_song_gb2312"/>
          <w:kern w:val="0"/>
          <w:sz w:val="27"/>
          <w:szCs w:val="27"/>
        </w:rPr>
        <w:t>个一般公共预算项目，以及</w:t>
      </w:r>
      <w:r>
        <w:rPr>
          <w:rFonts w:hint="eastAsia" w:ascii="fang_song_gb2312" w:hAnsi="fang_song_gb2312" w:eastAsia="fang_song_gb2312" w:cs="fang_song_gb2312"/>
          <w:kern w:val="0"/>
          <w:sz w:val="27"/>
          <w:szCs w:val="27"/>
        </w:rPr>
        <w:t>1</w:t>
      </w:r>
      <w:r>
        <w:rPr>
          <w:rFonts w:ascii="fang_song_gb2312" w:hAnsi="fang_song_gb2312" w:eastAsia="fang_song_gb2312" w:cs="fang_song_gb2312"/>
          <w:kern w:val="0"/>
          <w:sz w:val="27"/>
          <w:szCs w:val="27"/>
        </w:rPr>
        <w:t>个</w:t>
      </w:r>
      <w:r>
        <w:rPr>
          <w:rFonts w:hint="eastAsia" w:ascii="fang_song_gb2312" w:hAnsi="fang_song_gb2312" w:eastAsia="fang_song_gb2312" w:cs="fang_song_gb2312"/>
          <w:kern w:val="0"/>
          <w:sz w:val="27"/>
          <w:szCs w:val="27"/>
        </w:rPr>
        <w:t>经营支出</w:t>
      </w:r>
      <w:r>
        <w:rPr>
          <w:rFonts w:ascii="fang_song_gb2312" w:hAnsi="fang_song_gb2312" w:eastAsia="fang_song_gb2312" w:cs="fang_song_gb2312"/>
          <w:kern w:val="0"/>
          <w:sz w:val="27"/>
          <w:szCs w:val="27"/>
        </w:rPr>
        <w:t>项目，共2个项目的绩效自评结果。</w:t>
      </w:r>
    </w:p>
    <w:p w14:paraId="5E7EB47D">
      <w:pPr>
        <w:widowControl/>
        <w:spacing w:before="240" w:after="240"/>
        <w:ind w:firstLine="481"/>
        <w:rPr>
          <w:rFonts w:hint="eastAsia" w:ascii="fang_song_gb2312" w:hAnsi="fang_song_gb2312" w:eastAsia="fang_song_gb2312" w:cs="fang_song_gb2312"/>
          <w:kern w:val="0"/>
          <w:sz w:val="27"/>
          <w:szCs w:val="27"/>
        </w:rPr>
      </w:pPr>
      <w:r>
        <w:rPr>
          <w:rFonts w:ascii="times_new_roman" w:hAnsi="times_new_roman" w:eastAsia="times_new_roman" w:cs="times_new_roman"/>
          <w:kern w:val="0"/>
          <w:sz w:val="27"/>
          <w:szCs w:val="27"/>
        </w:rPr>
        <w:t>1</w:t>
      </w:r>
      <w:r>
        <w:rPr>
          <w:rFonts w:hint="eastAsia" w:ascii="times_new_roman" w:hAnsi="times_new_roman" w:cs="times_new_roman"/>
          <w:kern w:val="0"/>
          <w:sz w:val="27"/>
          <w:szCs w:val="27"/>
          <w:lang w:eastAsia="zh-CN"/>
        </w:rPr>
        <w:t>、</w:t>
      </w:r>
      <w:r>
        <w:rPr>
          <w:rFonts w:hint="eastAsia" w:ascii="times_new_roman" w:hAnsi="times_new_roman" w:eastAsia="times_new_roman" w:cs="times_new_roman"/>
          <w:kern w:val="0"/>
          <w:sz w:val="27"/>
          <w:szCs w:val="27"/>
        </w:rPr>
        <w:t>锅炉压力容器与特种设备安全监管</w:t>
      </w:r>
      <w:r>
        <w:rPr>
          <w:rFonts w:ascii="fang_song_gb2312" w:hAnsi="fang_song_gb2312" w:eastAsia="fang_song_gb2312" w:cs="fang_song_gb2312"/>
          <w:kern w:val="0"/>
          <w:sz w:val="27"/>
          <w:szCs w:val="27"/>
        </w:rPr>
        <w:t>项目自评综述：根据年初设定的绩效目标，项目自</w:t>
      </w:r>
      <w:r>
        <w:rPr>
          <w:rFonts w:hint="eastAsia" w:ascii="fang_song_gb2312" w:hAnsi="fang_song_gb2312" w:eastAsia="fang_song_gb2312" w:cs="fang_song_gb2312"/>
          <w:kern w:val="0"/>
          <w:sz w:val="27"/>
          <w:szCs w:val="27"/>
        </w:rPr>
        <w:t>评得分</w:t>
      </w:r>
      <w:r>
        <w:rPr>
          <w:rFonts w:hint="eastAsia" w:ascii="fang_song_gb2312" w:hAnsi="fang_song_gb2312" w:eastAsia="fang_song_gb2312" w:cs="fang_song_gb2312"/>
          <w:kern w:val="0"/>
          <w:sz w:val="27"/>
          <w:szCs w:val="27"/>
          <w:lang w:val="en-US" w:eastAsia="zh-CN"/>
        </w:rPr>
        <w:t>96.63</w:t>
      </w:r>
      <w:r>
        <w:rPr>
          <w:rFonts w:hint="eastAsia" w:ascii="fang_song_gb2312" w:hAnsi="fang_song_gb2312" w:eastAsia="fang_song_gb2312" w:cs="fang_song_gb2312"/>
          <w:kern w:val="0"/>
          <w:sz w:val="27"/>
          <w:szCs w:val="27"/>
        </w:rPr>
        <w:t>分。全年预算数为</w:t>
      </w:r>
      <w:r>
        <w:rPr>
          <w:rFonts w:hint="eastAsia" w:ascii="fang_song_gb2312" w:hAnsi="fang_song_gb2312" w:eastAsia="fang_song_gb2312" w:cs="fang_song_gb2312"/>
          <w:kern w:val="0"/>
          <w:sz w:val="27"/>
          <w:szCs w:val="27"/>
          <w:lang w:val="en-US" w:eastAsia="zh-CN"/>
        </w:rPr>
        <w:t>288</w:t>
      </w:r>
      <w:r>
        <w:rPr>
          <w:rFonts w:hint="eastAsia" w:ascii="fang_song_gb2312" w:hAnsi="fang_song_gb2312" w:eastAsia="fang_song_gb2312" w:cs="fang_song_gb2312"/>
          <w:kern w:val="0"/>
          <w:sz w:val="27"/>
          <w:szCs w:val="27"/>
        </w:rPr>
        <w:t>万元，执行数为</w:t>
      </w:r>
      <w:r>
        <w:rPr>
          <w:rFonts w:hint="eastAsia" w:ascii="fang_song_gb2312" w:hAnsi="fang_song_gb2312" w:eastAsia="fang_song_gb2312" w:cs="fang_song_gb2312"/>
          <w:kern w:val="0"/>
          <w:sz w:val="27"/>
          <w:szCs w:val="27"/>
          <w:lang w:val="en-US" w:eastAsia="zh-CN"/>
        </w:rPr>
        <w:t>288</w:t>
      </w:r>
      <w:r>
        <w:rPr>
          <w:rFonts w:hint="eastAsia" w:ascii="fang_song_gb2312" w:hAnsi="fang_song_gb2312" w:eastAsia="fang_song_gb2312" w:cs="fang_song_gb2312"/>
          <w:kern w:val="0"/>
          <w:sz w:val="27"/>
          <w:szCs w:val="27"/>
        </w:rPr>
        <w:t>万元，完成预算的</w:t>
      </w:r>
      <w:r>
        <w:rPr>
          <w:rFonts w:hint="eastAsia" w:ascii="fang_song_gb2312" w:hAnsi="fang_song_gb2312" w:eastAsia="fang_song_gb2312" w:cs="fang_song_gb2312"/>
          <w:kern w:val="0"/>
          <w:sz w:val="27"/>
          <w:szCs w:val="27"/>
          <w:lang w:val="en-US" w:eastAsia="zh-CN"/>
        </w:rPr>
        <w:t>100</w:t>
      </w:r>
      <w:r>
        <w:rPr>
          <w:rFonts w:hint="eastAsia" w:ascii="fang_song_gb2312" w:hAnsi="fang_song_gb2312" w:eastAsia="fang_song_gb2312" w:cs="fang_song_gb2312"/>
          <w:kern w:val="0"/>
          <w:sz w:val="27"/>
          <w:szCs w:val="27"/>
        </w:rPr>
        <w:t>%。项目绩效目标完成情况：</w:t>
      </w:r>
      <w:r>
        <w:rPr>
          <w:rFonts w:hint="eastAsia" w:ascii="fang_song_gb2312" w:hAnsi="fang_song_gb2312" w:cs="fang_song_gb2312"/>
          <w:kern w:val="0"/>
          <w:sz w:val="27"/>
          <w:szCs w:val="27"/>
          <w:lang w:eastAsia="zh-CN"/>
        </w:rPr>
        <w:t>（</w:t>
      </w:r>
      <w:r>
        <w:rPr>
          <w:rFonts w:hint="eastAsia" w:ascii="fang_song_gb2312" w:hAnsi="fang_song_gb2312" w:cs="fang_song_gb2312"/>
          <w:kern w:val="0"/>
          <w:sz w:val="27"/>
          <w:szCs w:val="27"/>
          <w:lang w:val="en-US" w:eastAsia="zh-CN"/>
        </w:rPr>
        <w:t>1</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lang w:val="en-US" w:eastAsia="zh-CN"/>
        </w:rPr>
        <w:t>年初预算288万元，实际执行数为288万元。年度绩效目标为：①开展特种设备检验；②承担特种设备安全附件、仪表及安全保护装置的检验工作；③承担安全生产、特种设备及相关领域从业人员的法规宣传、技能培训，协助做好从业人员相关考核工作。实际完成情况：完成全年检验任务以及特种设备及相关领域从业人员培训考核工作。</w:t>
      </w:r>
      <w:r>
        <w:rPr>
          <w:rFonts w:ascii="fang_song_gb2312" w:hAnsi="fang_song_gb2312" w:eastAsia="fang_song_gb2312" w:cs="fang_song_gb2312"/>
          <w:kern w:val="0"/>
          <w:sz w:val="27"/>
          <w:szCs w:val="27"/>
        </w:rPr>
        <w:t>发现的主要问题及原因：</w:t>
      </w:r>
      <w:r>
        <w:rPr>
          <w:rFonts w:hint="eastAsia" w:ascii="fang_song_gb2312" w:hAnsi="fang_song_gb2312" w:eastAsia="fang_song_gb2312" w:cs="fang_song_gb2312"/>
          <w:kern w:val="0"/>
          <w:sz w:val="27"/>
          <w:szCs w:val="27"/>
        </w:rPr>
        <w:t>预算编制与政府工作安排时间不同步，即预算申报时间在前，重点工作任务安排在后，导致预算资金与工作安排匹配程度较低；内蒙古自治区特种设备检验研究院阿拉善分院监管范围广、涉及领域多，上年预算数据对下年指导作用有限。下一步改进措施：在</w:t>
      </w:r>
      <w:r>
        <w:rPr>
          <w:rFonts w:hint="eastAsia" w:ascii="fang_song_gb2312" w:hAnsi="fang_song_gb2312" w:eastAsia="fang_song_gb2312" w:cs="fang_song_gb2312"/>
          <w:kern w:val="0"/>
          <w:sz w:val="27"/>
          <w:szCs w:val="27"/>
          <w:lang w:val="en-US" w:eastAsia="zh-CN"/>
        </w:rPr>
        <w:t>绩效目标评价工作方面，锅炉压力容器与特种设备安全监管不断完善体系指标设置、改进考核评估方法，使评价工作更加合理、更加有效；用事后监督促进事前管理，进一步确保资金落到实处、起到实效</w:t>
      </w:r>
      <w:r>
        <w:rPr>
          <w:rFonts w:hint="eastAsia" w:ascii="fang_song_gb2312" w:hAnsi="fang_song_gb2312" w:eastAsia="fang_song_gb2312" w:cs="fang_song_gb2312"/>
          <w:kern w:val="0"/>
          <w:sz w:val="27"/>
          <w:szCs w:val="27"/>
        </w:rPr>
        <w:t>。</w:t>
      </w:r>
    </w:p>
    <w:p w14:paraId="43174368">
      <w:pPr>
        <w:spacing w:before="189" w:line="204" w:lineRule="auto"/>
        <w:ind w:firstLine="640"/>
        <w:rPr>
          <w:rFonts w:hint="eastAsia" w:ascii="fang_song_gb2312" w:hAnsi="fang_song_gb2312" w:eastAsia="fang_song_gb2312" w:cs="fang_song_gb2312"/>
          <w:kern w:val="0"/>
          <w:sz w:val="27"/>
          <w:szCs w:val="27"/>
          <w:lang w:val="en-US" w:eastAsia="zh-CN"/>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hint="eastAsia" w:ascii="times_new_roman" w:hAnsi="times_new_roman" w:cs="times_new_roman"/>
          <w:kern w:val="0"/>
          <w:sz w:val="27"/>
          <w:szCs w:val="27"/>
          <w:lang w:val="en-US" w:eastAsia="zh-CN"/>
        </w:rPr>
        <w:t>事业单位经营支出</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97.95</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820</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799.57</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97.51</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kern w:val="0"/>
          <w:sz w:val="27"/>
          <w:szCs w:val="27"/>
          <w:lang w:val="en-US" w:eastAsia="zh-CN"/>
        </w:rPr>
        <w:t>年度总体目标为</w:t>
      </w:r>
      <w:r>
        <w:rPr>
          <w:rFonts w:hint="eastAsia" w:ascii="fang_song_gb2312" w:hAnsi="fang_song_gb2312" w:eastAsia="fang_song_gb2312" w:cs="fang_song_gb2312"/>
          <w:kern w:val="0"/>
          <w:sz w:val="27"/>
          <w:szCs w:val="27"/>
        </w:rPr>
        <w:t>完全年锅炉压力容器、压力管道、气瓶、安全阀、电梯等委托检验任务。顺利开展特种设备安全管理人员培训，保障单位日常运转经费及人员工资。</w:t>
      </w:r>
      <w:r>
        <w:rPr>
          <w:rFonts w:hint="eastAsia" w:ascii="fang_song_gb2312" w:hAnsi="fang_song_gb2312" w:cs="fang_song_gb2312"/>
          <w:kern w:val="0"/>
          <w:sz w:val="27"/>
          <w:szCs w:val="27"/>
          <w:lang w:val="en-US" w:eastAsia="zh-CN"/>
        </w:rPr>
        <w:t>实际完成情况：</w:t>
      </w:r>
      <w:r>
        <w:rPr>
          <w:rFonts w:hint="eastAsia" w:ascii="times_new_roman" w:hAnsi="times_new_roman" w:eastAsia="times_new_roman" w:cs="times_new_roman"/>
          <w:kern w:val="0"/>
          <w:sz w:val="27"/>
          <w:szCs w:val="27"/>
          <w:lang w:val="en-US" w:eastAsia="zh-CN"/>
        </w:rPr>
        <w:t>顺利开展并</w:t>
      </w:r>
      <w:r>
        <w:rPr>
          <w:rFonts w:hint="eastAsia" w:ascii="times_new_roman" w:hAnsi="times_new_roman" w:eastAsia="times_new_roman" w:cs="times_new_roman"/>
          <w:kern w:val="0"/>
          <w:sz w:val="27"/>
          <w:szCs w:val="27"/>
        </w:rPr>
        <w:t>完成</w:t>
      </w:r>
      <w:r>
        <w:rPr>
          <w:rFonts w:hint="eastAsia" w:ascii="times_new_roman" w:hAnsi="times_new_roman" w:eastAsia="times_new_roman" w:cs="times_new_roman"/>
          <w:kern w:val="0"/>
          <w:sz w:val="27"/>
          <w:szCs w:val="27"/>
          <w:lang w:val="en-US" w:eastAsia="zh-CN"/>
        </w:rPr>
        <w:t>了</w:t>
      </w:r>
      <w:r>
        <w:rPr>
          <w:rFonts w:hint="eastAsia" w:ascii="times_new_roman" w:hAnsi="times_new_roman" w:eastAsia="times_new_roman" w:cs="times_new_roman"/>
          <w:kern w:val="0"/>
          <w:sz w:val="27"/>
          <w:szCs w:val="27"/>
        </w:rPr>
        <w:t>全年检验任</w:t>
      </w:r>
      <w:r>
        <w:rPr>
          <w:rFonts w:hint="eastAsia" w:ascii="fang_song_gb2312" w:hAnsi="fang_song_gb2312" w:eastAsia="fang_song_gb2312" w:cs="fang_song_gb2312"/>
          <w:kern w:val="0"/>
          <w:sz w:val="27"/>
          <w:szCs w:val="27"/>
          <w:lang w:val="en-US" w:eastAsia="zh-CN"/>
        </w:rPr>
        <w:t>务以及特种设备及相关领域从业人员培训考核工作。发现的主要问题及原因：预算编制与政府工作安排时间不同步，即预算申报时间在前，重点工作任务安排在后，导致预算资金与工作安排匹配程度较低。下一步改进措施：在绩效目标评价工作方面，锅炉压力容器与特种设备安全监管不断完善体系指标设置、改进考核评估方法，使评价工作更加合理、更加有效；用事后监督促进事前管理，进一步确保资金落到实处、起到实效。进一步重视绩效管理工作，推进行单位绩效管理的规范化、制度化。理顺各部门关系，规范各项管理措施，结合我单位实际状况，与兄弟单位及相关职能部门借鉴优秀经验，努力创造条件，做好我单位绩效管理工作。</w:t>
      </w:r>
    </w:p>
    <w:p w14:paraId="3012555E">
      <w:pPr>
        <w:spacing w:before="189" w:line="204" w:lineRule="auto"/>
        <w:ind w:firstLine="640"/>
        <w:rPr>
          <w:rFonts w:hint="eastAsia" w:ascii="fang_song_gb2312" w:hAnsi="fang_song_gb2312" w:eastAsia="fang_song_gb2312" w:cs="fang_song_gb2312"/>
          <w:kern w:val="0"/>
          <w:sz w:val="27"/>
          <w:szCs w:val="27"/>
          <w:lang w:val="en-US" w:eastAsia="zh-CN"/>
        </w:rPr>
      </w:pPr>
    </w:p>
    <w:tbl>
      <w:tblPr>
        <w:tblStyle w:val="18"/>
        <w:tblW w:w="8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656"/>
        <w:gridCol w:w="677"/>
        <w:gridCol w:w="756"/>
        <w:gridCol w:w="656"/>
        <w:gridCol w:w="656"/>
        <w:gridCol w:w="677"/>
        <w:gridCol w:w="756"/>
        <w:gridCol w:w="756"/>
        <w:gridCol w:w="667"/>
        <w:gridCol w:w="687"/>
        <w:gridCol w:w="680"/>
      </w:tblGrid>
      <w:tr w14:paraId="4363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2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A833AF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5FC5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578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9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E7D3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锅炉压力容器与特种设备安全监管</w:t>
            </w:r>
          </w:p>
        </w:tc>
      </w:tr>
      <w:tr w14:paraId="355E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AB3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1F35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内蒙古自治区市场监督管理局部门</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27A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D0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内蒙古自治区特种设备检验研究院阿拉善分院</w:t>
            </w:r>
          </w:p>
        </w:tc>
      </w:tr>
      <w:tr w14:paraId="317D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27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B680">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B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63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61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B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CA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6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F2E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CEDA2">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7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D9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41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E1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C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4F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2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19B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A616">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F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1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BA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AF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1B15">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CF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43A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587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7FB21">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0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6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16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01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4FA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8F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438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3A5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AF7D1">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4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8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CB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2E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669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68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148F">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4CF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4E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E9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03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561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5CCC6">
            <w:pPr>
              <w:jc w:val="center"/>
              <w:rPr>
                <w:rFonts w:hint="eastAsia" w:ascii="宋体" w:hAnsi="宋体" w:eastAsia="宋体" w:cs="宋体"/>
                <w:i w:val="0"/>
                <w:iCs w:val="0"/>
                <w:color w:val="000000"/>
                <w:sz w:val="18"/>
                <w:szCs w:val="18"/>
                <w:u w:val="none"/>
              </w:rPr>
            </w:pPr>
          </w:p>
        </w:tc>
        <w:tc>
          <w:tcPr>
            <w:tcW w:w="3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67E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1.开展特种设备检验；2.承担特种设备安全附件、仪表及安全保护装置的检验工作；3承担安全生产、特种设备及相关领域从业人员的法规宣传、技能培训，协助做好从业人员相关考核工作；</w:t>
            </w:r>
          </w:p>
        </w:tc>
        <w:tc>
          <w:tcPr>
            <w:tcW w:w="3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E9B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完成全年检验任务以及特种设备及相关领域从业人员培训考核工作。</w:t>
            </w:r>
          </w:p>
        </w:tc>
      </w:tr>
      <w:tr w14:paraId="27C3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3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1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5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7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3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6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B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E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1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D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0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8D3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75BAF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0CF31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379BE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2BF5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特种设备检验数量</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A681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D555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ED2E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B319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4326</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2089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A695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5D48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AE7E531">
            <w:pPr>
              <w:jc w:val="center"/>
              <w:rPr>
                <w:rFonts w:hint="eastAsia" w:ascii="宋体" w:hAnsi="宋体" w:eastAsia="宋体" w:cs="宋体"/>
                <w:i w:val="0"/>
                <w:iCs w:val="0"/>
                <w:color w:val="000000"/>
                <w:sz w:val="18"/>
                <w:szCs w:val="18"/>
                <w:u w:val="none"/>
              </w:rPr>
            </w:pPr>
          </w:p>
        </w:tc>
      </w:tr>
      <w:tr w14:paraId="7265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18F79D4A">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7AD78F5E">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14821DF3">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EE4C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压力管道检验数量</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0A72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1A45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0D98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2453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360310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0221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C0D5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6267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2BCFDCA">
            <w:pPr>
              <w:jc w:val="center"/>
              <w:rPr>
                <w:rFonts w:hint="eastAsia" w:ascii="宋体" w:hAnsi="宋体" w:eastAsia="宋体" w:cs="宋体"/>
                <w:i w:val="0"/>
                <w:iCs w:val="0"/>
                <w:color w:val="000000"/>
                <w:sz w:val="18"/>
                <w:szCs w:val="18"/>
                <w:u w:val="none"/>
              </w:rPr>
            </w:pPr>
          </w:p>
        </w:tc>
      </w:tr>
      <w:tr w14:paraId="093F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7CF61525">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97F0546">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C691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8602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4D54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0E92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DA6C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AB7F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94.18</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56FE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E5CB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E506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D73B5E1">
            <w:pPr>
              <w:jc w:val="center"/>
              <w:rPr>
                <w:rFonts w:hint="eastAsia" w:ascii="宋体" w:hAnsi="宋体" w:eastAsia="宋体" w:cs="宋体"/>
                <w:i w:val="0"/>
                <w:iCs w:val="0"/>
                <w:color w:val="000000"/>
                <w:sz w:val="18"/>
                <w:szCs w:val="18"/>
                <w:u w:val="none"/>
              </w:rPr>
            </w:pPr>
          </w:p>
        </w:tc>
      </w:tr>
      <w:tr w14:paraId="1D3C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9A5F259">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B551916">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703A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C9F7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特种设备检验及时率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12BE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3EBC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5471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C296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3208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B47A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E06F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F503D9C">
            <w:pPr>
              <w:jc w:val="center"/>
              <w:rPr>
                <w:rFonts w:hint="eastAsia" w:ascii="宋体" w:hAnsi="宋体" w:eastAsia="宋体" w:cs="宋体"/>
                <w:i w:val="0"/>
                <w:iCs w:val="0"/>
                <w:color w:val="000000"/>
                <w:sz w:val="18"/>
                <w:szCs w:val="18"/>
                <w:u w:val="none"/>
              </w:rPr>
            </w:pPr>
          </w:p>
        </w:tc>
      </w:tr>
      <w:tr w14:paraId="3B08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82802D0">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1AC4BEEA">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B659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DA71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特种设备检验成本率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5A52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F511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F8D3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2586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8D20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766D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B810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F2CCA82">
            <w:pPr>
              <w:jc w:val="center"/>
              <w:rPr>
                <w:rFonts w:hint="eastAsia" w:ascii="宋体" w:hAnsi="宋体" w:eastAsia="宋体" w:cs="宋体"/>
                <w:i w:val="0"/>
                <w:iCs w:val="0"/>
                <w:color w:val="000000"/>
                <w:sz w:val="18"/>
                <w:szCs w:val="18"/>
                <w:u w:val="none"/>
              </w:rPr>
            </w:pPr>
          </w:p>
        </w:tc>
      </w:tr>
      <w:tr w14:paraId="29CA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1B467E28">
            <w:pPr>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27DC4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DA81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A1AF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检验效率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8A89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3831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04C6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9B83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B3B2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3B12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1490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E14C1D5">
            <w:pPr>
              <w:jc w:val="center"/>
              <w:rPr>
                <w:rFonts w:hint="eastAsia" w:ascii="宋体" w:hAnsi="宋体" w:eastAsia="宋体" w:cs="宋体"/>
                <w:i w:val="0"/>
                <w:iCs w:val="0"/>
                <w:color w:val="000000"/>
                <w:sz w:val="18"/>
                <w:szCs w:val="18"/>
                <w:u w:val="none"/>
              </w:rPr>
            </w:pPr>
          </w:p>
        </w:tc>
      </w:tr>
      <w:tr w14:paraId="61B8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657B104D">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78CD8937">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C4BC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7CF7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检验失误率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FC2A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A1A8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16DF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98A0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9AE6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D8B2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2924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4127193">
            <w:pPr>
              <w:jc w:val="center"/>
              <w:rPr>
                <w:rFonts w:hint="eastAsia" w:ascii="宋体" w:hAnsi="宋体" w:eastAsia="宋体" w:cs="宋体"/>
                <w:i w:val="0"/>
                <w:iCs w:val="0"/>
                <w:color w:val="000000"/>
                <w:sz w:val="18"/>
                <w:szCs w:val="18"/>
                <w:u w:val="none"/>
              </w:rPr>
            </w:pPr>
          </w:p>
        </w:tc>
      </w:tr>
      <w:tr w14:paraId="2C8E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FCCDBAD">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064C4169">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8ABA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FD6A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特种设备节能减排率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A354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7206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D5E3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FC10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8818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7602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F56B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0FEA79B">
            <w:pPr>
              <w:jc w:val="center"/>
              <w:rPr>
                <w:rFonts w:hint="eastAsia" w:ascii="宋体" w:hAnsi="宋体" w:eastAsia="宋体" w:cs="宋体"/>
                <w:i w:val="0"/>
                <w:iCs w:val="0"/>
                <w:color w:val="000000"/>
                <w:sz w:val="18"/>
                <w:szCs w:val="18"/>
                <w:u w:val="none"/>
              </w:rPr>
            </w:pPr>
          </w:p>
        </w:tc>
      </w:tr>
      <w:tr w14:paraId="24F2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75211ACA">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FB8D885">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EF07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32CD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行业未来持续发展率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0BFD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31B0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8DCB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EC0D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16A3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0FC2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0172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C7E00D2">
            <w:pPr>
              <w:jc w:val="center"/>
              <w:rPr>
                <w:rFonts w:hint="eastAsia" w:ascii="宋体" w:hAnsi="宋体" w:eastAsia="宋体" w:cs="宋体"/>
                <w:i w:val="0"/>
                <w:iCs w:val="0"/>
                <w:color w:val="000000"/>
                <w:sz w:val="18"/>
                <w:szCs w:val="18"/>
                <w:u w:val="none"/>
              </w:rPr>
            </w:pPr>
          </w:p>
        </w:tc>
      </w:tr>
      <w:tr w14:paraId="58CA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6AAA4BB9">
            <w:pPr>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295C2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3F0E5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0C3D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2729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C6AB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0E98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CA38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6B28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55E1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F617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2FA46D7">
            <w:pPr>
              <w:jc w:val="center"/>
              <w:rPr>
                <w:rFonts w:hint="eastAsia" w:ascii="宋体" w:hAnsi="宋体" w:eastAsia="宋体" w:cs="宋体"/>
                <w:i w:val="0"/>
                <w:iCs w:val="0"/>
                <w:color w:val="000000"/>
                <w:sz w:val="18"/>
                <w:szCs w:val="18"/>
                <w:u w:val="none"/>
              </w:rPr>
            </w:pPr>
          </w:p>
        </w:tc>
      </w:tr>
      <w:tr w14:paraId="7A08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830F9ED">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A73CA25">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05712CB4">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FB5C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特种设备检验投诉率指标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69F6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0600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A560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407D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9E30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D291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C61A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C6334EA">
            <w:pPr>
              <w:jc w:val="center"/>
              <w:rPr>
                <w:rFonts w:hint="eastAsia" w:ascii="宋体" w:hAnsi="宋体" w:eastAsia="宋体" w:cs="宋体"/>
                <w:i w:val="0"/>
                <w:iCs w:val="0"/>
                <w:color w:val="000000"/>
                <w:sz w:val="18"/>
                <w:szCs w:val="18"/>
                <w:u w:val="none"/>
              </w:rPr>
            </w:pPr>
          </w:p>
        </w:tc>
      </w:tr>
      <w:tr w14:paraId="6AA4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AAC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6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7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0F39">
            <w:pPr>
              <w:jc w:val="center"/>
              <w:rPr>
                <w:rFonts w:hint="eastAsia" w:ascii="宋体" w:hAnsi="宋体" w:eastAsia="宋体" w:cs="宋体"/>
                <w:i w:val="0"/>
                <w:iCs w:val="0"/>
                <w:color w:val="000000"/>
                <w:sz w:val="18"/>
                <w:szCs w:val="18"/>
                <w:u w:val="none"/>
              </w:rPr>
            </w:pPr>
          </w:p>
        </w:tc>
      </w:tr>
    </w:tbl>
    <w:p w14:paraId="5B4C97C0">
      <w:pPr>
        <w:spacing w:before="189" w:line="204" w:lineRule="auto"/>
        <w:ind w:firstLine="640"/>
        <w:rPr>
          <w:rFonts w:hint="default" w:ascii="fang_song_gb2312" w:hAnsi="fang_song_gb2312" w:eastAsia="fang_song_gb2312" w:cs="fang_song_gb2312"/>
          <w:kern w:val="0"/>
          <w:sz w:val="27"/>
          <w:szCs w:val="27"/>
          <w:lang w:val="en-US" w:eastAsia="zh-CN"/>
        </w:rPr>
      </w:pPr>
    </w:p>
    <w:tbl>
      <w:tblPr>
        <w:tblStyle w:val="18"/>
        <w:tblW w:w="8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677"/>
        <w:gridCol w:w="685"/>
        <w:gridCol w:w="756"/>
        <w:gridCol w:w="677"/>
        <w:gridCol w:w="677"/>
        <w:gridCol w:w="685"/>
        <w:gridCol w:w="689"/>
        <w:gridCol w:w="686"/>
        <w:gridCol w:w="681"/>
        <w:gridCol w:w="689"/>
        <w:gridCol w:w="596"/>
      </w:tblGrid>
      <w:tr w14:paraId="61A6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39ED3A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38BB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60C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7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C0B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r>
      <w:tr w14:paraId="698D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576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DC9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内蒙古自治区市场监督管理局部门</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6C4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B939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内蒙古自治区特种设备检验研究院阿拉善分院</w:t>
            </w:r>
          </w:p>
        </w:tc>
      </w:tr>
      <w:tr w14:paraId="7CC6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6B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7EA9">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3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E0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26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0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A9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9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77A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9150C">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B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49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69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DF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799.57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7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5E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B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r>
      <w:tr w14:paraId="1171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8EB20">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3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6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83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62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A552">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CE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D85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C61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67A3">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1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81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06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A4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C79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19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A0A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431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93FBB">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3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0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59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6E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F24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D0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891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297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10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5A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04E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95E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93CB4">
            <w:pPr>
              <w:jc w:val="center"/>
              <w:rPr>
                <w:rFonts w:hint="eastAsia" w:ascii="宋体" w:hAnsi="宋体" w:eastAsia="宋体" w:cs="宋体"/>
                <w:i w:val="0"/>
                <w:iCs w:val="0"/>
                <w:color w:val="000000"/>
                <w:sz w:val="18"/>
                <w:szCs w:val="18"/>
                <w:u w:val="none"/>
              </w:rPr>
            </w:pPr>
          </w:p>
        </w:tc>
        <w:tc>
          <w:tcPr>
            <w:tcW w:w="3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D8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11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完全年锅炉压力容器、压力管道、气瓶、安全阀、电梯等委托检验任务。顺利开展特种设备安全管理人员培训，保障单位日常运转经费及人员工资。</w:t>
            </w:r>
          </w:p>
        </w:tc>
      </w:tr>
      <w:tr w14:paraId="3204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2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D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2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7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9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B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4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E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3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3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1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3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1C3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1A51F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4A42C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1F6CE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F57A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参与培训学员人数</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5771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48ED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3550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3743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5DF4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B2BA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99D3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1CAC0758">
            <w:pPr>
              <w:jc w:val="center"/>
              <w:rPr>
                <w:rFonts w:hint="eastAsia" w:ascii="宋体" w:hAnsi="宋体" w:eastAsia="宋体" w:cs="宋体"/>
                <w:i w:val="0"/>
                <w:iCs w:val="0"/>
                <w:color w:val="000000"/>
                <w:sz w:val="18"/>
                <w:szCs w:val="18"/>
                <w:u w:val="none"/>
              </w:rPr>
            </w:pPr>
          </w:p>
        </w:tc>
      </w:tr>
      <w:tr w14:paraId="6792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1A88FC6F">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3567CF2">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2423A06">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B557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开设培训班期数</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3D7C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665C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E3F7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4ADB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44A9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DA50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F6F6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4C4CD342">
            <w:pPr>
              <w:jc w:val="center"/>
              <w:rPr>
                <w:rFonts w:hint="eastAsia" w:ascii="宋体" w:hAnsi="宋体" w:eastAsia="宋体" w:cs="宋体"/>
                <w:i w:val="0"/>
                <w:iCs w:val="0"/>
                <w:color w:val="000000"/>
                <w:sz w:val="18"/>
                <w:szCs w:val="18"/>
                <w:u w:val="none"/>
              </w:rPr>
            </w:pPr>
          </w:p>
        </w:tc>
      </w:tr>
      <w:tr w14:paraId="3E66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18765D83">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00093BD">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6BBBBEE">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9A1C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委托检验完成数量</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134F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5DD0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6E92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84CB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8408</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E764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22E9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2231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56A4C7B3">
            <w:pPr>
              <w:jc w:val="center"/>
              <w:rPr>
                <w:rFonts w:hint="eastAsia" w:ascii="宋体" w:hAnsi="宋体" w:eastAsia="宋体" w:cs="宋体"/>
                <w:i w:val="0"/>
                <w:iCs w:val="0"/>
                <w:color w:val="000000"/>
                <w:sz w:val="18"/>
                <w:szCs w:val="18"/>
                <w:u w:val="none"/>
              </w:rPr>
            </w:pPr>
          </w:p>
        </w:tc>
      </w:tr>
      <w:tr w14:paraId="24E3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0B9754E">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61577A8">
            <w:pPr>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602AB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FBD9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培训班次完成率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56F3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F11A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C197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ABA0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8B9B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2781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1890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56AE2D6A">
            <w:pPr>
              <w:jc w:val="center"/>
              <w:rPr>
                <w:rFonts w:hint="eastAsia" w:ascii="宋体" w:hAnsi="宋体" w:eastAsia="宋体" w:cs="宋体"/>
                <w:i w:val="0"/>
                <w:iCs w:val="0"/>
                <w:color w:val="000000"/>
                <w:sz w:val="18"/>
                <w:szCs w:val="18"/>
                <w:u w:val="none"/>
              </w:rPr>
            </w:pPr>
          </w:p>
        </w:tc>
      </w:tr>
      <w:tr w14:paraId="194B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2AD6D09">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3BDDD34">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5BB0DE1">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9C22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培训班学员签到率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33E6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7491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D724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5027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7FB8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FDAD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EAD4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0FE305C9">
            <w:pPr>
              <w:jc w:val="center"/>
              <w:rPr>
                <w:rFonts w:hint="eastAsia" w:ascii="宋体" w:hAnsi="宋体" w:eastAsia="宋体" w:cs="宋体"/>
                <w:i w:val="0"/>
                <w:iCs w:val="0"/>
                <w:color w:val="000000"/>
                <w:sz w:val="18"/>
                <w:szCs w:val="18"/>
                <w:u w:val="none"/>
              </w:rPr>
            </w:pPr>
          </w:p>
        </w:tc>
      </w:tr>
      <w:tr w14:paraId="39E8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70E10B54">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5E6C8FFE">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CCF073E">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3E38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培训考核通过率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BF48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DCB5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DF7E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67E9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75.72</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984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3103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9C20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552391B6">
            <w:pPr>
              <w:jc w:val="center"/>
              <w:rPr>
                <w:rFonts w:hint="eastAsia" w:ascii="宋体" w:hAnsi="宋体" w:eastAsia="宋体" w:cs="宋体"/>
                <w:i w:val="0"/>
                <w:iCs w:val="0"/>
                <w:color w:val="000000"/>
                <w:sz w:val="18"/>
                <w:szCs w:val="18"/>
                <w:u w:val="none"/>
              </w:rPr>
            </w:pPr>
          </w:p>
        </w:tc>
      </w:tr>
      <w:tr w14:paraId="1E33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547941F0">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1A2E81C">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541D0C99">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0D29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61C9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F7EE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B358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355D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60BF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64C7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2902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73C3BE4A">
            <w:pPr>
              <w:jc w:val="center"/>
              <w:rPr>
                <w:rFonts w:hint="eastAsia" w:ascii="宋体" w:hAnsi="宋体" w:eastAsia="宋体" w:cs="宋体"/>
                <w:i w:val="0"/>
                <w:iCs w:val="0"/>
                <w:color w:val="000000"/>
                <w:sz w:val="18"/>
                <w:szCs w:val="18"/>
                <w:u w:val="none"/>
              </w:rPr>
            </w:pPr>
          </w:p>
        </w:tc>
      </w:tr>
      <w:tr w14:paraId="4C88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6130BB80">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FC4AA65">
            <w:pPr>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2207F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4798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培训计划按期完成率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C68F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F156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86F8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0B91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397F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0797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2691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72A2CBEB">
            <w:pPr>
              <w:jc w:val="center"/>
              <w:rPr>
                <w:rFonts w:hint="eastAsia" w:ascii="宋体" w:hAnsi="宋体" w:eastAsia="宋体" w:cs="宋体"/>
                <w:i w:val="0"/>
                <w:iCs w:val="0"/>
                <w:color w:val="000000"/>
                <w:sz w:val="18"/>
                <w:szCs w:val="18"/>
                <w:u w:val="none"/>
              </w:rPr>
            </w:pPr>
          </w:p>
        </w:tc>
      </w:tr>
      <w:tr w14:paraId="1A9A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D804BC9">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B26AC61">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D242020">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209F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检验检测及时率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FC49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C64D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24CE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AA64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F32E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24A7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1448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5D4E4283">
            <w:pPr>
              <w:jc w:val="center"/>
              <w:rPr>
                <w:rFonts w:hint="eastAsia" w:ascii="宋体" w:hAnsi="宋体" w:eastAsia="宋体" w:cs="宋体"/>
                <w:i w:val="0"/>
                <w:iCs w:val="0"/>
                <w:color w:val="000000"/>
                <w:sz w:val="18"/>
                <w:szCs w:val="18"/>
                <w:u w:val="none"/>
              </w:rPr>
            </w:pPr>
          </w:p>
        </w:tc>
      </w:tr>
      <w:tr w14:paraId="57F9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58B43D39">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5FFD770E">
            <w:pPr>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2B9AE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589B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培训相关费用</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C016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F432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B48F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DCA8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DA10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06E6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8A37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161F6426">
            <w:pPr>
              <w:jc w:val="center"/>
              <w:rPr>
                <w:rFonts w:hint="eastAsia" w:ascii="宋体" w:hAnsi="宋体" w:eastAsia="宋体" w:cs="宋体"/>
                <w:i w:val="0"/>
                <w:iCs w:val="0"/>
                <w:color w:val="000000"/>
                <w:sz w:val="18"/>
                <w:szCs w:val="18"/>
                <w:u w:val="none"/>
              </w:rPr>
            </w:pPr>
          </w:p>
        </w:tc>
      </w:tr>
      <w:tr w14:paraId="01EC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B87A0C4">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6920A9B5">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66587BB5">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62AB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委托检验成本</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764B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B2B6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4CD6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2202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CF2C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5B4E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52FC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0168FDBC">
            <w:pPr>
              <w:jc w:val="center"/>
              <w:rPr>
                <w:rFonts w:hint="eastAsia" w:ascii="宋体" w:hAnsi="宋体" w:eastAsia="宋体" w:cs="宋体"/>
                <w:i w:val="0"/>
                <w:iCs w:val="0"/>
                <w:color w:val="000000"/>
                <w:sz w:val="18"/>
                <w:szCs w:val="18"/>
                <w:u w:val="none"/>
              </w:rPr>
            </w:pPr>
          </w:p>
        </w:tc>
      </w:tr>
      <w:tr w14:paraId="2879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1939AA9A">
            <w:pPr>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19B79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2FA9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2CED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检验失误率</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92E7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EB19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C696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6F0E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CC6D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6E80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2B22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182B06DD">
            <w:pPr>
              <w:jc w:val="center"/>
              <w:rPr>
                <w:rFonts w:hint="eastAsia" w:ascii="宋体" w:hAnsi="宋体" w:eastAsia="宋体" w:cs="宋体"/>
                <w:i w:val="0"/>
                <w:iCs w:val="0"/>
                <w:color w:val="000000"/>
                <w:sz w:val="18"/>
                <w:szCs w:val="18"/>
                <w:u w:val="none"/>
              </w:rPr>
            </w:pPr>
          </w:p>
        </w:tc>
      </w:tr>
      <w:tr w14:paraId="08A3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A470B4C">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6FEC5AED">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2FA2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499B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检验可持续性</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100B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7B67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D785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03944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295F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D504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E1CA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5286048B">
            <w:pPr>
              <w:jc w:val="center"/>
              <w:rPr>
                <w:rFonts w:hint="eastAsia" w:ascii="宋体" w:hAnsi="宋体" w:eastAsia="宋体" w:cs="宋体"/>
                <w:i w:val="0"/>
                <w:iCs w:val="0"/>
                <w:color w:val="000000"/>
                <w:sz w:val="18"/>
                <w:szCs w:val="18"/>
                <w:u w:val="none"/>
              </w:rPr>
            </w:pPr>
          </w:p>
        </w:tc>
      </w:tr>
      <w:tr w14:paraId="7DFB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5512443">
            <w:pPr>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210EC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282A0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6771A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培训学员满意度</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4239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1DA3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339B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1D34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FAD4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23DF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77CF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102EAAEF">
            <w:pPr>
              <w:jc w:val="center"/>
              <w:rPr>
                <w:rFonts w:hint="eastAsia" w:ascii="宋体" w:hAnsi="宋体" w:eastAsia="宋体" w:cs="宋体"/>
                <w:i w:val="0"/>
                <w:iCs w:val="0"/>
                <w:color w:val="000000"/>
                <w:sz w:val="18"/>
                <w:szCs w:val="18"/>
                <w:u w:val="none"/>
              </w:rPr>
            </w:pPr>
          </w:p>
        </w:tc>
      </w:tr>
      <w:tr w14:paraId="6737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D29A997">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5C49C3B">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1C663F80">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9BD4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被检单位满意度</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CA20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843E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1DAD0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4101C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F79F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D4BB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7E794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4F9FD54E">
            <w:pPr>
              <w:jc w:val="center"/>
              <w:rPr>
                <w:rFonts w:hint="eastAsia" w:ascii="宋体" w:hAnsi="宋体" w:eastAsia="宋体" w:cs="宋体"/>
                <w:i w:val="0"/>
                <w:iCs w:val="0"/>
                <w:color w:val="000000"/>
                <w:sz w:val="18"/>
                <w:szCs w:val="18"/>
                <w:u w:val="none"/>
              </w:rPr>
            </w:pPr>
          </w:p>
        </w:tc>
      </w:tr>
      <w:tr w14:paraId="0984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BDB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4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6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5953">
            <w:pPr>
              <w:jc w:val="center"/>
              <w:rPr>
                <w:rFonts w:hint="eastAsia" w:ascii="宋体" w:hAnsi="宋体" w:eastAsia="宋体" w:cs="宋体"/>
                <w:i w:val="0"/>
                <w:iCs w:val="0"/>
                <w:color w:val="000000"/>
                <w:sz w:val="18"/>
                <w:szCs w:val="18"/>
                <w:u w:val="none"/>
              </w:rPr>
            </w:pPr>
          </w:p>
        </w:tc>
      </w:tr>
    </w:tbl>
    <w:p w14:paraId="510B9C96">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（三）部门（单位）项目绩效评价结果。</w:t>
      </w:r>
    </w:p>
    <w:p w14:paraId="49D06DEE">
      <w:pPr>
        <w:spacing w:before="189" w:line="204" w:lineRule="auto"/>
        <w:ind w:firstLine="640"/>
        <w:rPr>
          <w:rFonts w:hint="eastAsia" w:ascii="fang_song_gb2312" w:hAnsi="fang_song_gb2312" w:cs="fang_song_gb2312"/>
          <w:kern w:val="0"/>
          <w:sz w:val="27"/>
          <w:szCs w:val="27"/>
          <w:lang w:val="en-US" w:eastAsia="zh-CN"/>
        </w:rPr>
      </w:pPr>
      <w:r>
        <w:rPr>
          <w:rFonts w:hint="eastAsia" w:ascii="fang_song_gb2312" w:hAnsi="fang_song_gb2312" w:cs="fang_song_gb2312"/>
          <w:kern w:val="0"/>
          <w:sz w:val="27"/>
          <w:szCs w:val="27"/>
          <w:lang w:val="en-US" w:eastAsia="zh-CN"/>
        </w:rPr>
        <w:t>我院作为内蒙古自治区特种设备检验研究院分支机构，由总院进行部门评价，评价内容及结果等情况详见内蒙古自治区特种设</w:t>
      </w:r>
      <w:bookmarkStart w:id="2" w:name="_GoBack"/>
      <w:bookmarkEnd w:id="2"/>
      <w:r>
        <w:rPr>
          <w:rFonts w:hint="eastAsia" w:ascii="fang_song_gb2312" w:hAnsi="fang_song_gb2312" w:cs="fang_song_gb2312"/>
          <w:kern w:val="0"/>
          <w:sz w:val="27"/>
          <w:szCs w:val="27"/>
          <w:lang w:val="en-US" w:eastAsia="zh-CN"/>
        </w:rPr>
        <w:t>备检验研究院决算公开。</w:t>
      </w:r>
    </w:p>
    <w:p w14:paraId="66AD1844">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680DF93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64294F5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14:paraId="0A09A1E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5477BCF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14:paraId="224A889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4B2301C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69AB425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5AE49AE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436A9CF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4846868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1C9C67E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4EE92A5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5CE0793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20424DA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4A70269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593E293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0F42B9D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4193D5C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59D5AC6">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71CE8126">
      <w:pPr>
        <w:widowControl/>
        <w:spacing w:before="240" w:after="240"/>
        <w:jc w:val="left"/>
        <w:rPr>
          <w:rFonts w:ascii="Times New Roman" w:hAnsi="Times New Roman" w:eastAsia="Times New Roman" w:cs="Times New Roman"/>
          <w:kern w:val="0"/>
          <w:sz w:val="24"/>
        </w:rPr>
      </w:pPr>
    </w:p>
    <w:p w14:paraId="2755F68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14:paraId="638BA08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陆梦瑶 </w:t>
      </w:r>
      <w:r>
        <w:rPr>
          <w:rFonts w:ascii="fang_song_gb2312" w:hAnsi="fang_song_gb2312" w:eastAsia="fang_song_gb2312" w:cs="fang_song_gb2312"/>
          <w:kern w:val="0"/>
          <w:sz w:val="27"/>
          <w:szCs w:val="27"/>
        </w:rPr>
        <w:t>          联系电话：0483-8350064- </w:t>
      </w:r>
    </w:p>
    <w:p w14:paraId="09ACB23A">
      <w:pPr>
        <w:widowControl/>
        <w:spacing w:before="240" w:after="240"/>
        <w:jc w:val="left"/>
        <w:rPr>
          <w:rFonts w:ascii="Times New Roman" w:hAnsi="Times New Roman" w:eastAsia="Times New Roman" w:cs="Times New Roman"/>
          <w:kern w:val="0"/>
          <w:sz w:val="24"/>
        </w:rPr>
      </w:pPr>
    </w:p>
    <w:p w14:paraId="18EF8DA0">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14:paraId="72FA52CA">
      <w:pPr>
        <w:widowControl/>
        <w:spacing w:before="240" w:after="240"/>
        <w:jc w:val="center"/>
        <w:rPr>
          <w:rFonts w:ascii="Times New Roman" w:hAnsi="Times New Roman" w:eastAsia="Times New Roman" w:cs="Times New Roman"/>
          <w:kern w:val="0"/>
          <w:sz w:val="24"/>
        </w:rPr>
      </w:pPr>
    </w:p>
    <w:p w14:paraId="123F8FC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见附件。1</w:t>
      </w:r>
    </w:p>
    <w:p w14:paraId="72C98C0F">
      <w:pPr>
        <w:widowControl/>
        <w:spacing w:before="240" w:after="240"/>
        <w:jc w:val="left"/>
        <w:rPr>
          <w:rFonts w:ascii="Times New Roman" w:hAnsi="Times New Roman" w:eastAsia="Times New Roman" w:cs="Times New Roman"/>
          <w:kern w:val="0"/>
          <w:sz w:val="24"/>
        </w:rPr>
      </w:pPr>
    </w:p>
    <w:p w14:paraId="42E08E82">
      <w:pPr>
        <w:widowControl/>
        <w:spacing w:before="240" w:after="240"/>
        <w:jc w:val="left"/>
        <w:rPr>
          <w:rFonts w:ascii="Times New Roman" w:hAnsi="Times New Roman" w:eastAsia="Times New Roman" w:cs="Times New Roman"/>
          <w:kern w:val="0"/>
          <w:sz w:val="24"/>
        </w:rPr>
      </w:pPr>
    </w:p>
    <w:p w14:paraId="6B8D705E">
      <w:pPr>
        <w:widowControl/>
        <w:spacing w:before="240" w:after="240"/>
        <w:jc w:val="left"/>
        <w:rPr>
          <w:rFonts w:ascii="Times New Roman" w:hAnsi="Times New Roman" w:eastAsia="Times New Roman" w:cs="Times New Roman"/>
          <w:kern w:val="0"/>
          <w:sz w:val="24"/>
        </w:rPr>
      </w:pPr>
    </w:p>
    <w:bookmarkEnd w:id="0"/>
    <w:p w14:paraId="35BE8AC5">
      <w:pPr>
        <w:adjustRightInd w:val="0"/>
        <w:snapToGrid w:val="0"/>
        <w:rPr>
          <w:rFonts w:ascii="宋体" w:hAnsi="宋体"/>
          <w:b/>
          <w:sz w:val="32"/>
          <w:szCs w:val="32"/>
        </w:rPr>
      </w:pPr>
    </w:p>
    <w:p w14:paraId="16B721BE">
      <w:pPr>
        <w:adjustRightInd w:val="0"/>
        <w:snapToGrid w:val="0"/>
        <w:rPr>
          <w:rFonts w:ascii="宋体" w:hAnsi="宋体"/>
          <w:b/>
          <w:sz w:val="32"/>
          <w:szCs w:val="32"/>
        </w:rPr>
      </w:pPr>
    </w:p>
    <w:p w14:paraId="064DC7E7">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53A6">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1"/>
      <w:jc w:val="center"/>
    </w:pPr>
    <w:r>
      <w:fldChar w:fldCharType="begin"/>
    </w:r>
    <w:r>
      <w:instrText xml:space="preserve"> PAGE   \* MERGEFORMAT </w:instrText>
    </w:r>
    <w:r>
      <w:fldChar w:fldCharType="separate"/>
    </w:r>
    <w:r>
      <w:rPr>
        <w:lang w:val="zh-CN"/>
      </w:rPr>
      <w:t>24</w:t>
    </w:r>
    <w:r>
      <w:rPr>
        <w:lang w:val="zh-CN"/>
      </w:rPr>
      <w:fldChar w:fldCharType="end"/>
    </w:r>
  </w:p>
  <w:p w14:paraId="2E0A9122">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kNGZjODQ2Zjk0OGExODM2NGI5YTk1MjMwYTAxZGQ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33B2485"/>
    <w:rsid w:val="0AB1211B"/>
    <w:rsid w:val="0AFD717B"/>
    <w:rsid w:val="0B5158F7"/>
    <w:rsid w:val="1132392C"/>
    <w:rsid w:val="11F47FFB"/>
    <w:rsid w:val="123819F9"/>
    <w:rsid w:val="14246F4E"/>
    <w:rsid w:val="15182FDB"/>
    <w:rsid w:val="15F42603"/>
    <w:rsid w:val="17234C5A"/>
    <w:rsid w:val="1C69494A"/>
    <w:rsid w:val="1CBA6AED"/>
    <w:rsid w:val="1E0B3516"/>
    <w:rsid w:val="1E5F0EF9"/>
    <w:rsid w:val="1F584F8C"/>
    <w:rsid w:val="217C0935"/>
    <w:rsid w:val="235C4830"/>
    <w:rsid w:val="244933BB"/>
    <w:rsid w:val="263A2B6C"/>
    <w:rsid w:val="27715E45"/>
    <w:rsid w:val="285015D2"/>
    <w:rsid w:val="2C9D11E9"/>
    <w:rsid w:val="2C9F5E1F"/>
    <w:rsid w:val="2D00158D"/>
    <w:rsid w:val="2E2F0315"/>
    <w:rsid w:val="2E8522FB"/>
    <w:rsid w:val="2F7A531F"/>
    <w:rsid w:val="33BA6465"/>
    <w:rsid w:val="3C4E0CC8"/>
    <w:rsid w:val="3D792EA5"/>
    <w:rsid w:val="405A2A7F"/>
    <w:rsid w:val="414C56AB"/>
    <w:rsid w:val="430D4551"/>
    <w:rsid w:val="451B1772"/>
    <w:rsid w:val="4829397A"/>
    <w:rsid w:val="4847319B"/>
    <w:rsid w:val="4A62606A"/>
    <w:rsid w:val="4A8D5963"/>
    <w:rsid w:val="4B3F45FD"/>
    <w:rsid w:val="4BFA4B6D"/>
    <w:rsid w:val="4ED5082C"/>
    <w:rsid w:val="513A16A7"/>
    <w:rsid w:val="535C3116"/>
    <w:rsid w:val="556B1689"/>
    <w:rsid w:val="570F75CD"/>
    <w:rsid w:val="575E00E8"/>
    <w:rsid w:val="5771299E"/>
    <w:rsid w:val="583E1182"/>
    <w:rsid w:val="5BCF32DA"/>
    <w:rsid w:val="5CCB1298"/>
    <w:rsid w:val="5DF0014A"/>
    <w:rsid w:val="61237FBC"/>
    <w:rsid w:val="62B8409F"/>
    <w:rsid w:val="62F43D52"/>
    <w:rsid w:val="656A455C"/>
    <w:rsid w:val="67FB2EDF"/>
    <w:rsid w:val="68955405"/>
    <w:rsid w:val="69FA7C16"/>
    <w:rsid w:val="6C4723DA"/>
    <w:rsid w:val="6CFD7F96"/>
    <w:rsid w:val="72D8323D"/>
    <w:rsid w:val="732775A1"/>
    <w:rsid w:val="740C27AB"/>
    <w:rsid w:val="766B4B49"/>
    <w:rsid w:val="787050DD"/>
    <w:rsid w:val="78833DE2"/>
    <w:rsid w:val="79A32B26"/>
    <w:rsid w:val="7FBF5116"/>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1" i="0" u="none" strike="noStrike" kern="1200" spc="0" baseline="0">
                <a:solidFill>
                  <a:schemeClr val="tx1">
                    <a:lumMod val="65000"/>
                    <a:lumOff val="35000"/>
                  </a:schemeClr>
                </a:solidFill>
                <a:latin typeface="+mn-lt"/>
                <a:ea typeface="+mn-ea"/>
                <a:cs typeface="+mn-cs"/>
              </a:defRPr>
            </a:pPr>
            <a:r>
              <a:rPr lang="en-US" altLang="zh-CN"/>
              <a:t>2023</a:t>
            </a:r>
            <a:r>
              <a:rPr altLang="en-US"/>
              <a:t>年决算收入</a:t>
            </a:r>
            <a:endParaRPr lang="en-US" altLang="zh-CN"/>
          </a:p>
        </c:rich>
      </c:tx>
      <c:layout/>
      <c:overlay val="0"/>
      <c:spPr>
        <a:noFill/>
        <a:ln>
          <a:noFill/>
        </a:ln>
        <a:effectLst/>
      </c:spPr>
    </c:title>
    <c:autoTitleDeleted val="0"/>
    <c:plotArea>
      <c:layout/>
      <c:pieChart>
        <c:varyColors val="1"/>
        <c:ser>
          <c:idx val="0"/>
          <c:order val="0"/>
          <c:spPr>
            <a:gradFill>
              <a:gsLst>
                <a:gs pos="0">
                  <a:srgbClr val="2858CA"/>
                </a:gs>
                <a:gs pos="100000">
                  <a:srgbClr val="388EE1"/>
                </a:gs>
              </a:gsLst>
              <a:lin ang="0" scaled="0"/>
            </a:gradFill>
            <a:ln w="12700" cap="rnd">
              <a:solidFill>
                <a:sysClr val="window" lastClr="FFFFFF"/>
              </a:solidFill>
              <a:round/>
            </a:ln>
            <a:effectLst/>
          </c:spPr>
          <c:explosion val="0"/>
          <c:dPt>
            <c:idx val="0"/>
            <c:bubble3D val="0"/>
            <c:spPr>
              <a:gradFill>
                <a:gsLst>
                  <a:gs pos="0">
                    <a:srgbClr val="2858CA"/>
                  </a:gs>
                  <a:gs pos="100000">
                    <a:srgbClr val="388EE1"/>
                  </a:gs>
                </a:gsLst>
                <a:lin ang="0" scaled="0"/>
              </a:gradFill>
              <a:ln w="12700" cap="rnd">
                <a:solidFill>
                  <a:sysClr val="window" lastClr="FFFFFF"/>
                </a:solidFill>
                <a:round/>
              </a:ln>
              <a:effectLst/>
            </c:spPr>
          </c:dPt>
          <c:dPt>
            <c:idx val="1"/>
            <c:bubble3D val="0"/>
            <c:spPr>
              <a:gradFill>
                <a:gsLst>
                  <a:gs pos="0">
                    <a:srgbClr val="3282E2"/>
                  </a:gs>
                  <a:gs pos="100000">
                    <a:srgbClr val="65BDC4"/>
                  </a:gs>
                </a:gsLst>
                <a:lin ang="0" scaled="0"/>
              </a:gradFill>
              <a:ln w="12700" cap="rnd">
                <a:solidFill>
                  <a:sysClr val="window" lastClr="FFFFFF"/>
                </a:solidFill>
                <a:round/>
              </a:ln>
              <a:effectLst/>
            </c:spPr>
          </c:dPt>
          <c:dPt>
            <c:idx val="2"/>
            <c:bubble3D val="0"/>
            <c:spPr>
              <a:gradFill>
                <a:gsLst>
                  <a:gs pos="0">
                    <a:srgbClr val="4EA4C6"/>
                  </a:gs>
                  <a:gs pos="100000">
                    <a:srgbClr val="8CDEA1"/>
                  </a:gs>
                </a:gsLst>
                <a:lin ang="8100000" scaled="0"/>
              </a:gradFill>
              <a:ln w="12700" cap="rnd">
                <a:solidFill>
                  <a:sysClr val="window" lastClr="FFFFFF"/>
                </a:solidFill>
                <a:round/>
              </a:ln>
              <a:effectLst/>
            </c:spPr>
          </c:dPt>
          <c:dPt>
            <c:idx val="3"/>
            <c:bubble3D val="0"/>
            <c:spPr>
              <a:gradFill>
                <a:gsLst>
                  <a:gs pos="0">
                    <a:srgbClr val="2858CA"/>
                  </a:gs>
                  <a:gs pos="100000">
                    <a:srgbClr val="388EE1"/>
                  </a:gs>
                </a:gsLst>
                <a:lin ang="0" scaled="0"/>
              </a:gradFill>
              <a:ln w="12700" cap="rnd">
                <a:solidFill>
                  <a:sysClr val="window" lastClr="FFFFFF"/>
                </a:solidFill>
                <a:round/>
              </a:ln>
              <a:effectLst/>
            </c:spPr>
          </c:dPt>
          <c:dPt>
            <c:idx val="4"/>
            <c:bubble3D val="0"/>
            <c:spPr>
              <a:gradFill>
                <a:gsLst>
                  <a:gs pos="0">
                    <a:srgbClr val="2858CA"/>
                  </a:gs>
                  <a:gs pos="100000">
                    <a:srgbClr val="388EE1"/>
                  </a:gs>
                </a:gsLst>
                <a:lin ang="0" scaled="0"/>
              </a:gradFill>
              <a:ln w="12700" cap="rnd">
                <a:solidFill>
                  <a:sysClr val="window" lastClr="FFFFFF"/>
                </a:solidFill>
                <a:round/>
              </a:ln>
              <a:effectLst/>
            </c:spPr>
          </c:dPt>
          <c:dPt>
            <c:idx val="5"/>
            <c:bubble3D val="0"/>
            <c:spPr>
              <a:gradFill>
                <a:gsLst>
                  <a:gs pos="0">
                    <a:srgbClr val="2858CA"/>
                  </a:gs>
                  <a:gs pos="100000">
                    <a:srgbClr val="388EE1"/>
                  </a:gs>
                </a:gsLst>
                <a:lin ang="0" scaled="0"/>
              </a:gradFill>
              <a:ln w="12700" cap="rnd">
                <a:solidFill>
                  <a:sysClr val="window" lastClr="FFFFFF"/>
                </a:solidFill>
                <a:round/>
              </a:ln>
              <a:effectLst/>
            </c:spPr>
          </c:dPt>
          <c:dPt>
            <c:idx val="6"/>
            <c:bubble3D val="0"/>
            <c:spPr>
              <a:gradFill>
                <a:gsLst>
                  <a:gs pos="0">
                    <a:srgbClr val="2858CA"/>
                  </a:gs>
                  <a:gs pos="100000">
                    <a:srgbClr val="388EE1"/>
                  </a:gs>
                </a:gsLst>
                <a:lin ang="0" scaled="0"/>
              </a:gradFill>
              <a:ln w="12700" cap="rnd">
                <a:solidFill>
                  <a:sysClr val="window" lastClr="FFFFFF"/>
                </a:solidFill>
                <a:round/>
              </a:ln>
              <a:effectLst/>
            </c:spPr>
          </c:dPt>
          <c:dPt>
            <c:idx val="7"/>
            <c:bubble3D val="0"/>
            <c:spPr>
              <a:gradFill>
                <a:gsLst>
                  <a:gs pos="0">
                    <a:srgbClr val="2858CA"/>
                  </a:gs>
                  <a:gs pos="100000">
                    <a:srgbClr val="388EE1"/>
                  </a:gs>
                </a:gsLst>
                <a:lin ang="0" scaled="0"/>
              </a:gradFill>
              <a:ln w="12700" cap="rnd">
                <a:solidFill>
                  <a:sysClr val="window" lastClr="FFFFFF"/>
                </a:solidFill>
                <a:round/>
              </a:ln>
              <a:effectLst/>
            </c:spPr>
          </c:dPt>
          <c:dLbls>
            <c:dLbl>
              <c:idx val="0"/>
              <c:layout>
                <c:manualLayout>
                  <c:x val="-0.113291724958647"/>
                  <c:y val="-0.0201624951638176"/>
                </c:manualLayout>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1"/>
                        </a:solidFill>
                        <a:latin typeface="+mn-lt"/>
                        <a:ea typeface="+mn-ea"/>
                        <a:cs typeface="+mn-cs"/>
                      </a:defRPr>
                    </a:pPr>
                    <a:r>
                      <a:t>59</a:t>
                    </a:r>
                    <a:r>
                      <a:rPr lang="en-US" altLang="zh-CN"/>
                      <a:t>.27</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1"/>
                        </a:solidFill>
                        <a:latin typeface="+mn-lt"/>
                        <a:ea typeface="+mn-ea"/>
                        <a:cs typeface="+mn-cs"/>
                      </a:defRPr>
                    </a:pPr>
                    <a:r>
                      <a:t>4</a:t>
                    </a:r>
                    <a:r>
                      <a:rPr lang="en-US" altLang="zh-CN"/>
                      <a:t>0.73</a:t>
                    </a:r>
                    <a:r>
                      <a:t>%</a:t>
                    </a:r>
                  </a:p>
                </c:rich>
              </c:tx>
              <c:dLblPos val="bestFit"/>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工作表.xlsx]Sheet1'!$B$2:$B$9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'[新建 XLSX 工作表.xlsx]Sheet1'!$C$2:$C$9</c:f>
              <c:numCache>
                <c:formatCode>General</c:formatCode>
                <c:ptCount val="8"/>
                <c:pt idx="0">
                  <c:v>1097.72</c:v>
                </c:pt>
                <c:pt idx="1">
                  <c:v>0</c:v>
                </c:pt>
                <c:pt idx="2">
                  <c:v>0</c:v>
                </c:pt>
                <c:pt idx="3">
                  <c:v>0</c:v>
                </c:pt>
                <c:pt idx="4">
                  <c:v>0</c:v>
                </c:pt>
                <c:pt idx="5">
                  <c:v>754.33</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1" i="0" u="none" strike="noStrike" kern="1200" spc="0" baseline="0">
                <a:solidFill>
                  <a:schemeClr val="tx1">
                    <a:lumMod val="65000"/>
                    <a:lumOff val="35000"/>
                  </a:schemeClr>
                </a:solidFill>
                <a:latin typeface="+mn-lt"/>
                <a:ea typeface="+mn-ea"/>
                <a:cs typeface="+mn-cs"/>
              </a:defRPr>
            </a:pPr>
            <a:r>
              <a:rPr lang="en-US" altLang="zh-CN"/>
              <a:t>2023</a:t>
            </a:r>
            <a:r>
              <a:rPr altLang="en-US"/>
              <a:t>年决算支出</a:t>
            </a:r>
            <a:endParaRPr lang="en-US" altLang="zh-CN"/>
          </a:p>
        </c:rich>
      </c:tx>
      <c:layout/>
      <c:overlay val="0"/>
      <c:spPr>
        <a:noFill/>
        <a:ln>
          <a:noFill/>
        </a:ln>
        <a:effectLst/>
      </c:spPr>
    </c:title>
    <c:autoTitleDeleted val="0"/>
    <c:plotArea>
      <c:layout/>
      <c:pieChart>
        <c:varyColors val="1"/>
        <c:ser>
          <c:idx val="0"/>
          <c:order val="0"/>
          <c:spPr>
            <a:gradFill>
              <a:gsLst>
                <a:gs pos="0">
                  <a:srgbClr val="2858CA"/>
                </a:gs>
                <a:gs pos="100000">
                  <a:srgbClr val="388EE1"/>
                </a:gs>
              </a:gsLst>
              <a:lin ang="0" scaled="0"/>
            </a:gradFill>
            <a:ln w="12700" cap="rnd">
              <a:solidFill>
                <a:sysClr val="window" lastClr="FFFFFF"/>
              </a:solidFill>
              <a:round/>
            </a:ln>
            <a:effectLst/>
          </c:spPr>
          <c:explosion val="0"/>
          <c:dPt>
            <c:idx val="0"/>
            <c:bubble3D val="0"/>
            <c:spPr>
              <a:gradFill>
                <a:gsLst>
                  <a:gs pos="0">
                    <a:srgbClr val="2858CA"/>
                  </a:gs>
                  <a:gs pos="100000">
                    <a:srgbClr val="388EE1"/>
                  </a:gs>
                </a:gsLst>
                <a:lin ang="0" scaled="0"/>
              </a:gradFill>
              <a:ln w="12700" cap="rnd">
                <a:solidFill>
                  <a:sysClr val="window" lastClr="FFFFFF"/>
                </a:solidFill>
                <a:round/>
              </a:ln>
              <a:effectLst/>
            </c:spPr>
          </c:dPt>
          <c:dPt>
            <c:idx val="1"/>
            <c:bubble3D val="0"/>
            <c:spPr>
              <a:gradFill>
                <a:gsLst>
                  <a:gs pos="0">
                    <a:srgbClr val="3282E2"/>
                  </a:gs>
                  <a:gs pos="100000">
                    <a:srgbClr val="65BDC4"/>
                  </a:gs>
                </a:gsLst>
                <a:lin ang="0" scaled="0"/>
              </a:gradFill>
              <a:ln w="12700" cap="rnd">
                <a:solidFill>
                  <a:sysClr val="window" lastClr="FFFFFF"/>
                </a:solidFill>
                <a:round/>
              </a:ln>
              <a:effectLst/>
            </c:spPr>
          </c:dPt>
          <c:dPt>
            <c:idx val="2"/>
            <c:bubble3D val="0"/>
            <c:spPr>
              <a:gradFill>
                <a:gsLst>
                  <a:gs pos="0">
                    <a:srgbClr val="4EA4C6"/>
                  </a:gs>
                  <a:gs pos="100000">
                    <a:srgbClr val="8CDEA1"/>
                  </a:gs>
                </a:gsLst>
                <a:lin ang="8100000" scaled="0"/>
              </a:gradFill>
              <a:ln w="12700" cap="rnd">
                <a:solidFill>
                  <a:sysClr val="window" lastClr="FFFFFF"/>
                </a:solidFill>
                <a:round/>
              </a:ln>
              <a:effectLst/>
            </c:spPr>
          </c:dPt>
          <c:dPt>
            <c:idx val="3"/>
            <c:bubble3D val="0"/>
            <c:spPr>
              <a:gradFill>
                <a:gsLst>
                  <a:gs pos="0">
                    <a:srgbClr val="2858CA"/>
                  </a:gs>
                  <a:gs pos="100000">
                    <a:srgbClr val="388EE1"/>
                  </a:gs>
                </a:gsLst>
                <a:lin ang="0" scaled="0"/>
              </a:gradFill>
              <a:ln w="12700" cap="rnd">
                <a:solidFill>
                  <a:sysClr val="window" lastClr="FFFFFF"/>
                </a:solidFill>
                <a:round/>
              </a:ln>
              <a:effectLst/>
            </c:spPr>
          </c:dPt>
          <c:dPt>
            <c:idx val="4"/>
            <c:bubble3D val="0"/>
            <c:spPr>
              <a:gradFill>
                <a:gsLst>
                  <a:gs pos="0">
                    <a:srgbClr val="2858CA"/>
                  </a:gs>
                  <a:gs pos="100000">
                    <a:srgbClr val="388EE1"/>
                  </a:gs>
                </a:gsLst>
                <a:lin ang="0" scaled="0"/>
              </a:gradFill>
              <a:ln w="12700" cap="rnd">
                <a:solidFill>
                  <a:sysClr val="window" lastClr="FFFFFF"/>
                </a:solidFill>
                <a:round/>
              </a:ln>
              <a:effectLst/>
            </c:spPr>
          </c:dPt>
          <c:dLbls>
            <c:dLbl>
              <c:idx val="0"/>
              <c:layout>
                <c:manualLayout>
                  <c:x val="-0.169211898122647"/>
                  <c:y val="0.0126675651453922"/>
                </c:manualLayout>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1"/>
                        </a:solidFill>
                        <a:latin typeface="+mn-lt"/>
                        <a:ea typeface="+mn-ea"/>
                        <a:cs typeface="+mn-cs"/>
                      </a:defRPr>
                    </a:pPr>
                    <a:r>
                      <a:t>4</a:t>
                    </a:r>
                    <a:r>
                      <a:rPr lang="en-US" altLang="zh-CN"/>
                      <a:t>2.68</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60657894736842"/>
                      <c:h val="0.08125"/>
                    </c:manualLayout>
                  </c15:layout>
                </c:ext>
              </c:extLst>
            </c:dLbl>
            <c:dLbl>
              <c:idx val="1"/>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1"/>
                        </a:solidFill>
                        <a:latin typeface="+mn-lt"/>
                        <a:ea typeface="+mn-ea"/>
                        <a:cs typeface="+mn-cs"/>
                      </a:defRPr>
                    </a:pPr>
                    <a:r>
                      <a:rPr lang="en-US" altLang="zh-CN"/>
                      <a:t>18.87</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1"/>
                        </a:solidFill>
                        <a:latin typeface="+mn-lt"/>
                        <a:ea typeface="+mn-ea"/>
                        <a:cs typeface="+mn-cs"/>
                      </a:defRPr>
                    </a:pPr>
                    <a:r>
                      <a:t>38</a:t>
                    </a:r>
                    <a:r>
                      <a:rPr lang="en-US" altLang="zh-CN"/>
                      <a:t>.45</a:t>
                    </a:r>
                    <a:r>
                      <a:t>%</a:t>
                    </a:r>
                  </a:p>
                </c:rich>
              </c:tx>
              <c:dLblPos val="bestFit"/>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工作表.xlsx]Sheet2'!$B$2:$B$6</c:f>
              <c:strCache>
                <c:ptCount val="5"/>
                <c:pt idx="0">
                  <c:v>基本支出</c:v>
                </c:pt>
                <c:pt idx="1">
                  <c:v>项目支出</c:v>
                </c:pt>
                <c:pt idx="2">
                  <c:v>上缴上级支出</c:v>
                </c:pt>
                <c:pt idx="3">
                  <c:v>经营支出</c:v>
                </c:pt>
                <c:pt idx="4">
                  <c:v>对附属单位补助支出</c:v>
                </c:pt>
              </c:strCache>
            </c:strRef>
          </c:cat>
          <c:val>
            <c:numRef>
              <c:f>'[新建 XLSX 工作表.xlsx]Sheet2'!$C$2:$C$6</c:f>
              <c:numCache>
                <c:formatCode>General</c:formatCode>
                <c:ptCount val="5"/>
                <c:pt idx="0">
                  <c:v>809.72</c:v>
                </c:pt>
                <c:pt idx="1">
                  <c:v>358</c:v>
                </c:pt>
                <c:pt idx="2">
                  <c:v>0</c:v>
                </c:pt>
                <c:pt idx="3">
                  <c:v>729.57</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9401</Words>
  <Characters>10630</Characters>
  <Lines>1</Lines>
  <Paragraphs>1</Paragraphs>
  <TotalTime>0</TotalTime>
  <ScaleCrop>false</ScaleCrop>
  <LinksUpToDate>false</LinksUpToDate>
  <CharactersWithSpaces>11256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酸奶袋儿</cp:lastModifiedBy>
  <cp:lastPrinted>2021-04-16T00:45:00Z</cp:lastPrinted>
  <dcterms:modified xsi:type="dcterms:W3CDTF">2024-08-22T07:49:13Z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A46475043F4047F795865234465B0D66_12</vt:lpwstr>
  </property>
</Properties>
</file>