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hint="eastAsia" w:ascii="宋体" w:hAnsi="宋体" w:eastAsia="宋体"/>
          <w:b/>
          <w:bCs/>
          <w:sz w:val="52"/>
          <w:szCs w:val="52"/>
          <w:lang w:eastAsia="zh-CN"/>
        </w:rPr>
      </w:pPr>
      <w:r>
        <w:rPr>
          <w:rFonts w:ascii="宋体" w:hAnsi="宋体"/>
          <w:b/>
          <w:bCs/>
          <w:sz w:val="52"/>
          <w:szCs w:val="52"/>
        </w:rPr>
        <w:t>2023</w:t>
      </w:r>
      <w:r>
        <w:rPr>
          <w:rFonts w:hint="eastAsia" w:ascii="宋体" w:hAnsi="宋体"/>
          <w:b/>
          <w:bCs/>
          <w:sz w:val="52"/>
          <w:szCs w:val="52"/>
        </w:rPr>
        <w:t>年度内蒙古自治区特种设备检验研究院二连浩特分院</w:t>
      </w:r>
      <w:r>
        <w:rPr>
          <w:rFonts w:hint="eastAsia" w:ascii="宋体" w:hAnsi="宋体"/>
          <w:b/>
          <w:bCs/>
          <w:sz w:val="52"/>
          <w:szCs w:val="52"/>
          <w:lang w:eastAsia="zh-CN"/>
        </w:rPr>
        <w:t>决算公开</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单位名称：内蒙古自治区特种设备检验研究院二连浩特分院</w:t>
      </w:r>
    </w:p>
    <w:p>
      <w:pPr>
        <w:spacing w:line="360" w:lineRule="auto"/>
        <w:ind w:firstLine="2240" w:firstLineChars="700"/>
        <w:jc w:val="left"/>
        <w:rPr>
          <w:rFonts w:ascii="宋体" w:hAnsi="宋体"/>
          <w:sz w:val="32"/>
          <w:szCs w:val="32"/>
        </w:rPr>
      </w:pPr>
      <w:r>
        <w:rPr>
          <w:rFonts w:hint="eastAsia" w:ascii="宋体" w:hAnsi="宋体"/>
          <w:sz w:val="32"/>
          <w:szCs w:val="32"/>
        </w:rPr>
        <w:t>单位负责人：王瑞明</w:t>
      </w:r>
    </w:p>
    <w:p>
      <w:pPr>
        <w:spacing w:line="360" w:lineRule="auto"/>
        <w:ind w:firstLine="2240" w:firstLineChars="700"/>
        <w:jc w:val="left"/>
        <w:rPr>
          <w:rFonts w:ascii="宋体" w:hAnsi="宋体"/>
          <w:sz w:val="32"/>
          <w:szCs w:val="32"/>
        </w:rPr>
      </w:pPr>
      <w:r>
        <w:rPr>
          <w:rFonts w:hint="eastAsia" w:ascii="宋体" w:hAnsi="宋体"/>
          <w:sz w:val="32"/>
          <w:szCs w:val="32"/>
        </w:rPr>
        <w:t>财务负责人：任爱香</w:t>
      </w:r>
    </w:p>
    <w:p>
      <w:pPr>
        <w:spacing w:line="360" w:lineRule="auto"/>
        <w:ind w:firstLine="2240" w:firstLineChars="700"/>
        <w:jc w:val="left"/>
        <w:rPr>
          <w:rFonts w:ascii="宋体" w:hAnsi="宋体"/>
          <w:sz w:val="32"/>
          <w:szCs w:val="32"/>
        </w:rPr>
      </w:pPr>
      <w:r>
        <w:rPr>
          <w:rFonts w:hint="eastAsia" w:ascii="宋体" w:hAnsi="宋体"/>
          <w:sz w:val="32"/>
          <w:szCs w:val="32"/>
        </w:rPr>
        <w:t>编制人：任爱香</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年7月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pStyle w:val="4"/>
      </w:pP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第一部分 单位概况</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一、主要职能、职责</w:t>
      </w:r>
    </w:p>
    <w:p>
      <w:pPr>
        <w:autoSpaceDE w:val="0"/>
        <w:autoSpaceDN w:val="0"/>
        <w:spacing w:before="100" w:after="100" w:line="580" w:lineRule="atLeast"/>
        <w:ind w:firstLine="640" w:firstLineChars="200"/>
        <w:jc w:val="both"/>
        <w:rPr>
          <w:rFonts w:hint="eastAsia" w:ascii="宋体" w:hAnsi="宋体" w:eastAsia="宋体" w:cs="宋体"/>
          <w:sz w:val="32"/>
          <w:szCs w:val="32"/>
        </w:rPr>
      </w:pPr>
      <w:r>
        <w:rPr>
          <w:rFonts w:hint="eastAsia" w:ascii="宋体" w:hAnsi="宋体" w:eastAsia="宋体" w:cs="宋体"/>
          <w:sz w:val="32"/>
          <w:szCs w:val="32"/>
        </w:rPr>
        <w:t>根据中共内蒙古自治区委员会机构编制委员会印发的《关于自治区市场监督管理局所属事业单位机构职能的批复》（内机编办发【2020】148号），设立内蒙古自治区特种设备检验研究院二连浩特分院，为自治区特种设备检验研究院所属三级预算单位，公益二类事业单位，正科级。开展特种设备定期检验、监督检验；开展锅炉、压力容器检验；安全阀校验；无损检测；开展气瓶检验；开展场内机动车辆检验检测工作。</w:t>
      </w:r>
    </w:p>
    <w:p>
      <w:pPr>
        <w:widowControl/>
        <w:numPr>
          <w:ilvl w:val="0"/>
          <w:numId w:val="1"/>
        </w:numPr>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单位机构设置及决算单位构成情况</w:t>
      </w:r>
    </w:p>
    <w:p>
      <w:pPr>
        <w:numPr>
          <w:ilvl w:val="0"/>
          <w:numId w:val="0"/>
        </w:numPr>
        <w:spacing w:beforeAutospacing="1" w:afterAutospacing="1" w:line="600" w:lineRule="atLeast"/>
        <w:ind w:left="636" w:leftChars="0"/>
        <w:jc w:val="both"/>
        <w:rPr>
          <w:rFonts w:hint="eastAsia" w:ascii="宋体" w:hAnsi="宋体" w:eastAsia="宋体" w:cs="宋体"/>
          <w:sz w:val="32"/>
          <w:szCs w:val="32"/>
        </w:rPr>
      </w:pPr>
      <w:r>
        <w:rPr>
          <w:rFonts w:hint="eastAsia" w:ascii="宋体" w:hAnsi="宋体" w:eastAsia="宋体" w:cs="宋体"/>
          <w:sz w:val="32"/>
          <w:szCs w:val="32"/>
        </w:rPr>
        <w:t>1.根据单位职责分工，本单位内设机构</w:t>
      </w:r>
      <w:r>
        <w:rPr>
          <w:rFonts w:hint="eastAsia" w:ascii="宋体" w:hAnsi="宋体" w:cs="宋体"/>
          <w:sz w:val="32"/>
          <w:szCs w:val="32"/>
          <w:lang w:val="en-US" w:eastAsia="zh-CN"/>
        </w:rPr>
        <w:t>4个部</w:t>
      </w:r>
      <w:r>
        <w:rPr>
          <w:rFonts w:hint="eastAsia" w:ascii="宋体" w:hAnsi="宋体" w:eastAsia="宋体" w:cs="宋体"/>
          <w:sz w:val="32"/>
          <w:szCs w:val="32"/>
        </w:rPr>
        <w:t>：</w:t>
      </w:r>
      <w:r>
        <w:rPr>
          <w:rFonts w:hint="eastAsia" w:ascii="宋体" w:hAnsi="宋体" w:cs="宋体"/>
          <w:sz w:val="32"/>
          <w:szCs w:val="32"/>
          <w:lang w:eastAsia="zh-CN"/>
        </w:rPr>
        <w:t>综合管理部</w:t>
      </w:r>
      <w:r>
        <w:rPr>
          <w:rFonts w:hint="eastAsia" w:ascii="宋体" w:hAnsi="宋体" w:eastAsia="宋体" w:cs="宋体"/>
          <w:sz w:val="32"/>
          <w:szCs w:val="32"/>
        </w:rPr>
        <w:t>、</w:t>
      </w:r>
      <w:r>
        <w:rPr>
          <w:rFonts w:hint="eastAsia" w:ascii="宋体" w:hAnsi="宋体" w:cs="宋体"/>
          <w:sz w:val="32"/>
          <w:szCs w:val="32"/>
          <w:lang w:eastAsia="zh-CN"/>
        </w:rPr>
        <w:t>机电部</w:t>
      </w:r>
      <w:r>
        <w:rPr>
          <w:rFonts w:hint="eastAsia" w:ascii="宋体" w:hAnsi="宋体" w:eastAsia="宋体" w:cs="宋体"/>
          <w:sz w:val="32"/>
          <w:szCs w:val="32"/>
        </w:rPr>
        <w:t>、</w:t>
      </w:r>
      <w:r>
        <w:rPr>
          <w:rFonts w:hint="eastAsia" w:ascii="宋体" w:hAnsi="宋体" w:cs="宋体"/>
          <w:sz w:val="32"/>
          <w:szCs w:val="32"/>
          <w:lang w:eastAsia="zh-CN"/>
        </w:rPr>
        <w:t>承压部</w:t>
      </w:r>
      <w:r>
        <w:rPr>
          <w:rFonts w:hint="eastAsia" w:ascii="宋体" w:hAnsi="宋体" w:eastAsia="宋体" w:cs="宋体"/>
          <w:sz w:val="32"/>
          <w:szCs w:val="32"/>
        </w:rPr>
        <w:t>、</w:t>
      </w:r>
      <w:r>
        <w:rPr>
          <w:rFonts w:hint="eastAsia" w:ascii="宋体" w:hAnsi="宋体" w:cs="宋体"/>
          <w:sz w:val="32"/>
          <w:szCs w:val="32"/>
          <w:lang w:eastAsia="zh-CN"/>
        </w:rPr>
        <w:t>党群部。</w:t>
      </w:r>
      <w:r>
        <w:rPr>
          <w:rFonts w:hint="eastAsia" w:ascii="宋体" w:hAnsi="宋体" w:eastAsia="宋体" w:cs="宋体"/>
          <w:sz w:val="32"/>
          <w:szCs w:val="32"/>
        </w:rPr>
        <w:t>独立核算单位1个，本单位无下属单位。</w:t>
      </w:r>
    </w:p>
    <w:p>
      <w:pPr>
        <w:spacing w:beforeAutospacing="1" w:afterAutospacing="1" w:line="360" w:lineRule="auto"/>
        <w:ind w:firstLine="640"/>
        <w:jc w:val="both"/>
        <w:rPr>
          <w:rFonts w:hint="eastAsia" w:ascii="宋体" w:hAnsi="宋体" w:eastAsia="宋体" w:cs="宋体"/>
          <w:sz w:val="32"/>
          <w:szCs w:val="32"/>
        </w:rPr>
      </w:pPr>
      <w:r>
        <w:rPr>
          <w:rFonts w:hint="eastAsia" w:ascii="宋体" w:hAnsi="宋体" w:eastAsia="宋体" w:cs="宋体"/>
          <w:sz w:val="32"/>
          <w:szCs w:val="32"/>
        </w:rPr>
        <w:t>2.从决算单位构成看，纳入本部门202</w:t>
      </w:r>
      <w:r>
        <w:rPr>
          <w:rFonts w:hint="eastAsia" w:ascii="宋体" w:hAnsi="宋体" w:cs="宋体"/>
          <w:sz w:val="32"/>
          <w:szCs w:val="32"/>
          <w:lang w:val="en-US" w:eastAsia="zh-CN"/>
        </w:rPr>
        <w:t>3</w:t>
      </w:r>
      <w:r>
        <w:rPr>
          <w:rFonts w:hint="eastAsia" w:ascii="宋体" w:hAnsi="宋体" w:eastAsia="宋体" w:cs="宋体"/>
          <w:sz w:val="32"/>
          <w:szCs w:val="32"/>
        </w:rPr>
        <w:t>年部门汇总决算编制范围的预算单位共计1家，详细情况见表：</w:t>
      </w:r>
    </w:p>
    <w:tbl>
      <w:tblPr>
        <w:tblStyle w:val="21"/>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57"/>
        <w:gridCol w:w="3171"/>
        <w:gridCol w:w="44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spacing w:beforeAutospacing="1" w:afterAutospacing="1"/>
              <w:rPr>
                <w:rFonts w:hint="eastAsia" w:ascii="宋体" w:hAnsi="宋体" w:eastAsia="宋体" w:cs="宋体"/>
                <w:sz w:val="32"/>
                <w:szCs w:val="32"/>
              </w:rPr>
            </w:pPr>
            <w:r>
              <w:rPr>
                <w:rFonts w:hint="eastAsia" w:ascii="宋体" w:hAnsi="宋体" w:eastAsia="宋体" w:cs="宋体"/>
                <w:color w:val="000000"/>
                <w:sz w:val="32"/>
                <w:szCs w:val="32"/>
              </w:rPr>
              <w:t>序号</w:t>
            </w:r>
          </w:p>
        </w:tc>
        <w:tc>
          <w:tcPr>
            <w:tcW w:w="31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宋体" w:hAnsi="宋体" w:eastAsia="宋体" w:cs="宋体"/>
                <w:sz w:val="32"/>
                <w:szCs w:val="32"/>
              </w:rPr>
            </w:pPr>
            <w:r>
              <w:rPr>
                <w:rFonts w:hint="eastAsia" w:ascii="宋体" w:hAnsi="宋体" w:eastAsia="宋体" w:cs="宋体"/>
                <w:color w:val="000000"/>
                <w:sz w:val="32"/>
                <w:szCs w:val="32"/>
              </w:rPr>
              <w:t>单位名称</w:t>
            </w:r>
          </w:p>
        </w:tc>
        <w:tc>
          <w:tcPr>
            <w:tcW w:w="44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宋体" w:hAnsi="宋体" w:eastAsia="宋体" w:cs="宋体"/>
                <w:sz w:val="32"/>
                <w:szCs w:val="32"/>
              </w:rPr>
            </w:pPr>
            <w:r>
              <w:rPr>
                <w:rFonts w:hint="eastAsia" w:ascii="宋体" w:hAnsi="宋体" w:eastAsia="宋体" w:cs="宋体"/>
                <w:color w:val="000000"/>
                <w:sz w:val="32"/>
                <w:szCs w:val="32"/>
              </w:rPr>
              <w:t>单位性质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宋体" w:hAnsi="宋体" w:eastAsia="宋体" w:cs="宋体"/>
                <w:sz w:val="32"/>
                <w:szCs w:val="32"/>
              </w:rPr>
            </w:pPr>
            <w:r>
              <w:rPr>
                <w:rFonts w:hint="eastAsia" w:ascii="宋体" w:hAnsi="宋体" w:eastAsia="宋体" w:cs="宋体"/>
                <w:color w:val="000000"/>
                <w:sz w:val="32"/>
                <w:szCs w:val="32"/>
              </w:rPr>
              <w:t>1</w:t>
            </w:r>
          </w:p>
        </w:tc>
        <w:tc>
          <w:tcPr>
            <w:tcW w:w="3171"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宋体" w:hAnsi="宋体" w:eastAsia="宋体" w:cs="宋体"/>
                <w:color w:val="000000"/>
                <w:sz w:val="32"/>
                <w:szCs w:val="32"/>
              </w:rPr>
            </w:pPr>
            <w:r>
              <w:rPr>
                <w:rFonts w:hint="eastAsia" w:ascii="宋体" w:hAnsi="宋体" w:eastAsia="宋体" w:cs="宋体"/>
                <w:color w:val="000000"/>
                <w:sz w:val="32"/>
                <w:szCs w:val="32"/>
              </w:rPr>
              <w:t>内蒙古自治区特种设备检验研究院二连浩特分院</w:t>
            </w:r>
          </w:p>
        </w:tc>
        <w:tc>
          <w:tcPr>
            <w:tcW w:w="446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Autospacing="1" w:afterAutospacing="1"/>
              <w:jc w:val="center"/>
              <w:rPr>
                <w:rFonts w:hint="eastAsia" w:ascii="宋体" w:hAnsi="宋体" w:eastAsia="宋体" w:cs="宋体"/>
                <w:sz w:val="32"/>
                <w:szCs w:val="32"/>
              </w:rPr>
            </w:pPr>
            <w:r>
              <w:rPr>
                <w:rFonts w:hint="eastAsia" w:ascii="宋体" w:hAnsi="宋体" w:eastAsia="宋体" w:cs="宋体"/>
                <w:color w:val="000000"/>
                <w:sz w:val="32"/>
                <w:szCs w:val="32"/>
              </w:rPr>
              <w:t>公益二类事业单位</w:t>
            </w:r>
          </w:p>
        </w:tc>
      </w:tr>
    </w:tbl>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三、2023年度单位主要工作完成情况</w:t>
      </w:r>
    </w:p>
    <w:p>
      <w:pPr>
        <w:numPr>
          <w:ilvl w:val="0"/>
          <w:numId w:val="0"/>
        </w:numPr>
        <w:snapToGrid w:val="0"/>
        <w:spacing w:line="560" w:lineRule="exact"/>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全年累计完成检验收入145万元，其中非税收入35万元，经营性收入110万元，参加总院和分院合作检验收入预计200万元，全年收入预计345万元，人均检验收入27万元。</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第二部分 单位决算情况说明</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一、收入支出决算总体情况说明</w:t>
      </w:r>
    </w:p>
    <w:p>
      <w:pPr>
        <w:spacing w:beforeAutospacing="1" w:afterAutospacing="1" w:line="560" w:lineRule="atLeast"/>
        <w:ind w:firstLine="640"/>
        <w:jc w:val="both"/>
        <w:rPr>
          <w:rFonts w:hint="eastAsia" w:ascii="宋体" w:hAnsi="宋体" w:eastAsia="宋体" w:cs="宋体"/>
          <w:sz w:val="32"/>
          <w:szCs w:val="32"/>
        </w:rPr>
      </w:pPr>
      <w:r>
        <w:rPr>
          <w:rFonts w:hint="eastAsia" w:ascii="宋体" w:hAnsi="宋体" w:eastAsia="宋体" w:cs="宋体"/>
          <w:sz w:val="32"/>
          <w:szCs w:val="32"/>
        </w:rPr>
        <w:t>内蒙古自治区特种设备检验研究院二连浩特分院单位202</w:t>
      </w:r>
      <w:r>
        <w:rPr>
          <w:rFonts w:hint="eastAsia" w:ascii="宋体" w:hAnsi="宋体" w:eastAsia="宋体" w:cs="宋体"/>
          <w:sz w:val="32"/>
          <w:szCs w:val="32"/>
          <w:lang w:val="en-US" w:eastAsia="zh-CN"/>
        </w:rPr>
        <w:t>3</w:t>
      </w:r>
      <w:r>
        <w:rPr>
          <w:rFonts w:hint="eastAsia" w:ascii="宋体" w:hAnsi="宋体" w:eastAsia="宋体" w:cs="宋体"/>
          <w:sz w:val="32"/>
          <w:szCs w:val="32"/>
        </w:rPr>
        <w:t>年度收入、支出决算总计</w:t>
      </w:r>
      <w:r>
        <w:rPr>
          <w:rFonts w:hint="eastAsia" w:ascii="宋体" w:hAnsi="宋体" w:eastAsia="宋体" w:cs="宋体"/>
          <w:sz w:val="32"/>
          <w:szCs w:val="32"/>
          <w:u w:val="single"/>
        </w:rPr>
        <w:t>3</w:t>
      </w:r>
      <w:r>
        <w:rPr>
          <w:rFonts w:hint="eastAsia" w:ascii="宋体" w:hAnsi="宋体" w:eastAsia="宋体" w:cs="宋体"/>
          <w:sz w:val="32"/>
          <w:szCs w:val="32"/>
          <w:u w:val="single"/>
          <w:lang w:val="en-US" w:eastAsia="zh-CN"/>
        </w:rPr>
        <w:t>67.68</w:t>
      </w:r>
      <w:r>
        <w:rPr>
          <w:rFonts w:hint="eastAsia" w:ascii="宋体" w:hAnsi="宋体" w:eastAsia="宋体" w:cs="宋体"/>
          <w:sz w:val="32"/>
          <w:szCs w:val="32"/>
        </w:rPr>
        <w:t>万元。与年初预算相比，收、支总计各</w:t>
      </w:r>
      <w:r>
        <w:rPr>
          <w:rFonts w:hint="eastAsia" w:ascii="宋体" w:hAnsi="宋体" w:cs="宋体"/>
          <w:sz w:val="32"/>
          <w:szCs w:val="32"/>
          <w:lang w:eastAsia="zh-CN"/>
        </w:rPr>
        <w:t>减少</w:t>
      </w:r>
      <w:r>
        <w:rPr>
          <w:rFonts w:hint="eastAsia" w:ascii="宋体" w:hAnsi="宋体" w:cs="宋体"/>
          <w:sz w:val="32"/>
          <w:szCs w:val="32"/>
          <w:u w:val="single"/>
          <w:lang w:val="en-US" w:eastAsia="zh-CN"/>
        </w:rPr>
        <w:t>126.87</w:t>
      </w:r>
      <w:r>
        <w:rPr>
          <w:rFonts w:hint="eastAsia" w:ascii="宋体" w:hAnsi="宋体" w:eastAsia="宋体" w:cs="宋体"/>
          <w:sz w:val="32"/>
          <w:szCs w:val="32"/>
        </w:rPr>
        <w:t>万元，</w:t>
      </w:r>
      <w:r>
        <w:rPr>
          <w:rFonts w:hint="eastAsia" w:ascii="宋体" w:hAnsi="宋体" w:cs="宋体"/>
          <w:sz w:val="32"/>
          <w:szCs w:val="32"/>
          <w:lang w:eastAsia="zh-CN"/>
        </w:rPr>
        <w:t>减少</w:t>
      </w:r>
      <w:r>
        <w:rPr>
          <w:rFonts w:hint="eastAsia" w:ascii="宋体" w:hAnsi="宋体" w:cs="宋体"/>
          <w:sz w:val="32"/>
          <w:szCs w:val="32"/>
          <w:u w:val="single"/>
          <w:lang w:val="en-US" w:eastAsia="zh-CN"/>
        </w:rPr>
        <w:t>25.65</w:t>
      </w:r>
      <w:r>
        <w:rPr>
          <w:rFonts w:hint="eastAsia" w:ascii="宋体" w:hAnsi="宋体" w:eastAsia="宋体" w:cs="宋体"/>
          <w:sz w:val="32"/>
          <w:szCs w:val="32"/>
        </w:rPr>
        <w:t>%，变动原因：经营性收入年初预算安排</w:t>
      </w:r>
      <w:r>
        <w:rPr>
          <w:rFonts w:hint="eastAsia" w:ascii="宋体" w:hAnsi="宋体" w:eastAsia="宋体" w:cs="宋体"/>
          <w:sz w:val="32"/>
          <w:szCs w:val="32"/>
          <w:u w:val="single"/>
        </w:rPr>
        <w:t>2</w:t>
      </w:r>
      <w:r>
        <w:rPr>
          <w:rFonts w:hint="eastAsia" w:ascii="宋体" w:hAnsi="宋体" w:eastAsia="宋体" w:cs="宋体"/>
          <w:sz w:val="32"/>
          <w:szCs w:val="32"/>
          <w:u w:val="single"/>
          <w:lang w:val="en-US" w:eastAsia="zh-CN"/>
        </w:rPr>
        <w:t>60</w:t>
      </w:r>
      <w:r>
        <w:rPr>
          <w:rFonts w:hint="eastAsia" w:ascii="宋体" w:hAnsi="宋体" w:cs="宋体"/>
          <w:sz w:val="32"/>
          <w:szCs w:val="32"/>
          <w:u w:val="single"/>
          <w:lang w:val="en-US" w:eastAsia="zh-CN"/>
        </w:rPr>
        <w:t>.00</w:t>
      </w:r>
      <w:r>
        <w:rPr>
          <w:rFonts w:hint="eastAsia" w:ascii="宋体" w:hAnsi="宋体" w:eastAsia="宋体" w:cs="宋体"/>
          <w:sz w:val="32"/>
          <w:szCs w:val="32"/>
        </w:rPr>
        <w:t>万元，实际完成</w:t>
      </w:r>
      <w:r>
        <w:rPr>
          <w:rFonts w:hint="eastAsia" w:ascii="宋体" w:hAnsi="宋体" w:eastAsia="宋体" w:cs="宋体"/>
          <w:sz w:val="32"/>
          <w:szCs w:val="32"/>
          <w:u w:val="single"/>
          <w:lang w:val="en-US" w:eastAsia="zh-CN"/>
        </w:rPr>
        <w:t>131.85</w:t>
      </w:r>
      <w:r>
        <w:rPr>
          <w:rFonts w:hint="eastAsia" w:ascii="宋体" w:hAnsi="宋体" w:eastAsia="宋体" w:cs="宋体"/>
          <w:sz w:val="32"/>
          <w:szCs w:val="32"/>
        </w:rPr>
        <w:t>万元；与上年决算相比，收、支总计各增加</w:t>
      </w:r>
      <w:r>
        <w:rPr>
          <w:rFonts w:hint="eastAsia" w:ascii="宋体" w:hAnsi="宋体" w:cs="宋体"/>
          <w:sz w:val="32"/>
          <w:szCs w:val="32"/>
          <w:u w:val="single"/>
          <w:lang w:val="en-US" w:eastAsia="zh-CN"/>
        </w:rPr>
        <w:t>43.28</w:t>
      </w:r>
      <w:r>
        <w:rPr>
          <w:rFonts w:hint="eastAsia" w:ascii="宋体" w:hAnsi="宋体" w:eastAsia="宋体" w:cs="宋体"/>
          <w:sz w:val="32"/>
          <w:szCs w:val="32"/>
        </w:rPr>
        <w:t>万元，增长</w:t>
      </w:r>
      <w:r>
        <w:rPr>
          <w:rFonts w:hint="eastAsia" w:ascii="宋体" w:hAnsi="宋体" w:cs="宋体"/>
          <w:sz w:val="32"/>
          <w:szCs w:val="32"/>
          <w:u w:val="single"/>
          <w:lang w:val="en-US" w:eastAsia="zh-CN"/>
        </w:rPr>
        <w:t>13.34</w:t>
      </w:r>
      <w:r>
        <w:rPr>
          <w:rFonts w:hint="eastAsia" w:ascii="宋体" w:hAnsi="宋体" w:eastAsia="宋体" w:cs="宋体"/>
          <w:sz w:val="32"/>
          <w:szCs w:val="32"/>
        </w:rPr>
        <w:t>%。其中：</w:t>
      </w:r>
    </w:p>
    <w:p>
      <w:pPr>
        <w:spacing w:beforeAutospacing="1" w:afterAutospacing="1" w:line="560" w:lineRule="atLeast"/>
        <w:ind w:firstLine="643"/>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（一）收入决算总计</w:t>
      </w:r>
      <w:r>
        <w:rPr>
          <w:rFonts w:hint="eastAsia" w:ascii="宋体" w:hAnsi="宋体" w:eastAsia="宋体" w:cs="宋体"/>
          <w:b/>
          <w:bCs/>
          <w:color w:val="auto"/>
          <w:sz w:val="32"/>
          <w:szCs w:val="32"/>
          <w:u w:val="single"/>
          <w:lang w:val="en-US" w:eastAsia="zh-CN"/>
        </w:rPr>
        <w:t>367.68</w:t>
      </w:r>
      <w:r>
        <w:rPr>
          <w:rFonts w:hint="eastAsia" w:ascii="宋体" w:hAnsi="宋体" w:eastAsia="宋体" w:cs="宋体"/>
          <w:b/>
          <w:bCs/>
          <w:color w:val="auto"/>
          <w:sz w:val="32"/>
          <w:szCs w:val="32"/>
        </w:rPr>
        <w:t>万元。包括：</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1.本年收入决算合计</w:t>
      </w:r>
      <w:r>
        <w:rPr>
          <w:rFonts w:hint="eastAsia" w:ascii="宋体" w:hAnsi="宋体" w:eastAsia="宋体" w:cs="宋体"/>
          <w:color w:val="auto"/>
          <w:sz w:val="32"/>
          <w:szCs w:val="32"/>
          <w:u w:val="single"/>
        </w:rPr>
        <w:t>3</w:t>
      </w:r>
      <w:r>
        <w:rPr>
          <w:rFonts w:hint="eastAsia" w:ascii="宋体" w:hAnsi="宋体" w:eastAsia="宋体" w:cs="宋体"/>
          <w:color w:val="auto"/>
          <w:sz w:val="32"/>
          <w:szCs w:val="32"/>
          <w:u w:val="single"/>
          <w:lang w:val="en-US" w:eastAsia="zh-CN"/>
        </w:rPr>
        <w:t>67.68</w:t>
      </w:r>
      <w:r>
        <w:rPr>
          <w:rFonts w:hint="eastAsia" w:ascii="宋体" w:hAnsi="宋体" w:eastAsia="宋体" w:cs="宋体"/>
          <w:color w:val="auto"/>
          <w:sz w:val="32"/>
          <w:szCs w:val="32"/>
        </w:rPr>
        <w:t>万元。与上年决算相比，</w:t>
      </w:r>
      <w:r>
        <w:rPr>
          <w:rFonts w:hint="eastAsia" w:ascii="宋体" w:hAnsi="宋体" w:eastAsia="宋体" w:cs="宋体"/>
          <w:color w:val="auto"/>
          <w:sz w:val="32"/>
          <w:szCs w:val="32"/>
          <w:lang w:eastAsia="zh-CN"/>
        </w:rPr>
        <w:t>增加</w:t>
      </w:r>
      <w:r>
        <w:rPr>
          <w:rFonts w:hint="eastAsia" w:ascii="宋体" w:hAnsi="宋体" w:cs="宋体"/>
          <w:color w:val="auto"/>
          <w:sz w:val="32"/>
          <w:szCs w:val="32"/>
          <w:u w:val="single"/>
          <w:lang w:val="en-US" w:eastAsia="zh-CN"/>
        </w:rPr>
        <w:t>66.22</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增加</w:t>
      </w:r>
      <w:r>
        <w:rPr>
          <w:rFonts w:hint="eastAsia" w:ascii="宋体" w:hAnsi="宋体" w:cs="宋体"/>
          <w:color w:val="auto"/>
          <w:sz w:val="32"/>
          <w:szCs w:val="32"/>
          <w:u w:val="single"/>
          <w:lang w:val="en-US" w:eastAsia="zh-CN"/>
        </w:rPr>
        <w:t>21.97</w:t>
      </w:r>
      <w:r>
        <w:rPr>
          <w:rFonts w:hint="eastAsia" w:ascii="宋体" w:hAnsi="宋体" w:eastAsia="宋体" w:cs="宋体"/>
          <w:color w:val="auto"/>
          <w:sz w:val="32"/>
          <w:szCs w:val="32"/>
        </w:rPr>
        <w:t>%，变动原因：202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年经营收入完成</w:t>
      </w:r>
      <w:r>
        <w:rPr>
          <w:rFonts w:hint="eastAsia" w:ascii="宋体" w:hAnsi="宋体" w:eastAsia="宋体" w:cs="宋体"/>
          <w:color w:val="auto"/>
          <w:sz w:val="32"/>
          <w:szCs w:val="32"/>
          <w:u w:val="single"/>
        </w:rPr>
        <w:t>1</w:t>
      </w:r>
      <w:r>
        <w:rPr>
          <w:rFonts w:hint="eastAsia" w:ascii="宋体" w:hAnsi="宋体" w:eastAsia="宋体" w:cs="宋体"/>
          <w:color w:val="auto"/>
          <w:sz w:val="32"/>
          <w:szCs w:val="32"/>
          <w:u w:val="single"/>
          <w:lang w:val="en-US" w:eastAsia="zh-CN"/>
        </w:rPr>
        <w:t>31.83</w:t>
      </w:r>
      <w:r>
        <w:rPr>
          <w:rFonts w:hint="eastAsia" w:ascii="宋体" w:hAnsi="宋体" w:eastAsia="宋体" w:cs="宋体"/>
          <w:color w:val="auto"/>
          <w:sz w:val="32"/>
          <w:szCs w:val="32"/>
        </w:rPr>
        <w:t>万元。</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2.使用非财政拨款结余</w:t>
      </w:r>
      <w:r>
        <w:rPr>
          <w:rFonts w:hint="eastAsia" w:ascii="宋体" w:hAnsi="宋体" w:cs="宋体"/>
          <w:color w:val="auto"/>
          <w:sz w:val="32"/>
          <w:szCs w:val="32"/>
          <w:lang w:eastAsia="zh-CN"/>
        </w:rPr>
        <w:t>和专用结余</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万元。与上年决算相比，</w:t>
      </w:r>
      <w:r>
        <w:rPr>
          <w:rFonts w:hint="eastAsia" w:ascii="宋体" w:hAnsi="宋体" w:cs="宋体"/>
          <w:color w:val="auto"/>
          <w:sz w:val="32"/>
          <w:szCs w:val="32"/>
          <w:lang w:eastAsia="zh-CN"/>
        </w:rPr>
        <w:t>增加</w:t>
      </w:r>
      <w:r>
        <w:rPr>
          <w:rFonts w:hint="eastAsia" w:ascii="宋体" w:hAnsi="宋体" w:cs="宋体"/>
          <w:color w:val="auto"/>
          <w:sz w:val="32"/>
          <w:szCs w:val="32"/>
          <w:u w:val="single"/>
          <w:lang w:val="en-US" w:eastAsia="zh-CN"/>
        </w:rPr>
        <w:t>0.00</w:t>
      </w:r>
      <w:r>
        <w:rPr>
          <w:rFonts w:hint="eastAsia" w:ascii="宋体" w:hAnsi="宋体" w:eastAsia="宋体" w:cs="宋体"/>
          <w:color w:val="auto"/>
          <w:sz w:val="32"/>
          <w:szCs w:val="32"/>
        </w:rPr>
        <w:t>万元，</w:t>
      </w:r>
      <w:r>
        <w:rPr>
          <w:rFonts w:hint="eastAsia" w:ascii="宋体" w:hAnsi="宋体" w:cs="宋体"/>
          <w:color w:val="auto"/>
          <w:sz w:val="32"/>
          <w:szCs w:val="32"/>
          <w:lang w:eastAsia="zh-CN"/>
        </w:rPr>
        <w:t>增加</w:t>
      </w:r>
      <w:r>
        <w:rPr>
          <w:rFonts w:hint="eastAsia" w:ascii="宋体" w:hAnsi="宋体" w:cs="宋体"/>
          <w:color w:val="auto"/>
          <w:sz w:val="32"/>
          <w:szCs w:val="32"/>
          <w:u w:val="single"/>
          <w:lang w:val="en-US" w:eastAsia="zh-CN"/>
        </w:rPr>
        <w:t>0.00</w:t>
      </w:r>
      <w:r>
        <w:rPr>
          <w:rFonts w:hint="eastAsia" w:ascii="宋体" w:hAnsi="宋体" w:eastAsia="宋体" w:cs="宋体"/>
          <w:color w:val="auto"/>
          <w:sz w:val="32"/>
          <w:szCs w:val="32"/>
        </w:rPr>
        <w:t>%，变动原因：</w:t>
      </w:r>
      <w:r>
        <w:rPr>
          <w:rFonts w:hint="eastAsia" w:ascii="宋体" w:hAnsi="宋体" w:cs="宋体"/>
          <w:color w:val="auto"/>
          <w:sz w:val="32"/>
          <w:szCs w:val="32"/>
          <w:lang w:eastAsia="zh-CN"/>
        </w:rPr>
        <w:t>与上年相比无变化</w:t>
      </w:r>
      <w:r>
        <w:rPr>
          <w:rFonts w:hint="eastAsia" w:ascii="宋体" w:hAnsi="宋体" w:eastAsia="宋体" w:cs="宋体"/>
          <w:color w:val="auto"/>
          <w:sz w:val="32"/>
          <w:szCs w:val="32"/>
        </w:rPr>
        <w:t>。</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3.年初结转和结余</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万元。与上年决算相比</w:t>
      </w:r>
      <w:r>
        <w:rPr>
          <w:rFonts w:hint="eastAsia" w:ascii="宋体" w:hAnsi="宋体" w:cs="宋体"/>
          <w:color w:val="auto"/>
          <w:sz w:val="32"/>
          <w:szCs w:val="32"/>
          <w:lang w:eastAsia="zh-CN"/>
        </w:rPr>
        <w:t>减少</w:t>
      </w:r>
      <w:r>
        <w:rPr>
          <w:rFonts w:hint="eastAsia" w:ascii="宋体" w:hAnsi="宋体" w:eastAsia="宋体" w:cs="宋体"/>
          <w:color w:val="auto"/>
          <w:sz w:val="32"/>
          <w:szCs w:val="32"/>
          <w:u w:val="single"/>
        </w:rPr>
        <w:t>22.94</w:t>
      </w:r>
      <w:r>
        <w:rPr>
          <w:rFonts w:hint="eastAsia" w:ascii="宋体" w:hAnsi="宋体" w:eastAsia="宋体" w:cs="宋体"/>
          <w:color w:val="auto"/>
          <w:sz w:val="32"/>
          <w:szCs w:val="32"/>
        </w:rPr>
        <w:t>万元，</w:t>
      </w:r>
      <w:r>
        <w:rPr>
          <w:rFonts w:hint="eastAsia" w:ascii="宋体" w:hAnsi="宋体" w:cs="宋体"/>
          <w:color w:val="auto"/>
          <w:sz w:val="32"/>
          <w:szCs w:val="32"/>
          <w:lang w:eastAsia="zh-CN"/>
        </w:rPr>
        <w:t>减少</w:t>
      </w:r>
      <w:r>
        <w:rPr>
          <w:rFonts w:hint="eastAsia" w:ascii="宋体" w:hAnsi="宋体" w:cs="宋体"/>
          <w:color w:val="auto"/>
          <w:sz w:val="32"/>
          <w:szCs w:val="32"/>
          <w:u w:val="single"/>
          <w:lang w:val="en-US" w:eastAsia="zh-CN"/>
        </w:rPr>
        <w:t>100.00</w:t>
      </w:r>
      <w:r>
        <w:rPr>
          <w:rFonts w:hint="eastAsia" w:ascii="宋体" w:hAnsi="宋体" w:eastAsia="宋体" w:cs="宋体"/>
          <w:color w:val="auto"/>
          <w:sz w:val="32"/>
          <w:szCs w:val="32"/>
        </w:rPr>
        <w:t>%，变动原因：202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年经营结余</w:t>
      </w:r>
      <w:r>
        <w:rPr>
          <w:rFonts w:hint="eastAsia" w:ascii="宋体" w:hAnsi="宋体" w:cs="宋体"/>
          <w:color w:val="auto"/>
          <w:sz w:val="32"/>
          <w:szCs w:val="32"/>
          <w:u w:val="single"/>
          <w:lang w:val="en-US" w:eastAsia="zh-CN"/>
        </w:rPr>
        <w:t>8.88</w:t>
      </w:r>
      <w:r>
        <w:rPr>
          <w:rFonts w:hint="eastAsia" w:ascii="宋体" w:hAnsi="宋体" w:eastAsia="宋体" w:cs="宋体"/>
          <w:color w:val="auto"/>
          <w:sz w:val="32"/>
          <w:szCs w:val="32"/>
        </w:rPr>
        <w:t>万元。</w:t>
      </w:r>
    </w:p>
    <w:p>
      <w:pPr>
        <w:spacing w:beforeAutospacing="1" w:afterAutospacing="1" w:line="560" w:lineRule="atLeast"/>
        <w:ind w:firstLine="643"/>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（二）支出决算总计</w:t>
      </w:r>
      <w:r>
        <w:rPr>
          <w:rFonts w:hint="eastAsia" w:ascii="宋体" w:hAnsi="宋体" w:cs="宋体"/>
          <w:b/>
          <w:bCs/>
          <w:color w:val="auto"/>
          <w:sz w:val="32"/>
          <w:szCs w:val="32"/>
          <w:u w:val="single"/>
          <w:lang w:val="en-US" w:eastAsia="zh-CN"/>
        </w:rPr>
        <w:t>367.68</w:t>
      </w:r>
      <w:r>
        <w:rPr>
          <w:rFonts w:hint="eastAsia" w:ascii="宋体" w:hAnsi="宋体" w:eastAsia="宋体" w:cs="宋体"/>
          <w:b/>
          <w:bCs/>
          <w:color w:val="auto"/>
          <w:sz w:val="32"/>
          <w:szCs w:val="32"/>
        </w:rPr>
        <w:t>万元。包括：</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1.本年支出决算合计</w:t>
      </w:r>
      <w:r>
        <w:rPr>
          <w:rFonts w:hint="eastAsia" w:ascii="宋体" w:hAnsi="宋体" w:eastAsia="宋体" w:cs="宋体"/>
          <w:color w:val="auto"/>
          <w:sz w:val="32"/>
          <w:szCs w:val="32"/>
          <w:u w:val="single"/>
        </w:rPr>
        <w:t>3</w:t>
      </w:r>
      <w:r>
        <w:rPr>
          <w:rFonts w:hint="eastAsia" w:ascii="宋体" w:hAnsi="宋体" w:eastAsia="宋体" w:cs="宋体"/>
          <w:color w:val="auto"/>
          <w:sz w:val="32"/>
          <w:szCs w:val="32"/>
          <w:u w:val="single"/>
          <w:lang w:val="en-US" w:eastAsia="zh-CN"/>
        </w:rPr>
        <w:t>58.8</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万元。与上年决算相比，增加</w:t>
      </w:r>
      <w:r>
        <w:rPr>
          <w:rFonts w:hint="eastAsia" w:ascii="宋体" w:hAnsi="宋体" w:eastAsia="宋体" w:cs="宋体"/>
          <w:color w:val="auto"/>
          <w:sz w:val="32"/>
          <w:szCs w:val="32"/>
          <w:u w:val="single"/>
          <w:lang w:val="en-US" w:eastAsia="zh-CN"/>
        </w:rPr>
        <w:t>37.0</w:t>
      </w:r>
      <w:r>
        <w:rPr>
          <w:rFonts w:hint="eastAsia" w:ascii="宋体" w:hAnsi="宋体" w:cs="宋体"/>
          <w:color w:val="auto"/>
          <w:sz w:val="32"/>
          <w:szCs w:val="32"/>
          <w:u w:val="single"/>
          <w:lang w:val="en-US" w:eastAsia="zh-CN"/>
        </w:rPr>
        <w:t>8</w:t>
      </w:r>
      <w:r>
        <w:rPr>
          <w:rFonts w:hint="eastAsia" w:ascii="宋体" w:hAnsi="宋体" w:eastAsia="宋体" w:cs="宋体"/>
          <w:color w:val="auto"/>
          <w:sz w:val="32"/>
          <w:szCs w:val="32"/>
        </w:rPr>
        <w:t>万元，增长</w:t>
      </w:r>
      <w:r>
        <w:rPr>
          <w:rFonts w:hint="eastAsia" w:ascii="宋体" w:hAnsi="宋体" w:cs="宋体"/>
          <w:color w:val="auto"/>
          <w:sz w:val="32"/>
          <w:szCs w:val="32"/>
          <w:u w:val="single"/>
          <w:lang w:val="en-US" w:eastAsia="zh-CN"/>
        </w:rPr>
        <w:t>11.52</w:t>
      </w:r>
      <w:r>
        <w:rPr>
          <w:rFonts w:hint="eastAsia" w:ascii="宋体" w:hAnsi="宋体" w:eastAsia="宋体" w:cs="宋体"/>
          <w:color w:val="auto"/>
          <w:sz w:val="32"/>
          <w:szCs w:val="32"/>
        </w:rPr>
        <w:t>%，变动原因：202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w:t>
      </w:r>
      <w:r>
        <w:rPr>
          <w:rFonts w:hint="eastAsia" w:ascii="宋体" w:hAnsi="宋体" w:eastAsia="宋体" w:cs="宋体"/>
          <w:color w:val="auto"/>
          <w:sz w:val="32"/>
          <w:szCs w:val="32"/>
          <w:lang w:eastAsia="zh-CN"/>
        </w:rPr>
        <w:t>经营</w:t>
      </w:r>
      <w:r>
        <w:rPr>
          <w:rFonts w:hint="eastAsia" w:ascii="宋体" w:hAnsi="宋体" w:eastAsia="宋体" w:cs="宋体"/>
          <w:color w:val="auto"/>
          <w:sz w:val="32"/>
          <w:szCs w:val="32"/>
        </w:rPr>
        <w:t>支出了</w:t>
      </w:r>
      <w:r>
        <w:rPr>
          <w:rFonts w:hint="eastAsia" w:ascii="宋体" w:hAnsi="宋体" w:eastAsia="宋体" w:cs="宋体"/>
          <w:color w:val="auto"/>
          <w:sz w:val="32"/>
          <w:szCs w:val="32"/>
          <w:u w:val="single"/>
          <w:lang w:val="en-US" w:eastAsia="zh-CN"/>
        </w:rPr>
        <w:t>122.95</w:t>
      </w:r>
      <w:r>
        <w:rPr>
          <w:rFonts w:hint="eastAsia" w:ascii="宋体" w:hAnsi="宋体" w:eastAsia="宋体" w:cs="宋体"/>
          <w:color w:val="auto"/>
          <w:sz w:val="32"/>
          <w:szCs w:val="32"/>
        </w:rPr>
        <w:t>万元。</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2.结余分配</w:t>
      </w:r>
      <w:r>
        <w:rPr>
          <w:rFonts w:hint="eastAsia" w:ascii="宋体" w:hAnsi="宋体" w:eastAsia="宋体" w:cs="宋体"/>
          <w:color w:val="auto"/>
          <w:sz w:val="32"/>
          <w:szCs w:val="32"/>
          <w:u w:val="single"/>
          <w:lang w:val="en-US" w:eastAsia="zh-CN"/>
        </w:rPr>
        <w:t>8.88</w:t>
      </w:r>
      <w:r>
        <w:rPr>
          <w:rFonts w:hint="eastAsia" w:ascii="宋体" w:hAnsi="宋体" w:eastAsia="宋体" w:cs="宋体"/>
          <w:color w:val="auto"/>
          <w:sz w:val="32"/>
          <w:szCs w:val="32"/>
        </w:rPr>
        <w:t>万元。结余分配事项：为经营性结余。与上年决算相比，</w:t>
      </w:r>
      <w:r>
        <w:rPr>
          <w:rFonts w:hint="eastAsia" w:ascii="宋体" w:hAnsi="宋体" w:eastAsia="宋体" w:cs="宋体"/>
          <w:color w:val="auto"/>
          <w:sz w:val="32"/>
          <w:szCs w:val="32"/>
          <w:lang w:eastAsia="zh-CN"/>
        </w:rPr>
        <w:t>增加</w:t>
      </w:r>
      <w:r>
        <w:rPr>
          <w:rFonts w:hint="eastAsia" w:ascii="宋体" w:hAnsi="宋体" w:eastAsia="宋体" w:cs="宋体"/>
          <w:color w:val="auto"/>
          <w:sz w:val="32"/>
          <w:szCs w:val="32"/>
          <w:u w:val="single"/>
          <w:lang w:val="en-US" w:eastAsia="zh-CN"/>
        </w:rPr>
        <w:t>6.2</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增加</w:t>
      </w:r>
      <w:r>
        <w:rPr>
          <w:rFonts w:hint="eastAsia" w:ascii="宋体" w:hAnsi="宋体" w:cs="宋体"/>
          <w:color w:val="auto"/>
          <w:sz w:val="32"/>
          <w:szCs w:val="32"/>
          <w:u w:val="single"/>
          <w:lang w:val="en-US" w:eastAsia="zh-CN"/>
        </w:rPr>
        <w:t>231.29</w:t>
      </w:r>
      <w:r>
        <w:rPr>
          <w:rFonts w:hint="eastAsia" w:ascii="宋体" w:hAnsi="宋体" w:eastAsia="宋体" w:cs="宋体"/>
          <w:color w:val="auto"/>
          <w:sz w:val="32"/>
          <w:szCs w:val="32"/>
        </w:rPr>
        <w:t>%，变动原因：202</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年经营性结余</w:t>
      </w:r>
      <w:r>
        <w:rPr>
          <w:rFonts w:hint="eastAsia" w:ascii="宋体" w:hAnsi="宋体" w:eastAsia="宋体" w:cs="宋体"/>
          <w:color w:val="auto"/>
          <w:sz w:val="32"/>
          <w:szCs w:val="32"/>
          <w:u w:val="single"/>
          <w:lang w:val="en-US" w:eastAsia="zh-CN"/>
        </w:rPr>
        <w:t>2.68</w:t>
      </w:r>
      <w:r>
        <w:rPr>
          <w:rFonts w:hint="eastAsia" w:ascii="宋体" w:hAnsi="宋体" w:eastAsia="宋体" w:cs="宋体"/>
          <w:color w:val="auto"/>
          <w:sz w:val="32"/>
          <w:szCs w:val="32"/>
        </w:rPr>
        <w:t>万元。</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3.年末结转和结余</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万元。结转和结余事项：财政拨款结余为零。与上年决算相比，增加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万元，增长</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%，变动原因：财政拨款结余为零。</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二、收入决算情况说明</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年度本年收入决算合计</w:t>
      </w:r>
      <w:r>
        <w:rPr>
          <w:rFonts w:hint="eastAsia" w:ascii="宋体" w:hAnsi="宋体" w:eastAsia="宋体" w:cs="宋体"/>
          <w:color w:val="auto"/>
          <w:sz w:val="32"/>
          <w:szCs w:val="32"/>
          <w:u w:val="single"/>
        </w:rPr>
        <w:t>3</w:t>
      </w:r>
      <w:r>
        <w:rPr>
          <w:rFonts w:hint="eastAsia" w:ascii="宋体" w:hAnsi="宋体" w:eastAsia="宋体" w:cs="宋体"/>
          <w:color w:val="auto"/>
          <w:sz w:val="32"/>
          <w:szCs w:val="32"/>
          <w:u w:val="single"/>
          <w:lang w:val="en-US" w:eastAsia="zh-CN"/>
        </w:rPr>
        <w:t>67.68</w:t>
      </w:r>
      <w:r>
        <w:rPr>
          <w:rFonts w:hint="eastAsia" w:ascii="宋体" w:hAnsi="宋体" w:eastAsia="宋体" w:cs="宋体"/>
          <w:color w:val="auto"/>
          <w:sz w:val="32"/>
          <w:szCs w:val="32"/>
        </w:rPr>
        <w:t>万元，其中：</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本年一般公共预算财政拨款收入</w:t>
      </w:r>
      <w:r>
        <w:rPr>
          <w:rFonts w:hint="eastAsia" w:ascii="宋体" w:hAnsi="宋体" w:eastAsia="宋体" w:cs="宋体"/>
          <w:color w:val="auto"/>
          <w:sz w:val="32"/>
          <w:szCs w:val="32"/>
          <w:u w:val="single"/>
          <w:lang w:val="en-US" w:eastAsia="zh-CN"/>
        </w:rPr>
        <w:t>235.8</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lang w:val="en-US" w:eastAsia="zh-CN"/>
        </w:rPr>
        <w:t>64</w:t>
      </w:r>
      <w:r>
        <w:rPr>
          <w:rFonts w:hint="eastAsia" w:ascii="宋体" w:hAnsi="宋体" w:cs="宋体"/>
          <w:color w:val="auto"/>
          <w:sz w:val="32"/>
          <w:szCs w:val="32"/>
          <w:u w:val="single"/>
          <w:lang w:val="en-US" w:eastAsia="zh-CN"/>
        </w:rPr>
        <w:t>.15</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本年政府性基金预算财政拨款收入</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本年国有资本经营预算财政拨款收入</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本年上级补助收入</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本年事业收入</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本年经营收入</w:t>
      </w:r>
      <w:r>
        <w:rPr>
          <w:rFonts w:hint="eastAsia" w:ascii="宋体" w:hAnsi="宋体" w:eastAsia="宋体" w:cs="宋体"/>
          <w:color w:val="auto"/>
          <w:sz w:val="32"/>
          <w:szCs w:val="32"/>
          <w:u w:val="single"/>
          <w:lang w:val="en-US" w:eastAsia="zh-CN"/>
        </w:rPr>
        <w:t>131.83</w:t>
      </w:r>
      <w:r>
        <w:rPr>
          <w:rFonts w:hint="eastAsia" w:ascii="宋体" w:hAnsi="宋体" w:eastAsia="宋体" w:cs="宋体"/>
          <w:color w:val="auto"/>
          <w:sz w:val="32"/>
          <w:szCs w:val="32"/>
        </w:rPr>
        <w:t>万元，占</w:t>
      </w:r>
      <w:r>
        <w:rPr>
          <w:rFonts w:hint="eastAsia" w:ascii="宋体" w:hAnsi="宋体" w:cs="宋体"/>
          <w:color w:val="auto"/>
          <w:sz w:val="32"/>
          <w:szCs w:val="32"/>
          <w:u w:val="single"/>
          <w:lang w:val="en-US" w:eastAsia="zh-CN"/>
        </w:rPr>
        <w:t>35.85</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本年附属单位上缴收入</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本年其他收入</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w:t>
      </w:r>
    </w:p>
    <w:p>
      <w:pPr>
        <w:spacing w:beforeAutospacing="1" w:afterAutospacing="1" w:line="560" w:lineRule="atLeast"/>
        <w:ind w:firstLine="640"/>
        <w:jc w:val="center"/>
        <w:rPr>
          <w:rFonts w:hint="eastAsia" w:ascii="宋体" w:hAnsi="宋体" w:eastAsia="宋体" w:cs="宋体"/>
          <w:sz w:val="32"/>
          <w:szCs w:val="32"/>
        </w:rPr>
      </w:pPr>
      <w:r>
        <w:rPr>
          <w:rFonts w:hint="eastAsia" w:ascii="宋体" w:hAnsi="宋体" w:eastAsia="宋体" w:cs="宋体"/>
          <w:sz w:val="32"/>
          <w:szCs w:val="32"/>
        </w:rPr>
        <w:t>图1.收入决算图</w:t>
      </w:r>
    </w:p>
    <w:p>
      <w:pPr>
        <w:pStyle w:val="2"/>
      </w:pPr>
    </w:p>
    <w:p>
      <w:pPr>
        <w:pStyle w:val="2"/>
        <w:rPr>
          <w:rFonts w:hint="default"/>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pPr>
    </w:p>
    <w:p>
      <w:pPr>
        <w:widowControl/>
        <w:numPr>
          <w:ilvl w:val="0"/>
          <w:numId w:val="1"/>
        </w:numPr>
        <w:spacing w:before="240" w:after="240"/>
        <w:ind w:left="0" w:leftChars="0" w:firstLine="0" w:firstLineChars="0"/>
        <w:jc w:val="left"/>
        <w:rPr>
          <w:rFonts w:hint="eastAsia" w:ascii="宋体" w:hAnsi="宋体" w:eastAsia="宋体" w:cs="宋体"/>
          <w:kern w:val="0"/>
          <w:sz w:val="32"/>
          <w:szCs w:val="32"/>
        </w:rPr>
      </w:pPr>
      <w:r>
        <w:rPr>
          <w:rFonts w:hint="eastAsia" w:ascii="宋体" w:hAnsi="宋体" w:eastAsia="宋体" w:cs="宋体"/>
          <w:kern w:val="0"/>
          <w:sz w:val="32"/>
          <w:szCs w:val="32"/>
        </w:rPr>
        <w:t>支出决算情况说明</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年度本年支出决算合计</w:t>
      </w:r>
      <w:r>
        <w:rPr>
          <w:rFonts w:hint="eastAsia" w:ascii="宋体" w:hAnsi="宋体" w:eastAsia="宋体" w:cs="宋体"/>
          <w:color w:val="auto"/>
          <w:sz w:val="32"/>
          <w:szCs w:val="32"/>
          <w:u w:val="single"/>
        </w:rPr>
        <w:t>3</w:t>
      </w:r>
      <w:r>
        <w:rPr>
          <w:rFonts w:hint="eastAsia" w:ascii="宋体" w:hAnsi="宋体" w:eastAsia="宋体" w:cs="宋体"/>
          <w:color w:val="auto"/>
          <w:sz w:val="32"/>
          <w:szCs w:val="32"/>
          <w:u w:val="single"/>
          <w:lang w:val="en-US" w:eastAsia="zh-CN"/>
        </w:rPr>
        <w:t>58.80</w:t>
      </w:r>
      <w:r>
        <w:rPr>
          <w:rFonts w:hint="eastAsia" w:ascii="宋体" w:hAnsi="宋体" w:eastAsia="宋体" w:cs="宋体"/>
          <w:color w:val="auto"/>
          <w:sz w:val="32"/>
          <w:szCs w:val="32"/>
        </w:rPr>
        <w:t>万元，其中：</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本年基本支出</w:t>
      </w:r>
      <w:r>
        <w:rPr>
          <w:rFonts w:hint="eastAsia" w:ascii="宋体" w:hAnsi="宋体" w:eastAsia="宋体" w:cs="宋体"/>
          <w:color w:val="auto"/>
          <w:sz w:val="32"/>
          <w:szCs w:val="32"/>
          <w:u w:val="single"/>
          <w:lang w:val="en-US" w:eastAsia="zh-CN"/>
        </w:rPr>
        <w:t>170.05</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lang w:val="en-US" w:eastAsia="zh-CN"/>
        </w:rPr>
        <w:t>47</w:t>
      </w:r>
      <w:r>
        <w:rPr>
          <w:rFonts w:hint="eastAsia" w:ascii="宋体" w:hAnsi="宋体" w:cs="宋体"/>
          <w:color w:val="auto"/>
          <w:sz w:val="32"/>
          <w:szCs w:val="32"/>
          <w:u w:val="single"/>
          <w:lang w:val="en-US" w:eastAsia="zh-CN"/>
        </w:rPr>
        <w:t>.39</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本年项目支出</w:t>
      </w:r>
      <w:r>
        <w:rPr>
          <w:rFonts w:hint="eastAsia" w:ascii="宋体" w:hAnsi="宋体" w:eastAsia="宋体" w:cs="宋体"/>
          <w:color w:val="auto"/>
          <w:sz w:val="32"/>
          <w:szCs w:val="32"/>
          <w:u w:val="single"/>
          <w:lang w:val="en-US" w:eastAsia="zh-CN"/>
        </w:rPr>
        <w:t>65.8</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lang w:val="en-US" w:eastAsia="zh-CN"/>
        </w:rPr>
        <w:t>18</w:t>
      </w:r>
      <w:r>
        <w:rPr>
          <w:rFonts w:hint="eastAsia" w:ascii="宋体" w:hAnsi="宋体" w:cs="宋体"/>
          <w:color w:val="auto"/>
          <w:sz w:val="32"/>
          <w:szCs w:val="32"/>
          <w:u w:val="single"/>
          <w:lang w:val="en-US" w:eastAsia="zh-CN"/>
        </w:rPr>
        <w:t>.34</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本年上缴上级支出</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本年经营支出</w:t>
      </w:r>
      <w:r>
        <w:rPr>
          <w:rFonts w:hint="eastAsia" w:ascii="宋体" w:hAnsi="宋体" w:eastAsia="宋体" w:cs="宋体"/>
          <w:color w:val="auto"/>
          <w:sz w:val="32"/>
          <w:szCs w:val="32"/>
          <w:u w:val="single"/>
        </w:rPr>
        <w:t>1</w:t>
      </w:r>
      <w:r>
        <w:rPr>
          <w:rFonts w:hint="eastAsia" w:ascii="宋体" w:hAnsi="宋体" w:eastAsia="宋体" w:cs="宋体"/>
          <w:color w:val="auto"/>
          <w:sz w:val="32"/>
          <w:szCs w:val="32"/>
          <w:u w:val="single"/>
          <w:lang w:val="en-US" w:eastAsia="zh-CN"/>
        </w:rPr>
        <w:t>22.95</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3</w:t>
      </w:r>
      <w:r>
        <w:rPr>
          <w:rFonts w:hint="eastAsia" w:ascii="宋体" w:hAnsi="宋体" w:eastAsia="宋体" w:cs="宋体"/>
          <w:color w:val="auto"/>
          <w:sz w:val="32"/>
          <w:szCs w:val="32"/>
          <w:u w:val="single"/>
          <w:lang w:val="en-US" w:eastAsia="zh-CN"/>
        </w:rPr>
        <w:t>4</w:t>
      </w:r>
      <w:r>
        <w:rPr>
          <w:rFonts w:hint="eastAsia" w:ascii="宋体" w:hAnsi="宋体" w:cs="宋体"/>
          <w:color w:val="auto"/>
          <w:sz w:val="32"/>
          <w:szCs w:val="32"/>
          <w:u w:val="single"/>
          <w:lang w:val="en-US" w:eastAsia="zh-CN"/>
        </w:rPr>
        <w:t>.27</w:t>
      </w:r>
      <w:r>
        <w:rPr>
          <w:rFonts w:hint="eastAsia" w:ascii="宋体" w:hAnsi="宋体" w:eastAsia="宋体" w:cs="宋体"/>
          <w:color w:val="auto"/>
          <w:sz w:val="32"/>
          <w:szCs w:val="32"/>
        </w:rPr>
        <w:t>%；</w:t>
      </w:r>
    </w:p>
    <w:p>
      <w:pPr>
        <w:spacing w:line="560" w:lineRule="atLeast"/>
        <w:ind w:firstLine="641"/>
        <w:jc w:val="both"/>
        <w:rPr>
          <w:rFonts w:hint="eastAsia" w:ascii="宋体" w:hAnsi="宋体" w:eastAsia="宋体" w:cs="宋体"/>
          <w:color w:val="auto"/>
          <w:sz w:val="32"/>
          <w:szCs w:val="32"/>
        </w:rPr>
      </w:pPr>
      <w:r>
        <w:rPr>
          <w:rFonts w:hint="eastAsia" w:ascii="宋体" w:hAnsi="宋体" w:eastAsia="宋体" w:cs="宋体"/>
          <w:color w:val="auto"/>
          <w:sz w:val="32"/>
          <w:szCs w:val="32"/>
        </w:rPr>
        <w:t>本年对附属单位补助支出</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w:t>
      </w:r>
    </w:p>
    <w:p>
      <w:pPr>
        <w:spacing w:beforeAutospacing="1" w:afterAutospacing="1" w:line="560" w:lineRule="atLeast"/>
        <w:jc w:val="center"/>
        <w:rPr>
          <w:rFonts w:hint="eastAsia" w:ascii="宋体" w:hAnsi="宋体" w:eastAsia="宋体" w:cs="宋体"/>
          <w:sz w:val="32"/>
          <w:szCs w:val="32"/>
        </w:rPr>
      </w:pPr>
      <w:r>
        <w:rPr>
          <w:rFonts w:hint="eastAsia" w:ascii="宋体" w:hAnsi="宋体" w:eastAsia="宋体" w:cs="宋体"/>
          <w:sz w:val="32"/>
          <w:szCs w:val="32"/>
        </w:rPr>
        <w:t>图2.支出决算图</w:t>
      </w:r>
    </w:p>
    <w:p>
      <w:pPr>
        <w:pStyle w:val="2"/>
        <w:rPr>
          <w:color w:val="auto"/>
        </w:rPr>
      </w:pPr>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numPr>
          <w:ilvl w:val="0"/>
          <w:numId w:val="0"/>
        </w:numPr>
        <w:spacing w:before="240" w:after="240"/>
        <w:ind w:leftChars="0"/>
        <w:jc w:val="left"/>
        <w:rPr>
          <w:rFonts w:hint="eastAsia" w:ascii="宋体" w:hAnsi="宋体" w:eastAsia="宋体" w:cs="宋体"/>
          <w:kern w:val="0"/>
          <w:sz w:val="32"/>
          <w:szCs w:val="32"/>
        </w:rPr>
      </w:pPr>
      <w:r>
        <w:rPr>
          <w:rFonts w:hint="eastAsia" w:ascii="宋体" w:hAnsi="宋体" w:cs="宋体"/>
          <w:kern w:val="0"/>
          <w:sz w:val="32"/>
          <w:szCs w:val="32"/>
          <w:lang w:eastAsia="zh-CN"/>
        </w:rPr>
        <w:t>四、</w:t>
      </w:r>
      <w:r>
        <w:rPr>
          <w:rFonts w:hint="eastAsia" w:ascii="宋体" w:hAnsi="宋体" w:eastAsia="宋体" w:cs="宋体"/>
          <w:kern w:val="0"/>
          <w:sz w:val="32"/>
          <w:szCs w:val="32"/>
        </w:rPr>
        <w:t>财政拨款收入支出决算总体情况说明</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年度财政拨款收入、支出决算总计</w:t>
      </w:r>
      <w:r>
        <w:rPr>
          <w:rFonts w:hint="eastAsia" w:ascii="宋体" w:hAnsi="宋体" w:eastAsia="宋体" w:cs="宋体"/>
          <w:color w:val="auto"/>
          <w:sz w:val="32"/>
          <w:szCs w:val="32"/>
          <w:u w:val="single"/>
        </w:rPr>
        <w:t>2</w:t>
      </w:r>
      <w:r>
        <w:rPr>
          <w:rFonts w:hint="eastAsia" w:ascii="宋体" w:hAnsi="宋体" w:eastAsia="宋体" w:cs="宋体"/>
          <w:color w:val="auto"/>
          <w:sz w:val="32"/>
          <w:szCs w:val="32"/>
          <w:u w:val="single"/>
          <w:lang w:val="en-US" w:eastAsia="zh-CN"/>
        </w:rPr>
        <w:t>35.85</w:t>
      </w:r>
      <w:r>
        <w:rPr>
          <w:rFonts w:hint="eastAsia" w:ascii="宋体" w:hAnsi="宋体" w:eastAsia="宋体" w:cs="宋体"/>
          <w:color w:val="auto"/>
          <w:sz w:val="32"/>
          <w:szCs w:val="32"/>
        </w:rPr>
        <w:t>万元，与年初预算相比，收、支总计各增加</w:t>
      </w:r>
      <w:r>
        <w:rPr>
          <w:rFonts w:hint="eastAsia" w:ascii="宋体" w:hAnsi="宋体" w:eastAsia="宋体" w:cs="宋体"/>
          <w:color w:val="auto"/>
          <w:sz w:val="32"/>
          <w:szCs w:val="32"/>
          <w:u w:val="single"/>
          <w:lang w:val="en-US" w:eastAsia="zh-CN"/>
        </w:rPr>
        <w:t>1</w:t>
      </w:r>
      <w:r>
        <w:rPr>
          <w:rFonts w:hint="eastAsia" w:ascii="宋体" w:hAnsi="宋体" w:cs="宋体"/>
          <w:color w:val="auto"/>
          <w:sz w:val="32"/>
          <w:szCs w:val="32"/>
          <w:u w:val="single"/>
          <w:lang w:val="en-US" w:eastAsia="zh-CN"/>
        </w:rPr>
        <w:t>.30</w:t>
      </w:r>
      <w:r>
        <w:rPr>
          <w:rFonts w:hint="eastAsia" w:ascii="宋体" w:hAnsi="宋体" w:eastAsia="宋体" w:cs="宋体"/>
          <w:color w:val="auto"/>
          <w:sz w:val="32"/>
          <w:szCs w:val="32"/>
        </w:rPr>
        <w:t>万元，增长</w:t>
      </w:r>
      <w:r>
        <w:rPr>
          <w:rFonts w:hint="eastAsia" w:ascii="宋体" w:hAnsi="宋体" w:cs="宋体"/>
          <w:color w:val="auto"/>
          <w:sz w:val="32"/>
          <w:szCs w:val="32"/>
          <w:u w:val="single"/>
          <w:lang w:val="en-US" w:eastAsia="zh-CN"/>
        </w:rPr>
        <w:t>0.55</w:t>
      </w:r>
      <w:r>
        <w:rPr>
          <w:rFonts w:hint="eastAsia" w:ascii="宋体" w:hAnsi="宋体" w:eastAsia="宋体" w:cs="宋体"/>
          <w:color w:val="auto"/>
          <w:sz w:val="32"/>
          <w:szCs w:val="32"/>
        </w:rPr>
        <w:t>%，变动原因：有202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年经营性</w:t>
      </w:r>
      <w:r>
        <w:rPr>
          <w:rFonts w:hint="eastAsia" w:ascii="宋体" w:hAnsi="宋体" w:eastAsia="宋体" w:cs="宋体"/>
          <w:color w:val="auto"/>
          <w:sz w:val="32"/>
          <w:szCs w:val="32"/>
          <w:lang w:eastAsia="zh-CN"/>
        </w:rPr>
        <w:t>收入</w:t>
      </w:r>
      <w:r>
        <w:rPr>
          <w:rFonts w:hint="eastAsia" w:ascii="宋体" w:hAnsi="宋体" w:eastAsia="宋体" w:cs="宋体"/>
          <w:color w:val="auto"/>
          <w:sz w:val="32"/>
          <w:szCs w:val="32"/>
          <w:u w:val="single"/>
          <w:lang w:val="en-US" w:eastAsia="zh-CN"/>
        </w:rPr>
        <w:t>131.83</w:t>
      </w:r>
      <w:r>
        <w:rPr>
          <w:rFonts w:hint="eastAsia" w:ascii="宋体" w:hAnsi="宋体" w:eastAsia="宋体" w:cs="宋体"/>
          <w:color w:val="auto"/>
          <w:sz w:val="32"/>
          <w:szCs w:val="32"/>
        </w:rPr>
        <w:t>万元；与上年决算相比，收、支总计各增加</w:t>
      </w:r>
      <w:r>
        <w:rPr>
          <w:rFonts w:hint="eastAsia" w:ascii="宋体" w:hAnsi="宋体" w:eastAsia="宋体" w:cs="宋体"/>
          <w:color w:val="auto"/>
          <w:sz w:val="32"/>
          <w:szCs w:val="32"/>
          <w:u w:val="single"/>
          <w:lang w:val="en-US" w:eastAsia="zh-CN"/>
        </w:rPr>
        <w:t>17.4</w:t>
      </w:r>
      <w:r>
        <w:rPr>
          <w:rFonts w:hint="eastAsia" w:ascii="宋体" w:hAnsi="宋体" w:cs="宋体"/>
          <w:color w:val="auto"/>
          <w:sz w:val="32"/>
          <w:szCs w:val="32"/>
          <w:u w:val="single"/>
          <w:lang w:val="en-US" w:eastAsia="zh-CN"/>
        </w:rPr>
        <w:t>6</w:t>
      </w:r>
      <w:r>
        <w:rPr>
          <w:rFonts w:hint="eastAsia" w:ascii="宋体" w:hAnsi="宋体" w:eastAsia="宋体" w:cs="宋体"/>
          <w:color w:val="auto"/>
          <w:sz w:val="32"/>
          <w:szCs w:val="32"/>
        </w:rPr>
        <w:t>万元，增长</w:t>
      </w:r>
      <w:r>
        <w:rPr>
          <w:rFonts w:hint="eastAsia" w:ascii="宋体" w:hAnsi="宋体" w:eastAsia="宋体" w:cs="宋体"/>
          <w:color w:val="auto"/>
          <w:sz w:val="32"/>
          <w:szCs w:val="32"/>
          <w:u w:val="single"/>
          <w:lang w:val="en-US" w:eastAsia="zh-CN"/>
        </w:rPr>
        <w:t>7.</w:t>
      </w:r>
      <w:r>
        <w:rPr>
          <w:rFonts w:hint="eastAsia" w:ascii="宋体" w:hAnsi="宋体" w:cs="宋体"/>
          <w:color w:val="auto"/>
          <w:sz w:val="32"/>
          <w:szCs w:val="32"/>
          <w:u w:val="single"/>
          <w:lang w:val="en-US" w:eastAsia="zh-CN"/>
        </w:rPr>
        <w:t>99</w:t>
      </w:r>
      <w:r>
        <w:rPr>
          <w:rFonts w:hint="eastAsia" w:ascii="宋体" w:hAnsi="宋体" w:eastAsia="宋体" w:cs="宋体"/>
          <w:color w:val="auto"/>
          <w:sz w:val="32"/>
          <w:szCs w:val="32"/>
        </w:rPr>
        <w:t>%，变动原因：有经营性收入结余</w:t>
      </w:r>
      <w:r>
        <w:rPr>
          <w:rFonts w:hint="eastAsia" w:ascii="宋体" w:hAnsi="宋体" w:eastAsia="宋体" w:cs="宋体"/>
          <w:color w:val="auto"/>
          <w:sz w:val="32"/>
          <w:szCs w:val="32"/>
          <w:u w:val="single"/>
          <w:lang w:val="en-US" w:eastAsia="zh-CN"/>
        </w:rPr>
        <w:t>8.88</w:t>
      </w:r>
      <w:r>
        <w:rPr>
          <w:rFonts w:hint="eastAsia" w:ascii="宋体" w:hAnsi="宋体" w:eastAsia="宋体" w:cs="宋体"/>
          <w:color w:val="auto"/>
          <w:sz w:val="32"/>
          <w:szCs w:val="32"/>
        </w:rPr>
        <w:t>万元。</w:t>
      </w:r>
    </w:p>
    <w:p>
      <w:pPr>
        <w:widowControl/>
        <w:numPr>
          <w:ilvl w:val="0"/>
          <w:numId w:val="1"/>
        </w:numPr>
        <w:spacing w:before="240" w:after="240"/>
        <w:ind w:left="0" w:leftChars="0" w:firstLine="0" w:firstLineChars="0"/>
        <w:jc w:val="left"/>
        <w:rPr>
          <w:rFonts w:hint="eastAsia" w:ascii="宋体" w:hAnsi="宋体" w:eastAsia="宋体" w:cs="宋体"/>
          <w:kern w:val="0"/>
          <w:sz w:val="32"/>
          <w:szCs w:val="32"/>
        </w:rPr>
      </w:pPr>
      <w:r>
        <w:rPr>
          <w:rFonts w:hint="eastAsia" w:ascii="宋体" w:hAnsi="宋体" w:eastAsia="宋体" w:cs="宋体"/>
          <w:kern w:val="0"/>
          <w:sz w:val="32"/>
          <w:szCs w:val="32"/>
        </w:rPr>
        <w:t>一般公共预算财政拨款支出决算情况说明</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年度一般公共预算财政拨款支出决算</w:t>
      </w:r>
      <w:r>
        <w:rPr>
          <w:rFonts w:hint="eastAsia" w:ascii="宋体" w:hAnsi="宋体" w:eastAsia="宋体" w:cs="宋体"/>
          <w:color w:val="auto"/>
          <w:sz w:val="32"/>
          <w:szCs w:val="32"/>
          <w:u w:val="single"/>
        </w:rPr>
        <w:t>2</w:t>
      </w:r>
      <w:r>
        <w:rPr>
          <w:rFonts w:hint="eastAsia" w:ascii="宋体" w:hAnsi="宋体" w:eastAsia="宋体" w:cs="宋体"/>
          <w:color w:val="auto"/>
          <w:sz w:val="32"/>
          <w:szCs w:val="32"/>
          <w:u w:val="single"/>
          <w:lang w:val="en-US" w:eastAsia="zh-CN"/>
        </w:rPr>
        <w:t>35.85</w:t>
      </w:r>
      <w:r>
        <w:rPr>
          <w:rFonts w:hint="eastAsia" w:ascii="宋体" w:hAnsi="宋体" w:eastAsia="宋体" w:cs="宋体"/>
          <w:color w:val="auto"/>
          <w:sz w:val="32"/>
          <w:szCs w:val="32"/>
        </w:rPr>
        <w:t>万元。与年初预算</w:t>
      </w:r>
      <w:r>
        <w:rPr>
          <w:rFonts w:hint="eastAsia" w:ascii="宋体" w:hAnsi="宋体" w:eastAsia="宋体" w:cs="宋体"/>
          <w:color w:val="auto"/>
          <w:sz w:val="32"/>
          <w:szCs w:val="32"/>
          <w:u w:val="single"/>
          <w:lang w:val="en-US" w:eastAsia="zh-CN"/>
        </w:rPr>
        <w:t>234.55</w:t>
      </w:r>
      <w:r>
        <w:rPr>
          <w:rFonts w:hint="eastAsia" w:ascii="宋体" w:hAnsi="宋体" w:eastAsia="宋体" w:cs="宋体"/>
          <w:color w:val="auto"/>
          <w:sz w:val="32"/>
          <w:szCs w:val="32"/>
        </w:rPr>
        <w:t>万元相比，完成年初预算的</w:t>
      </w:r>
      <w:r>
        <w:rPr>
          <w:rFonts w:hint="eastAsia" w:ascii="宋体" w:hAnsi="宋体" w:eastAsia="宋体" w:cs="宋体"/>
          <w:color w:val="auto"/>
          <w:sz w:val="32"/>
          <w:szCs w:val="32"/>
          <w:u w:val="single"/>
          <w:lang w:val="en-US" w:eastAsia="zh-CN"/>
        </w:rPr>
        <w:t>100</w:t>
      </w:r>
      <w:r>
        <w:rPr>
          <w:rFonts w:hint="eastAsia" w:ascii="宋体" w:hAnsi="宋体" w:cs="宋体"/>
          <w:color w:val="auto"/>
          <w:sz w:val="32"/>
          <w:szCs w:val="32"/>
          <w:u w:val="single"/>
          <w:lang w:val="en-US" w:eastAsia="zh-CN"/>
        </w:rPr>
        <w:t>.55</w:t>
      </w:r>
      <w:r>
        <w:rPr>
          <w:rFonts w:hint="eastAsia" w:ascii="宋体" w:hAnsi="宋体" w:eastAsia="宋体" w:cs="宋体"/>
          <w:color w:val="auto"/>
          <w:sz w:val="32"/>
          <w:szCs w:val="32"/>
        </w:rPr>
        <w:t>%。其中：</w:t>
      </w:r>
    </w:p>
    <w:p>
      <w:pPr>
        <w:spacing w:before="100" w:beforeAutospacing="1" w:after="100" w:afterAutospacing="1" w:line="560" w:lineRule="atLeast"/>
        <w:ind w:firstLine="643"/>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（一）一般公共服务（类）</w:t>
      </w:r>
    </w:p>
    <w:p>
      <w:pPr>
        <w:spacing w:before="100" w:beforeAutospacing="1" w:after="100"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一般公共服务类决算数为</w:t>
      </w:r>
      <w:r>
        <w:rPr>
          <w:rFonts w:hint="eastAsia" w:ascii="宋体" w:hAnsi="宋体" w:eastAsia="宋体" w:cs="宋体"/>
          <w:color w:val="auto"/>
          <w:sz w:val="32"/>
          <w:szCs w:val="32"/>
          <w:u w:val="single"/>
        </w:rPr>
        <w:t>2</w:t>
      </w:r>
      <w:r>
        <w:rPr>
          <w:rFonts w:hint="eastAsia" w:ascii="宋体" w:hAnsi="宋体" w:eastAsia="宋体" w:cs="宋体"/>
          <w:color w:val="auto"/>
          <w:sz w:val="32"/>
          <w:szCs w:val="32"/>
          <w:u w:val="single"/>
          <w:lang w:val="en-US" w:eastAsia="zh-CN"/>
        </w:rPr>
        <w:t>06.23</w:t>
      </w:r>
      <w:r>
        <w:rPr>
          <w:rFonts w:hint="eastAsia" w:ascii="宋体" w:hAnsi="宋体" w:eastAsia="宋体" w:cs="宋体"/>
          <w:color w:val="auto"/>
          <w:sz w:val="32"/>
          <w:szCs w:val="32"/>
        </w:rPr>
        <w:t>万元，与年初预算相比增加</w:t>
      </w:r>
      <w:r>
        <w:rPr>
          <w:rFonts w:hint="eastAsia" w:ascii="宋体" w:hAnsi="宋体" w:eastAsia="宋体" w:cs="宋体"/>
          <w:color w:val="auto"/>
          <w:sz w:val="32"/>
          <w:szCs w:val="32"/>
          <w:u w:val="single"/>
          <w:lang w:val="en-US" w:eastAsia="zh-CN"/>
        </w:rPr>
        <w:t>1.3</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万元。其中：</w:t>
      </w:r>
    </w:p>
    <w:p>
      <w:pPr>
        <w:pStyle w:val="10"/>
        <w:widowControl w:val="0"/>
        <w:spacing w:before="100" w:beforeAutospacing="1" w:after="0" w:line="5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1.市场监督管理事务（款）</w:t>
      </w:r>
      <w:r>
        <w:rPr>
          <w:rFonts w:hint="eastAsia" w:ascii="宋体" w:hAnsi="宋体" w:eastAsia="宋体" w:cs="宋体"/>
          <w:color w:val="auto"/>
          <w:sz w:val="32"/>
          <w:szCs w:val="32"/>
          <w:lang w:eastAsia="zh-CN"/>
        </w:rPr>
        <w:t>质量安全监管</w:t>
      </w:r>
      <w:r>
        <w:rPr>
          <w:rFonts w:hint="eastAsia" w:ascii="宋体" w:hAnsi="宋体" w:eastAsia="宋体" w:cs="宋体"/>
          <w:color w:val="auto"/>
          <w:sz w:val="32"/>
          <w:szCs w:val="32"/>
        </w:rPr>
        <w:t>（项）。年初预算6</w:t>
      </w:r>
      <w:r>
        <w:rPr>
          <w:rFonts w:hint="eastAsia" w:ascii="宋体" w:hAnsi="宋体" w:eastAsia="宋体" w:cs="宋体"/>
          <w:color w:val="auto"/>
          <w:sz w:val="32"/>
          <w:szCs w:val="32"/>
          <w:lang w:val="en-US" w:eastAsia="zh-CN"/>
        </w:rPr>
        <w:t>5.8</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rPr>
        <w:t>6</w:t>
      </w:r>
      <w:r>
        <w:rPr>
          <w:rFonts w:hint="eastAsia" w:ascii="宋体" w:hAnsi="宋体" w:eastAsia="宋体" w:cs="宋体"/>
          <w:color w:val="auto"/>
          <w:sz w:val="32"/>
          <w:szCs w:val="32"/>
          <w:u w:val="single"/>
          <w:lang w:val="en-US" w:eastAsia="zh-CN"/>
        </w:rPr>
        <w:t>5.8</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万元，完成年初预算的</w:t>
      </w:r>
      <w:r>
        <w:rPr>
          <w:rFonts w:hint="eastAsia" w:ascii="宋体" w:hAnsi="宋体" w:eastAsia="宋体" w:cs="宋体"/>
          <w:color w:val="auto"/>
          <w:sz w:val="32"/>
          <w:szCs w:val="32"/>
          <w:u w:val="single"/>
        </w:rPr>
        <w:t>100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%。决算数与年初预算数的差异原因：无</w:t>
      </w:r>
    </w:p>
    <w:p>
      <w:pPr>
        <w:pStyle w:val="10"/>
        <w:widowControl w:val="0"/>
        <w:spacing w:before="100" w:beforeAutospacing="1" w:after="0" w:line="5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2.市场监督管理事务（款）事业运行（项）。年初预算</w:t>
      </w:r>
      <w:r>
        <w:rPr>
          <w:rFonts w:hint="eastAsia" w:ascii="宋体" w:hAnsi="宋体" w:eastAsia="宋体" w:cs="宋体"/>
          <w:color w:val="auto"/>
          <w:sz w:val="32"/>
          <w:szCs w:val="32"/>
          <w:u w:val="single"/>
          <w:lang w:val="en-US" w:eastAsia="zh-CN"/>
        </w:rPr>
        <w:t>20.03</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lang w:val="en-US" w:eastAsia="zh-CN"/>
        </w:rPr>
        <w:t>20.03</w:t>
      </w:r>
      <w:r>
        <w:rPr>
          <w:rFonts w:hint="eastAsia" w:ascii="宋体" w:hAnsi="宋体" w:eastAsia="宋体" w:cs="宋体"/>
          <w:color w:val="auto"/>
          <w:sz w:val="32"/>
          <w:szCs w:val="32"/>
        </w:rPr>
        <w:t>万元，完成年初预算的</w:t>
      </w:r>
      <w:r>
        <w:rPr>
          <w:rFonts w:hint="eastAsia" w:ascii="宋体" w:hAnsi="宋体" w:eastAsia="宋体" w:cs="宋体"/>
          <w:color w:val="auto"/>
          <w:sz w:val="32"/>
          <w:szCs w:val="32"/>
          <w:u w:val="single"/>
        </w:rPr>
        <w:t>100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%。决算数与年初预算数的差异原因：无。</w:t>
      </w:r>
    </w:p>
    <w:p>
      <w:pPr>
        <w:pStyle w:val="10"/>
        <w:widowControl w:val="0"/>
        <w:spacing w:before="100" w:beforeAutospacing="1" w:after="0" w:line="5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3.市场监督管理事务（款）其他市场监督管理事务（项）年初预算</w:t>
      </w:r>
      <w:r>
        <w:rPr>
          <w:rFonts w:hint="eastAsia" w:ascii="宋体" w:hAnsi="宋体" w:eastAsia="宋体" w:cs="宋体"/>
          <w:color w:val="auto"/>
          <w:sz w:val="32"/>
          <w:szCs w:val="32"/>
          <w:u w:val="single"/>
        </w:rPr>
        <w:t>1</w:t>
      </w:r>
      <w:r>
        <w:rPr>
          <w:rFonts w:hint="eastAsia" w:ascii="宋体" w:hAnsi="宋体" w:eastAsia="宋体" w:cs="宋体"/>
          <w:color w:val="auto"/>
          <w:sz w:val="32"/>
          <w:szCs w:val="32"/>
          <w:u w:val="single"/>
          <w:lang w:val="en-US" w:eastAsia="zh-CN"/>
        </w:rPr>
        <w:t>19.10</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rPr>
        <w:t>1</w:t>
      </w:r>
      <w:r>
        <w:rPr>
          <w:rFonts w:hint="eastAsia" w:ascii="宋体" w:hAnsi="宋体" w:eastAsia="宋体" w:cs="宋体"/>
          <w:color w:val="auto"/>
          <w:sz w:val="32"/>
          <w:szCs w:val="32"/>
          <w:u w:val="single"/>
          <w:lang w:val="en-US" w:eastAsia="zh-CN"/>
        </w:rPr>
        <w:t>20.40</w:t>
      </w:r>
      <w:r>
        <w:rPr>
          <w:rFonts w:hint="eastAsia" w:ascii="宋体" w:hAnsi="宋体" w:eastAsia="宋体" w:cs="宋体"/>
          <w:color w:val="auto"/>
          <w:sz w:val="32"/>
          <w:szCs w:val="32"/>
        </w:rPr>
        <w:t>万元，完成年初预算的</w:t>
      </w:r>
      <w:r>
        <w:rPr>
          <w:rFonts w:hint="eastAsia" w:ascii="宋体" w:hAnsi="宋体" w:eastAsia="宋体" w:cs="宋体"/>
          <w:color w:val="auto"/>
          <w:sz w:val="32"/>
          <w:szCs w:val="32"/>
          <w:u w:val="single"/>
        </w:rPr>
        <w:t xml:space="preserve">100 </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%。决算数与年初预算数的差异原因：年末追加了人员经费。</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（二）社会保障和就业支出（类）</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社会保障和就业支出类决算数为</w:t>
      </w:r>
      <w:r>
        <w:rPr>
          <w:rFonts w:hint="eastAsia" w:ascii="宋体" w:hAnsi="宋体" w:eastAsia="宋体" w:cs="宋体"/>
          <w:color w:val="auto"/>
          <w:sz w:val="32"/>
          <w:szCs w:val="32"/>
          <w:u w:val="single"/>
          <w:lang w:val="en-US" w:eastAsia="zh-CN"/>
        </w:rPr>
        <w:t>19.62</w:t>
      </w:r>
      <w:r>
        <w:rPr>
          <w:rFonts w:hint="eastAsia" w:ascii="宋体" w:hAnsi="宋体" w:eastAsia="宋体" w:cs="宋体"/>
          <w:color w:val="auto"/>
          <w:sz w:val="32"/>
          <w:szCs w:val="32"/>
        </w:rPr>
        <w:t>万元，与年初预算相比增加</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万元。其中：</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1．行政事业单位养老支出（款）行政单位离退休（项）。年初预算</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rPr>
        <w:t>0.0</w:t>
      </w:r>
      <w:r>
        <w:rPr>
          <w:rFonts w:hint="eastAsia" w:ascii="宋体" w:hAnsi="宋体" w:eastAsia="宋体" w:cs="宋体"/>
          <w:color w:val="auto"/>
          <w:sz w:val="32"/>
          <w:szCs w:val="32"/>
        </w:rPr>
        <w:t>0万元，完成年初预算的</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%。决算数与年初预算数的差异原因：行政事业单位养老支出款行政单位离退休项无预算安排。</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2．行政事业单位养老支出（款）事业单位离退休（项）。年初预算</w:t>
      </w:r>
      <w:r>
        <w:rPr>
          <w:rFonts w:hint="eastAsia" w:ascii="宋体" w:hAnsi="宋体" w:eastAsia="宋体" w:cs="宋体"/>
          <w:color w:val="auto"/>
          <w:sz w:val="32"/>
          <w:szCs w:val="32"/>
          <w:u w:val="single"/>
        </w:rPr>
        <w:t>0.</w:t>
      </w:r>
      <w:r>
        <w:rPr>
          <w:rFonts w:hint="eastAsia" w:ascii="宋体" w:hAnsi="宋体" w:eastAsia="宋体" w:cs="宋体"/>
          <w:color w:val="auto"/>
          <w:sz w:val="32"/>
          <w:szCs w:val="32"/>
          <w:u w:val="single"/>
          <w:lang w:val="en-US" w:eastAsia="zh-CN"/>
        </w:rPr>
        <w:t>72</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lang w:val="en-US" w:eastAsia="zh-CN"/>
        </w:rPr>
        <w:t>0.72</w:t>
      </w:r>
      <w:r>
        <w:rPr>
          <w:rFonts w:hint="eastAsia" w:ascii="宋体" w:hAnsi="宋体" w:eastAsia="宋体" w:cs="宋体"/>
          <w:color w:val="auto"/>
          <w:sz w:val="32"/>
          <w:szCs w:val="32"/>
        </w:rPr>
        <w:t>万元，完成年初预算的</w:t>
      </w:r>
      <w:r>
        <w:rPr>
          <w:rFonts w:hint="eastAsia" w:ascii="宋体" w:hAnsi="宋体" w:eastAsia="宋体" w:cs="宋体"/>
          <w:color w:val="auto"/>
          <w:sz w:val="32"/>
          <w:szCs w:val="32"/>
          <w:u w:val="single"/>
        </w:rPr>
        <w:t>100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%。决算数与年初预算数的差异原因：我单位事业单位离退休项与年初预算无差异。</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3．行政事业单位养老支出（款）机关事业单位基本养老保险缴费支出（项）。年初预算</w:t>
      </w:r>
      <w:r>
        <w:rPr>
          <w:rFonts w:hint="eastAsia" w:ascii="宋体" w:hAnsi="宋体" w:eastAsia="宋体" w:cs="宋体"/>
          <w:color w:val="auto"/>
          <w:sz w:val="32"/>
          <w:szCs w:val="32"/>
          <w:u w:val="single"/>
        </w:rPr>
        <w:t>1</w:t>
      </w:r>
      <w:r>
        <w:rPr>
          <w:rFonts w:hint="eastAsia" w:ascii="宋体" w:hAnsi="宋体" w:eastAsia="宋体" w:cs="宋体"/>
          <w:color w:val="auto"/>
          <w:sz w:val="32"/>
          <w:szCs w:val="32"/>
          <w:u w:val="single"/>
          <w:lang w:val="en-US" w:eastAsia="zh-CN"/>
        </w:rPr>
        <w:t>2.1</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rPr>
        <w:t>1</w:t>
      </w:r>
      <w:r>
        <w:rPr>
          <w:rFonts w:hint="eastAsia" w:ascii="宋体" w:hAnsi="宋体" w:eastAsia="宋体" w:cs="宋体"/>
          <w:color w:val="auto"/>
          <w:sz w:val="32"/>
          <w:szCs w:val="32"/>
          <w:u w:val="single"/>
          <w:lang w:val="en-US" w:eastAsia="zh-CN"/>
        </w:rPr>
        <w:t>2.1</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万元，完成年初预算的</w:t>
      </w:r>
      <w:r>
        <w:rPr>
          <w:rFonts w:hint="eastAsia" w:ascii="宋体" w:hAnsi="宋体" w:eastAsia="宋体" w:cs="宋体"/>
          <w:color w:val="auto"/>
          <w:sz w:val="32"/>
          <w:szCs w:val="32"/>
          <w:u w:val="single"/>
        </w:rPr>
        <w:t>100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%。决算数与年初预算数的差异原因：我单位机关事业单位基本养老保险缴费支出项与年初预算无差异。</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4．行政事业单位养老支出（款）机关事业单位职业年金缴费支出（项）。年初预算</w:t>
      </w:r>
      <w:r>
        <w:rPr>
          <w:rFonts w:hint="eastAsia" w:ascii="宋体" w:hAnsi="宋体" w:eastAsia="宋体" w:cs="宋体"/>
          <w:color w:val="auto"/>
          <w:sz w:val="32"/>
          <w:szCs w:val="32"/>
          <w:u w:val="single"/>
          <w:lang w:val="en-US" w:eastAsia="zh-CN"/>
        </w:rPr>
        <w:t>6.8</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lang w:val="en-US" w:eastAsia="zh-CN"/>
        </w:rPr>
        <w:t>6.8</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万元，完成年初预算的</w:t>
      </w:r>
      <w:r>
        <w:rPr>
          <w:rFonts w:hint="eastAsia" w:ascii="宋体" w:hAnsi="宋体" w:eastAsia="宋体" w:cs="宋体"/>
          <w:color w:val="auto"/>
          <w:sz w:val="32"/>
          <w:szCs w:val="32"/>
          <w:u w:val="single"/>
        </w:rPr>
        <w:t>100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%。决算数与年初预算数的差异原因：我单位机关事业单位职业年金缴费支出项与年初预算无差异。</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（三）住房保障支出（类）</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住房保障支出类决算数为</w:t>
      </w:r>
      <w:r>
        <w:rPr>
          <w:rFonts w:hint="eastAsia" w:ascii="宋体" w:hAnsi="宋体" w:eastAsia="宋体" w:cs="宋体"/>
          <w:color w:val="auto"/>
          <w:sz w:val="32"/>
          <w:szCs w:val="32"/>
          <w:u w:val="single"/>
        </w:rPr>
        <w:t>1</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万元，与年初预算相比增加</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万元。其中：</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1．住房改革支出（款）住房公积金（项）。年初预算</w:t>
      </w:r>
      <w:r>
        <w:rPr>
          <w:rFonts w:hint="eastAsia" w:ascii="宋体" w:hAnsi="宋体" w:eastAsia="宋体" w:cs="宋体"/>
          <w:color w:val="auto"/>
          <w:sz w:val="32"/>
          <w:szCs w:val="32"/>
          <w:u w:val="single"/>
        </w:rPr>
        <w:t>1</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lang w:val="en-US" w:eastAsia="zh-CN"/>
        </w:rPr>
        <w:t>10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万元，完成年初预算的</w:t>
      </w:r>
      <w:r>
        <w:rPr>
          <w:rFonts w:hint="eastAsia" w:ascii="宋体" w:hAnsi="宋体" w:eastAsia="宋体" w:cs="宋体"/>
          <w:color w:val="auto"/>
          <w:sz w:val="32"/>
          <w:szCs w:val="32"/>
          <w:u w:val="single"/>
        </w:rPr>
        <w:t>100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%。决算数与年初预算数的差异原因：我单位住房改革支出款住房公积金项与年初预算无差异。</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六、一般公共预算财政拨款基本支出决算情况说明</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内蒙古自治区特种设备检验研究院二连浩特分院单位202</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年度一般公共预算财政拨款基本支出决算</w:t>
      </w:r>
      <w:r>
        <w:rPr>
          <w:rFonts w:hint="eastAsia" w:ascii="宋体" w:hAnsi="宋体" w:eastAsia="宋体" w:cs="宋体"/>
          <w:color w:val="auto"/>
          <w:sz w:val="32"/>
          <w:szCs w:val="32"/>
          <w:u w:val="single"/>
          <w:lang w:val="en-US" w:eastAsia="zh-CN"/>
        </w:rPr>
        <w:t>1</w:t>
      </w:r>
      <w:r>
        <w:rPr>
          <w:rFonts w:hint="eastAsia" w:ascii="宋体" w:hAnsi="宋体" w:cs="宋体"/>
          <w:color w:val="auto"/>
          <w:sz w:val="32"/>
          <w:szCs w:val="32"/>
          <w:u w:val="single"/>
          <w:lang w:val="en-US" w:eastAsia="zh-CN"/>
        </w:rPr>
        <w:t>70.05</w:t>
      </w:r>
      <w:r>
        <w:rPr>
          <w:rFonts w:hint="eastAsia" w:ascii="宋体" w:hAnsi="宋体" w:eastAsia="宋体" w:cs="宋体"/>
          <w:color w:val="auto"/>
          <w:sz w:val="32"/>
          <w:szCs w:val="32"/>
        </w:rPr>
        <w:t>万元，其中：</w:t>
      </w:r>
    </w:p>
    <w:p>
      <w:pPr>
        <w:spacing w:beforeAutospacing="1" w:afterAutospacing="1" w:line="560" w:lineRule="atLeast"/>
        <w:ind w:firstLine="643"/>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（一）人员经费</w:t>
      </w:r>
      <w:r>
        <w:rPr>
          <w:rFonts w:hint="eastAsia" w:ascii="宋体" w:hAnsi="宋体" w:eastAsia="宋体" w:cs="宋体"/>
          <w:b/>
          <w:bCs/>
          <w:color w:val="auto"/>
          <w:sz w:val="32"/>
          <w:szCs w:val="32"/>
          <w:u w:val="single"/>
          <w:lang w:val="en-US" w:eastAsia="zh-CN"/>
        </w:rPr>
        <w:t>166.92</w:t>
      </w:r>
      <w:r>
        <w:rPr>
          <w:rFonts w:hint="eastAsia" w:ascii="宋体" w:hAnsi="宋体" w:eastAsia="宋体" w:cs="宋体"/>
          <w:b/>
          <w:bCs/>
          <w:color w:val="auto"/>
          <w:sz w:val="32"/>
          <w:szCs w:val="32"/>
        </w:rPr>
        <w:t>万元</w:t>
      </w:r>
      <w:r>
        <w:rPr>
          <w:rFonts w:hint="eastAsia" w:ascii="宋体" w:hAnsi="宋体" w:eastAsia="宋体" w:cs="宋体"/>
          <w:color w:val="auto"/>
          <w:sz w:val="32"/>
          <w:szCs w:val="32"/>
        </w:rPr>
        <w:t>。主要包括：基本工资</w:t>
      </w:r>
      <w:r>
        <w:rPr>
          <w:rFonts w:hint="eastAsia" w:ascii="宋体" w:hAnsi="宋体" w:eastAsia="宋体" w:cs="宋体"/>
          <w:color w:val="auto"/>
          <w:sz w:val="32"/>
          <w:szCs w:val="32"/>
          <w:u w:val="single"/>
          <w:lang w:val="en-US" w:eastAsia="zh-CN"/>
        </w:rPr>
        <w:t>47</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万元、津贴补贴</w:t>
      </w:r>
      <w:r>
        <w:rPr>
          <w:rFonts w:hint="eastAsia" w:ascii="宋体" w:hAnsi="宋体" w:eastAsia="宋体" w:cs="宋体"/>
          <w:color w:val="auto"/>
          <w:sz w:val="32"/>
          <w:szCs w:val="32"/>
          <w:u w:val="single"/>
          <w:lang w:val="en-US" w:eastAsia="zh-CN"/>
        </w:rPr>
        <w:t>36.85</w:t>
      </w:r>
      <w:r>
        <w:rPr>
          <w:rFonts w:hint="eastAsia" w:ascii="宋体" w:hAnsi="宋体" w:eastAsia="宋体" w:cs="宋体"/>
          <w:color w:val="auto"/>
          <w:sz w:val="32"/>
          <w:szCs w:val="32"/>
        </w:rPr>
        <w:t>万元、奖金</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其他</w:t>
      </w:r>
      <w:r>
        <w:rPr>
          <w:rFonts w:hint="eastAsia" w:ascii="宋体" w:hAnsi="宋体" w:eastAsia="宋体" w:cs="宋体"/>
          <w:color w:val="auto"/>
          <w:sz w:val="32"/>
          <w:szCs w:val="32"/>
        </w:rPr>
        <w:t>社会保障缴费</w:t>
      </w:r>
      <w:r>
        <w:rPr>
          <w:rFonts w:hint="eastAsia" w:ascii="宋体" w:hAnsi="宋体" w:eastAsia="宋体" w:cs="宋体"/>
          <w:color w:val="auto"/>
          <w:sz w:val="32"/>
          <w:szCs w:val="32"/>
          <w:u w:val="single"/>
        </w:rPr>
        <w:t>0</w:t>
      </w:r>
      <w:r>
        <w:rPr>
          <w:rFonts w:hint="eastAsia" w:ascii="宋体" w:hAnsi="宋体" w:eastAsia="宋体" w:cs="宋体"/>
          <w:color w:val="auto"/>
          <w:sz w:val="32"/>
          <w:szCs w:val="32"/>
          <w:u w:val="single"/>
          <w:lang w:val="en-US" w:eastAsia="zh-CN"/>
        </w:rPr>
        <w:t>.66</w:t>
      </w:r>
      <w:r>
        <w:rPr>
          <w:rFonts w:hint="eastAsia" w:ascii="宋体" w:hAnsi="宋体" w:eastAsia="宋体" w:cs="宋体"/>
          <w:color w:val="auto"/>
          <w:sz w:val="32"/>
          <w:szCs w:val="32"/>
        </w:rPr>
        <w:t>万元、伙食补助费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万元、绩效工资</w:t>
      </w:r>
      <w:r>
        <w:rPr>
          <w:rFonts w:hint="eastAsia" w:ascii="宋体" w:hAnsi="宋体" w:eastAsia="宋体" w:cs="宋体"/>
          <w:color w:val="auto"/>
          <w:sz w:val="32"/>
          <w:szCs w:val="32"/>
          <w:u w:val="single"/>
          <w:lang w:val="en-US" w:eastAsia="zh-CN"/>
        </w:rPr>
        <w:t>2</w:t>
      </w:r>
      <w:r>
        <w:rPr>
          <w:rFonts w:hint="eastAsia" w:ascii="宋体" w:hAnsi="宋体" w:cs="宋体"/>
          <w:color w:val="auto"/>
          <w:sz w:val="32"/>
          <w:szCs w:val="32"/>
          <w:u w:val="single"/>
          <w:lang w:val="en-US" w:eastAsia="zh-CN"/>
        </w:rPr>
        <w:t>7</w:t>
      </w:r>
      <w:r>
        <w:rPr>
          <w:rFonts w:hint="eastAsia" w:ascii="宋体" w:hAnsi="宋体" w:eastAsia="宋体" w:cs="宋体"/>
          <w:color w:val="auto"/>
          <w:sz w:val="32"/>
          <w:szCs w:val="32"/>
          <w:u w:val="single"/>
          <w:lang w:val="en-US" w:eastAsia="zh-CN"/>
        </w:rPr>
        <w:t>.09</w:t>
      </w:r>
      <w:r>
        <w:rPr>
          <w:rFonts w:hint="eastAsia" w:ascii="宋体" w:hAnsi="宋体" w:eastAsia="宋体" w:cs="宋体"/>
          <w:color w:val="auto"/>
          <w:sz w:val="32"/>
          <w:szCs w:val="32"/>
        </w:rPr>
        <w:t>万元、其他工资福利支出</w:t>
      </w:r>
      <w:r>
        <w:rPr>
          <w:rFonts w:hint="eastAsia" w:ascii="宋体" w:hAnsi="宋体" w:eastAsia="宋体" w:cs="宋体"/>
          <w:color w:val="auto"/>
          <w:sz w:val="32"/>
          <w:szCs w:val="32"/>
          <w:u w:val="single"/>
          <w:lang w:val="en-US" w:eastAsia="zh-CN"/>
        </w:rPr>
        <w:t>20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万元、离休费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万元、退休费</w:t>
      </w:r>
      <w:r>
        <w:rPr>
          <w:rFonts w:hint="eastAsia" w:ascii="宋体" w:hAnsi="宋体" w:eastAsia="宋体" w:cs="宋体"/>
          <w:color w:val="auto"/>
          <w:sz w:val="32"/>
          <w:szCs w:val="32"/>
          <w:u w:val="single"/>
          <w:lang w:val="en-US" w:eastAsia="zh-CN"/>
        </w:rPr>
        <w:t>0.72</w:t>
      </w:r>
      <w:r>
        <w:rPr>
          <w:rFonts w:hint="eastAsia" w:ascii="宋体" w:hAnsi="宋体" w:eastAsia="宋体" w:cs="宋体"/>
          <w:color w:val="auto"/>
          <w:sz w:val="32"/>
          <w:szCs w:val="32"/>
        </w:rPr>
        <w:t>万元、抚恤金</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万元、生活补助</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万元、医疗费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万元、奖励金</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万元、养老保险</w:t>
      </w:r>
      <w:r>
        <w:rPr>
          <w:rFonts w:hint="eastAsia" w:ascii="宋体" w:hAnsi="宋体" w:eastAsia="宋体" w:cs="宋体"/>
          <w:color w:val="auto"/>
          <w:sz w:val="32"/>
          <w:szCs w:val="32"/>
          <w:u w:val="single"/>
        </w:rPr>
        <w:t>1</w:t>
      </w:r>
      <w:r>
        <w:rPr>
          <w:rFonts w:hint="eastAsia" w:ascii="宋体" w:hAnsi="宋体" w:eastAsia="宋体" w:cs="宋体"/>
          <w:color w:val="auto"/>
          <w:sz w:val="32"/>
          <w:szCs w:val="32"/>
          <w:u w:val="single"/>
          <w:lang w:val="en-US" w:eastAsia="zh-CN"/>
        </w:rPr>
        <w:t>2.1</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万元，职业年金缴费</w:t>
      </w:r>
      <w:r>
        <w:rPr>
          <w:rFonts w:hint="eastAsia" w:ascii="宋体" w:hAnsi="宋体" w:eastAsia="宋体" w:cs="宋体"/>
          <w:color w:val="auto"/>
          <w:sz w:val="32"/>
          <w:szCs w:val="32"/>
          <w:u w:val="single"/>
          <w:lang w:val="en-US" w:eastAsia="zh-CN"/>
        </w:rPr>
        <w:t>6.8</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万元、住房公积金</w:t>
      </w:r>
      <w:r>
        <w:rPr>
          <w:rFonts w:hint="eastAsia" w:ascii="宋体" w:hAnsi="宋体" w:eastAsia="宋体" w:cs="宋体"/>
          <w:color w:val="auto"/>
          <w:sz w:val="32"/>
          <w:szCs w:val="32"/>
          <w:u w:val="single"/>
          <w:lang w:val="en-US" w:eastAsia="zh-CN"/>
        </w:rPr>
        <w:t>10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万元、提租补贴</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万元、其他对个人和家庭的补助支出</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万元等。</w:t>
      </w:r>
    </w:p>
    <w:p>
      <w:pPr>
        <w:spacing w:beforeAutospacing="1" w:afterAutospacing="1" w:line="560" w:lineRule="atLeast"/>
        <w:ind w:firstLine="643"/>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（二）公用经费</w:t>
      </w:r>
      <w:r>
        <w:rPr>
          <w:rFonts w:hint="eastAsia" w:ascii="宋体" w:hAnsi="宋体" w:eastAsia="宋体" w:cs="宋体"/>
          <w:b/>
          <w:bCs/>
          <w:color w:val="auto"/>
          <w:sz w:val="32"/>
          <w:szCs w:val="32"/>
          <w:u w:val="single"/>
          <w:lang w:val="en-US" w:eastAsia="zh-CN"/>
        </w:rPr>
        <w:t>3.13</w:t>
      </w:r>
      <w:r>
        <w:rPr>
          <w:rFonts w:hint="eastAsia" w:ascii="宋体" w:hAnsi="宋体" w:eastAsia="宋体" w:cs="宋体"/>
          <w:b/>
          <w:bCs/>
          <w:color w:val="auto"/>
          <w:sz w:val="32"/>
          <w:szCs w:val="32"/>
        </w:rPr>
        <w:t>万元</w:t>
      </w:r>
      <w:r>
        <w:rPr>
          <w:rFonts w:hint="eastAsia" w:ascii="宋体" w:hAnsi="宋体" w:eastAsia="宋体" w:cs="宋体"/>
          <w:color w:val="auto"/>
          <w:sz w:val="32"/>
          <w:szCs w:val="32"/>
        </w:rPr>
        <w:t>。主要包括：办公费</w:t>
      </w:r>
      <w:r>
        <w:rPr>
          <w:rFonts w:hint="eastAsia" w:ascii="宋体" w:hAnsi="宋体" w:eastAsia="宋体" w:cs="宋体"/>
          <w:color w:val="auto"/>
          <w:sz w:val="32"/>
          <w:szCs w:val="32"/>
          <w:u w:val="single"/>
        </w:rPr>
        <w:t>0.03</w:t>
      </w:r>
      <w:r>
        <w:rPr>
          <w:rFonts w:hint="eastAsia" w:ascii="宋体" w:hAnsi="宋体" w:eastAsia="宋体" w:cs="宋体"/>
          <w:color w:val="auto"/>
          <w:sz w:val="32"/>
          <w:szCs w:val="32"/>
        </w:rPr>
        <w:t>万元、印刷费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万元、咨询费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万元、手续费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万元、水费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万元、电费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万元、邮电费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万元、取暖费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万元、物业管理费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万元、差旅费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万元、维修（护）费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万元、租赁费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万元、会议费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万元、培训费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万元、公务接待费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万元、专用材料费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万元、劳务费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万元、委托业务费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万元、工会经费</w:t>
      </w:r>
      <w:r>
        <w:rPr>
          <w:rFonts w:hint="eastAsia" w:ascii="宋体" w:hAnsi="宋体" w:eastAsia="宋体" w:cs="宋体"/>
          <w:color w:val="auto"/>
          <w:sz w:val="32"/>
          <w:szCs w:val="32"/>
          <w:u w:val="single"/>
          <w:lang w:val="en-US" w:eastAsia="zh-CN"/>
        </w:rPr>
        <w:t>1.51</w:t>
      </w:r>
      <w:r>
        <w:rPr>
          <w:rFonts w:hint="eastAsia" w:ascii="宋体" w:hAnsi="宋体" w:eastAsia="宋体" w:cs="宋体"/>
          <w:color w:val="auto"/>
          <w:sz w:val="32"/>
          <w:szCs w:val="32"/>
        </w:rPr>
        <w:t>万元、福利费</w:t>
      </w:r>
      <w:r>
        <w:rPr>
          <w:rFonts w:hint="eastAsia" w:ascii="宋体" w:hAnsi="宋体" w:eastAsia="宋体" w:cs="宋体"/>
          <w:color w:val="auto"/>
          <w:sz w:val="32"/>
          <w:szCs w:val="32"/>
          <w:u w:val="single"/>
          <w:lang w:val="en-US" w:eastAsia="zh-CN"/>
        </w:rPr>
        <w:t>1.59</w:t>
      </w:r>
      <w:r>
        <w:rPr>
          <w:rFonts w:hint="eastAsia" w:ascii="宋体" w:hAnsi="宋体" w:eastAsia="宋体" w:cs="宋体"/>
          <w:color w:val="auto"/>
          <w:sz w:val="32"/>
          <w:szCs w:val="32"/>
        </w:rPr>
        <w:t>万元、公务用车运行维护费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万元、其他交通费用</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万元、其他商品和服务支出</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万元、办公设备购置</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万元、专用设备购置</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万元、信息网络及软件购置更新0</w:t>
      </w:r>
      <w:r>
        <w:rPr>
          <w:rFonts w:hint="eastAsia" w:ascii="宋体" w:hAnsi="宋体" w:cs="宋体"/>
          <w:color w:val="auto"/>
          <w:sz w:val="32"/>
          <w:szCs w:val="32"/>
          <w:lang w:val="en-US" w:eastAsia="zh-CN"/>
        </w:rPr>
        <w:t>.00</w:t>
      </w:r>
      <w:r>
        <w:rPr>
          <w:rFonts w:hint="eastAsia" w:ascii="宋体" w:hAnsi="宋体" w:eastAsia="宋体" w:cs="宋体"/>
          <w:color w:val="auto"/>
          <w:sz w:val="32"/>
          <w:szCs w:val="32"/>
        </w:rPr>
        <w:t>万元、其他资本性支出</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万元等。</w:t>
      </w:r>
    </w:p>
    <w:p>
      <w:pPr>
        <w:widowControl/>
        <w:numPr>
          <w:ilvl w:val="0"/>
          <w:numId w:val="0"/>
        </w:numPr>
        <w:spacing w:before="240" w:after="240"/>
        <w:ind w:leftChars="0"/>
        <w:jc w:val="left"/>
        <w:rPr>
          <w:rFonts w:hint="eastAsia" w:ascii="宋体" w:hAnsi="宋体" w:eastAsia="宋体" w:cs="宋体"/>
          <w:kern w:val="0"/>
          <w:sz w:val="32"/>
          <w:szCs w:val="32"/>
        </w:rPr>
      </w:pPr>
      <w:r>
        <w:rPr>
          <w:rFonts w:hint="eastAsia" w:ascii="宋体" w:hAnsi="宋体" w:eastAsia="宋体" w:cs="宋体"/>
          <w:kern w:val="0"/>
          <w:sz w:val="32"/>
          <w:szCs w:val="32"/>
          <w:lang w:eastAsia="zh-CN"/>
        </w:rPr>
        <w:t>七、</w:t>
      </w:r>
      <w:r>
        <w:rPr>
          <w:rFonts w:hint="eastAsia" w:ascii="宋体" w:hAnsi="宋体" w:eastAsia="宋体" w:cs="宋体"/>
          <w:kern w:val="0"/>
          <w:sz w:val="32"/>
          <w:szCs w:val="32"/>
        </w:rPr>
        <w:t>一般公共预算财政拨款项目支出决算情况说明</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年度一般公共预算财政拨款项目支出决算</w:t>
      </w:r>
      <w:r>
        <w:rPr>
          <w:rFonts w:hint="eastAsia" w:ascii="宋体" w:hAnsi="宋体" w:eastAsia="宋体" w:cs="宋体"/>
          <w:color w:val="auto"/>
          <w:sz w:val="32"/>
          <w:szCs w:val="32"/>
          <w:u w:val="single"/>
          <w:lang w:val="en-US" w:eastAsia="zh-CN"/>
        </w:rPr>
        <w:t>65.8</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万元，其中：</w:t>
      </w:r>
    </w:p>
    <w:p>
      <w:pPr>
        <w:spacing w:beforeAutospacing="1" w:afterAutospacing="1" w:line="560" w:lineRule="atLeast"/>
        <w:ind w:firstLine="643"/>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（一）工资福利支出</w:t>
      </w:r>
      <w:r>
        <w:rPr>
          <w:rFonts w:hint="eastAsia" w:ascii="宋体" w:hAnsi="宋体" w:eastAsia="宋体" w:cs="宋体"/>
          <w:b/>
          <w:bCs/>
          <w:color w:val="auto"/>
          <w:sz w:val="32"/>
          <w:szCs w:val="32"/>
          <w:u w:val="single"/>
          <w:lang w:val="en-US" w:eastAsia="zh-CN"/>
        </w:rPr>
        <w:t>0</w:t>
      </w:r>
      <w:r>
        <w:rPr>
          <w:rFonts w:hint="eastAsia" w:ascii="宋体" w:hAnsi="宋体" w:cs="宋体"/>
          <w:b/>
          <w:bCs/>
          <w:color w:val="auto"/>
          <w:sz w:val="32"/>
          <w:szCs w:val="32"/>
          <w:u w:val="single"/>
          <w:lang w:val="en-US" w:eastAsia="zh-CN"/>
        </w:rPr>
        <w:t>.00</w:t>
      </w:r>
      <w:r>
        <w:rPr>
          <w:rFonts w:hint="eastAsia" w:ascii="宋体" w:hAnsi="宋体" w:eastAsia="宋体" w:cs="宋体"/>
          <w:b/>
          <w:bCs/>
          <w:color w:val="auto"/>
          <w:sz w:val="32"/>
          <w:szCs w:val="32"/>
        </w:rPr>
        <w:t>万元</w:t>
      </w:r>
      <w:r>
        <w:rPr>
          <w:rFonts w:hint="eastAsia" w:ascii="宋体" w:hAnsi="宋体" w:eastAsia="宋体" w:cs="宋体"/>
          <w:color w:val="auto"/>
          <w:sz w:val="32"/>
          <w:szCs w:val="32"/>
        </w:rPr>
        <w:t>。主要包括：基本工资</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万元、津贴补贴</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万元、奖金</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万元、伙食补助费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万元、绩效工资</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万元、机关事业单位基本养老保险缴费</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万元、职业年金缴费</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万元、职工基本医疗保险缴费</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万元、公务员医疗补助缴费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万元、其他社会保障缴费</w:t>
      </w:r>
      <w:r>
        <w:rPr>
          <w:rFonts w:hint="eastAsia" w:ascii="宋体" w:hAnsi="宋体" w:eastAsia="宋体" w:cs="宋体"/>
          <w:color w:val="auto"/>
          <w:sz w:val="32"/>
          <w:szCs w:val="32"/>
          <w:lang w:val="en-US" w:eastAsia="zh-CN"/>
        </w:rPr>
        <w:t>0</w:t>
      </w:r>
      <w:r>
        <w:rPr>
          <w:rFonts w:hint="eastAsia" w:ascii="宋体" w:hAnsi="宋体" w:cs="宋体"/>
          <w:color w:val="auto"/>
          <w:sz w:val="32"/>
          <w:szCs w:val="32"/>
          <w:lang w:val="en-US" w:eastAsia="zh-CN"/>
        </w:rPr>
        <w:t>.00</w:t>
      </w:r>
      <w:r>
        <w:rPr>
          <w:rFonts w:hint="eastAsia" w:ascii="宋体" w:hAnsi="宋体" w:eastAsia="宋体" w:cs="宋体"/>
          <w:color w:val="auto"/>
          <w:sz w:val="32"/>
          <w:szCs w:val="32"/>
        </w:rPr>
        <w:t>万元、住房公积金</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万元、医疗费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万元、其他工资福利支出等</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w:t>
      </w:r>
    </w:p>
    <w:p>
      <w:pPr>
        <w:spacing w:beforeAutospacing="1" w:afterAutospacing="1" w:line="560" w:lineRule="atLeast"/>
        <w:ind w:firstLine="643"/>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（二）商品和服务支出</w:t>
      </w:r>
      <w:r>
        <w:rPr>
          <w:rFonts w:hint="eastAsia" w:ascii="宋体" w:hAnsi="宋体" w:eastAsia="宋体" w:cs="宋体"/>
          <w:b/>
          <w:bCs/>
          <w:color w:val="auto"/>
          <w:sz w:val="32"/>
          <w:szCs w:val="32"/>
          <w:u w:val="single"/>
          <w:lang w:val="en-US" w:eastAsia="zh-CN"/>
        </w:rPr>
        <w:t>65.8</w:t>
      </w:r>
      <w:r>
        <w:rPr>
          <w:rFonts w:hint="eastAsia" w:ascii="宋体" w:hAnsi="宋体" w:cs="宋体"/>
          <w:b/>
          <w:bCs/>
          <w:color w:val="auto"/>
          <w:sz w:val="32"/>
          <w:szCs w:val="32"/>
          <w:u w:val="single"/>
          <w:lang w:val="en-US" w:eastAsia="zh-CN"/>
        </w:rPr>
        <w:t>0</w:t>
      </w:r>
      <w:r>
        <w:rPr>
          <w:rFonts w:hint="eastAsia" w:ascii="宋体" w:hAnsi="宋体" w:eastAsia="宋体" w:cs="宋体"/>
          <w:b/>
          <w:bCs/>
          <w:color w:val="auto"/>
          <w:sz w:val="32"/>
          <w:szCs w:val="32"/>
        </w:rPr>
        <w:t>万元</w:t>
      </w:r>
      <w:r>
        <w:rPr>
          <w:rFonts w:hint="eastAsia" w:ascii="宋体" w:hAnsi="宋体" w:eastAsia="宋体" w:cs="宋体"/>
          <w:color w:val="auto"/>
          <w:sz w:val="32"/>
          <w:szCs w:val="32"/>
        </w:rPr>
        <w:t>。主要包括：办公费</w:t>
      </w:r>
      <w:r>
        <w:rPr>
          <w:rFonts w:hint="eastAsia" w:ascii="宋体" w:hAnsi="宋体" w:eastAsia="宋体" w:cs="宋体"/>
          <w:color w:val="auto"/>
          <w:sz w:val="32"/>
          <w:szCs w:val="32"/>
          <w:u w:val="single"/>
          <w:lang w:val="en-US" w:eastAsia="zh-CN"/>
        </w:rPr>
        <w:t>4</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万元、印刷费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万元、咨询费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万元、手续费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万元、水费</w:t>
      </w:r>
      <w:r>
        <w:rPr>
          <w:rFonts w:hint="eastAsia" w:ascii="宋体" w:hAnsi="宋体" w:eastAsia="宋体" w:cs="宋体"/>
          <w:color w:val="auto"/>
          <w:sz w:val="32"/>
          <w:szCs w:val="32"/>
          <w:u w:val="single"/>
          <w:lang w:val="en-US" w:eastAsia="zh-CN"/>
        </w:rPr>
        <w:t>2</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万元、电费</w:t>
      </w:r>
      <w:r>
        <w:rPr>
          <w:rFonts w:hint="eastAsia" w:ascii="宋体" w:hAnsi="宋体" w:eastAsia="宋体" w:cs="宋体"/>
          <w:color w:val="auto"/>
          <w:sz w:val="32"/>
          <w:szCs w:val="32"/>
          <w:u w:val="single"/>
          <w:lang w:val="en-US" w:eastAsia="zh-CN"/>
        </w:rPr>
        <w:t>9.3</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万元、邮电费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万元、取暖费</w:t>
      </w:r>
      <w:r>
        <w:rPr>
          <w:rFonts w:hint="eastAsia" w:ascii="宋体" w:hAnsi="宋体" w:eastAsia="宋体" w:cs="宋体"/>
          <w:color w:val="auto"/>
          <w:sz w:val="32"/>
          <w:szCs w:val="32"/>
          <w:u w:val="single"/>
          <w:lang w:val="en-US" w:eastAsia="zh-CN"/>
        </w:rPr>
        <w:t>2</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万元、物业管理费</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万元、差旅费</w:t>
      </w:r>
      <w:r>
        <w:rPr>
          <w:rFonts w:hint="eastAsia" w:ascii="宋体" w:hAnsi="宋体" w:eastAsia="宋体" w:cs="宋体"/>
          <w:color w:val="auto"/>
          <w:sz w:val="32"/>
          <w:szCs w:val="32"/>
          <w:u w:val="single"/>
          <w:lang w:val="en-US" w:eastAsia="zh-CN"/>
        </w:rPr>
        <w:t>15</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万元、因公出国（境）费用</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万元、维修（护）费</w:t>
      </w:r>
      <w:r>
        <w:rPr>
          <w:rFonts w:hint="eastAsia" w:ascii="宋体" w:hAnsi="宋体" w:eastAsia="宋体" w:cs="宋体"/>
          <w:color w:val="auto"/>
          <w:sz w:val="32"/>
          <w:szCs w:val="32"/>
          <w:u w:val="single"/>
          <w:lang w:val="en-US" w:eastAsia="zh-CN"/>
        </w:rPr>
        <w:t>4</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万元、租赁费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万元、会议费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万元、培训费</w:t>
      </w:r>
      <w:r>
        <w:rPr>
          <w:rFonts w:hint="eastAsia" w:ascii="宋体" w:hAnsi="宋体" w:eastAsia="宋体" w:cs="宋体"/>
          <w:color w:val="auto"/>
          <w:sz w:val="32"/>
          <w:szCs w:val="32"/>
          <w:u w:val="single"/>
          <w:lang w:val="en-US" w:eastAsia="zh-CN"/>
        </w:rPr>
        <w:t>2</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万元、公务接待费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万元、专用材料费</w:t>
      </w:r>
      <w:r>
        <w:rPr>
          <w:rFonts w:hint="eastAsia" w:ascii="宋体" w:hAnsi="宋体" w:eastAsia="宋体" w:cs="宋体"/>
          <w:color w:val="auto"/>
          <w:sz w:val="32"/>
          <w:szCs w:val="32"/>
          <w:u w:val="single"/>
          <w:lang w:val="en-US" w:eastAsia="zh-CN"/>
        </w:rPr>
        <w:t>3</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万元、被装购置费0</w:t>
      </w:r>
      <w:r>
        <w:rPr>
          <w:rFonts w:hint="eastAsia" w:ascii="宋体" w:hAnsi="宋体" w:cs="宋体"/>
          <w:color w:val="auto"/>
          <w:sz w:val="32"/>
          <w:szCs w:val="32"/>
          <w:lang w:val="en-US" w:eastAsia="zh-CN"/>
        </w:rPr>
        <w:t>.00</w:t>
      </w:r>
      <w:r>
        <w:rPr>
          <w:rFonts w:hint="eastAsia" w:ascii="宋体" w:hAnsi="宋体" w:eastAsia="宋体" w:cs="宋体"/>
          <w:color w:val="auto"/>
          <w:sz w:val="32"/>
          <w:szCs w:val="32"/>
        </w:rPr>
        <w:t>万元、专用燃料费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万元、劳务费</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万元、委托业务费</w:t>
      </w:r>
      <w:r>
        <w:rPr>
          <w:rFonts w:hint="eastAsia" w:ascii="宋体" w:hAnsi="宋体" w:eastAsia="宋体" w:cs="宋体"/>
          <w:color w:val="auto"/>
          <w:sz w:val="32"/>
          <w:szCs w:val="32"/>
          <w:u w:val="single"/>
        </w:rPr>
        <w:t>3</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万元、工会经费</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万元、福利费</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万元、公务用车运行维护费</w:t>
      </w:r>
      <w:r>
        <w:rPr>
          <w:rFonts w:hint="eastAsia" w:ascii="宋体" w:hAnsi="宋体" w:eastAsia="宋体" w:cs="宋体"/>
          <w:color w:val="auto"/>
          <w:sz w:val="32"/>
          <w:szCs w:val="32"/>
          <w:u w:val="single"/>
          <w:lang w:val="en-US" w:eastAsia="zh-CN"/>
        </w:rPr>
        <w:t>3.5</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万元、其他交通费用</w:t>
      </w:r>
      <w:r>
        <w:rPr>
          <w:rFonts w:hint="eastAsia" w:ascii="宋体" w:hAnsi="宋体" w:eastAsia="宋体" w:cs="宋体"/>
          <w:color w:val="auto"/>
          <w:sz w:val="32"/>
          <w:szCs w:val="32"/>
          <w:u w:val="single"/>
          <w:lang w:val="en-US" w:eastAsia="zh-CN"/>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万元、税金及附加费用</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万元、其他商品和服务支出</w:t>
      </w:r>
      <w:r>
        <w:rPr>
          <w:rFonts w:hint="eastAsia" w:ascii="宋体" w:hAnsi="宋体" w:eastAsia="宋体" w:cs="宋体"/>
          <w:color w:val="auto"/>
          <w:sz w:val="32"/>
          <w:szCs w:val="32"/>
          <w:u w:val="single"/>
        </w:rPr>
        <w:t>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万元等。</w:t>
      </w:r>
    </w:p>
    <w:p>
      <w:pPr>
        <w:spacing w:beforeAutospacing="1" w:afterAutospacing="1" w:line="560" w:lineRule="atLeast"/>
        <w:ind w:firstLine="643"/>
        <w:jc w:val="both"/>
        <w:rPr>
          <w:rFonts w:hint="eastAsia" w:ascii="宋体" w:hAnsi="宋体" w:eastAsia="宋体" w:cs="宋体"/>
          <w:kern w:val="0"/>
          <w:sz w:val="32"/>
          <w:szCs w:val="32"/>
        </w:rPr>
      </w:pPr>
      <w:r>
        <w:rPr>
          <w:rFonts w:hint="eastAsia" w:ascii="宋体" w:hAnsi="宋体" w:cs="宋体"/>
          <w:color w:val="auto"/>
          <w:sz w:val="32"/>
          <w:szCs w:val="32"/>
          <w:lang w:eastAsia="zh-CN"/>
        </w:rPr>
        <w:t>八、</w:t>
      </w:r>
      <w:r>
        <w:rPr>
          <w:rFonts w:hint="eastAsia" w:ascii="宋体" w:hAnsi="宋体" w:eastAsia="宋体" w:cs="宋体"/>
          <w:kern w:val="0"/>
          <w:sz w:val="32"/>
          <w:szCs w:val="32"/>
        </w:rPr>
        <w:t>财政拨款“三公”经费支出决算情况说明</w:t>
      </w:r>
    </w:p>
    <w:p>
      <w:pPr>
        <w:keepNext/>
        <w:spacing w:beforeAutospacing="1" w:afterAutospacing="1" w:line="560" w:lineRule="atLeast"/>
        <w:ind w:firstLine="643"/>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（一）财政拨款“三公”经费支出总体情况说明。</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年度财政拨款“三公”经费预算</w:t>
      </w:r>
      <w:r>
        <w:rPr>
          <w:rFonts w:hint="eastAsia" w:ascii="宋体" w:hAnsi="宋体" w:eastAsia="宋体" w:cs="宋体"/>
          <w:color w:val="auto"/>
          <w:sz w:val="32"/>
          <w:szCs w:val="32"/>
          <w:u w:val="single"/>
          <w:lang w:val="en-US" w:eastAsia="zh-CN"/>
        </w:rPr>
        <w:t>3.5</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lang w:val="en-US" w:eastAsia="zh-CN"/>
        </w:rPr>
        <w:t>3.5</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万元，完成预算的</w:t>
      </w:r>
      <w:r>
        <w:rPr>
          <w:rFonts w:hint="eastAsia" w:ascii="宋体" w:hAnsi="宋体" w:eastAsia="宋体" w:cs="宋体"/>
          <w:color w:val="auto"/>
          <w:sz w:val="32"/>
          <w:szCs w:val="32"/>
          <w:u w:val="single"/>
          <w:lang w:val="en-US" w:eastAsia="zh-CN"/>
        </w:rPr>
        <w:t>1</w:t>
      </w:r>
      <w:r>
        <w:rPr>
          <w:rFonts w:hint="eastAsia" w:ascii="宋体" w:hAnsi="宋体" w:eastAsia="宋体" w:cs="宋体"/>
          <w:color w:val="auto"/>
          <w:sz w:val="32"/>
          <w:szCs w:val="32"/>
          <w:u w:val="single"/>
        </w:rPr>
        <w:t>00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%。其中：因公出国（境）费预算</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万元，完成预算的</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%；公务用车购置及运行维护费预算</w:t>
      </w:r>
      <w:r>
        <w:rPr>
          <w:rFonts w:hint="eastAsia" w:ascii="宋体" w:hAnsi="宋体" w:eastAsia="宋体" w:cs="宋体"/>
          <w:color w:val="auto"/>
          <w:sz w:val="32"/>
          <w:szCs w:val="32"/>
          <w:u w:val="single"/>
          <w:lang w:val="en-US" w:eastAsia="zh-CN"/>
        </w:rPr>
        <w:t>3.5</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lang w:val="en-US" w:eastAsia="zh-CN"/>
        </w:rPr>
        <w:t>3.5</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万元，完成预算的</w:t>
      </w:r>
      <w:r>
        <w:rPr>
          <w:rFonts w:hint="eastAsia" w:ascii="宋体" w:hAnsi="宋体" w:eastAsia="宋体" w:cs="宋体"/>
          <w:color w:val="auto"/>
          <w:sz w:val="32"/>
          <w:szCs w:val="32"/>
          <w:u w:val="single"/>
          <w:lang w:val="en-US" w:eastAsia="zh-CN"/>
        </w:rPr>
        <w:t>1</w:t>
      </w:r>
      <w:r>
        <w:rPr>
          <w:rFonts w:hint="eastAsia" w:ascii="宋体" w:hAnsi="宋体" w:eastAsia="宋体" w:cs="宋体"/>
          <w:color w:val="auto"/>
          <w:sz w:val="32"/>
          <w:szCs w:val="32"/>
          <w:u w:val="single"/>
        </w:rPr>
        <w:t>00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%；公务接待费预算</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万元，支出决算</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万元，完成预算的</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年度财政拨款“三公”经费支出决算与预算差异原因：年初无预算安排。</w:t>
      </w:r>
    </w:p>
    <w:p>
      <w:pPr>
        <w:keepNext/>
        <w:spacing w:beforeAutospacing="1" w:afterAutospacing="1" w:line="560" w:lineRule="atLeast"/>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（二）财政拨款“三公”经费支出具体情况说明。</w:t>
      </w:r>
    </w:p>
    <w:p>
      <w:pPr>
        <w:keepNext/>
        <w:spacing w:beforeAutospacing="1" w:afterAutospacing="1" w:line="560" w:lineRule="atLeast"/>
        <w:ind w:firstLine="643"/>
        <w:jc w:val="both"/>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年度财政拨款“三公”经费支出</w:t>
      </w:r>
      <w:r>
        <w:rPr>
          <w:rFonts w:hint="eastAsia" w:ascii="宋体" w:hAnsi="宋体" w:eastAsia="宋体" w:cs="宋体"/>
          <w:color w:val="auto"/>
          <w:sz w:val="32"/>
          <w:szCs w:val="32"/>
          <w:u w:val="single"/>
          <w:lang w:val="en-US" w:eastAsia="zh-CN"/>
        </w:rPr>
        <w:t>3.5</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万元。因公出国（境）费支出</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%；公务用车购置及运行维护费支出</w:t>
      </w:r>
      <w:r>
        <w:rPr>
          <w:rFonts w:hint="eastAsia" w:ascii="宋体" w:hAnsi="宋体" w:eastAsia="宋体" w:cs="宋体"/>
          <w:color w:val="auto"/>
          <w:sz w:val="32"/>
          <w:szCs w:val="32"/>
          <w:u w:val="single"/>
          <w:lang w:val="en-US" w:eastAsia="zh-CN"/>
        </w:rPr>
        <w:t>3.5</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lang w:val="en-US" w:eastAsia="zh-CN"/>
        </w:rPr>
        <w:t>1</w:t>
      </w:r>
      <w:r>
        <w:rPr>
          <w:rFonts w:hint="eastAsia" w:ascii="宋体" w:hAnsi="宋体" w:eastAsia="宋体" w:cs="宋体"/>
          <w:color w:val="auto"/>
          <w:sz w:val="32"/>
          <w:szCs w:val="32"/>
          <w:u w:val="single"/>
        </w:rPr>
        <w:t>00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rPr>
        <w:t>%；公务接待费支出</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%。其中：</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1.因公出国（境）费支出</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万元，全年出国（境）团组</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个，累计</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人次。与上年决算相比，增加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万元，增长</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%，变动原因：年初无预算安排，本年无支出且与上年无变化。</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2.公务用车购置及运行维护费支出</w:t>
      </w:r>
      <w:r>
        <w:rPr>
          <w:rFonts w:hint="eastAsia" w:ascii="宋体" w:hAnsi="宋体" w:eastAsia="宋体" w:cs="宋体"/>
          <w:color w:val="auto"/>
          <w:sz w:val="32"/>
          <w:szCs w:val="32"/>
          <w:u w:val="single"/>
          <w:lang w:val="en-US" w:eastAsia="zh-CN"/>
        </w:rPr>
        <w:t>3.</w:t>
      </w:r>
      <w:r>
        <w:rPr>
          <w:rFonts w:hint="eastAsia" w:ascii="宋体" w:hAnsi="宋体" w:cs="宋体"/>
          <w:color w:val="auto"/>
          <w:sz w:val="32"/>
          <w:szCs w:val="32"/>
          <w:u w:val="single"/>
          <w:lang w:val="en-US" w:eastAsia="zh-CN"/>
        </w:rPr>
        <w:t>50</w:t>
      </w:r>
      <w:r>
        <w:rPr>
          <w:rFonts w:hint="eastAsia" w:ascii="宋体" w:hAnsi="宋体" w:eastAsia="宋体" w:cs="宋体"/>
          <w:color w:val="auto"/>
          <w:sz w:val="32"/>
          <w:szCs w:val="32"/>
        </w:rPr>
        <w:t>万元。其中：</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（1）公务用车购置支出</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万元。本年度使用财政拨款购置公务用车</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辆，开支内容：车辆购置费用。与上年决算相比，增加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万元，增长</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%，变动原因：年初无预算安排。</w:t>
      </w:r>
    </w:p>
    <w:p>
      <w:pPr>
        <w:spacing w:beforeAutospacing="1" w:afterAutospacing="1" w:line="560" w:lineRule="atLeast"/>
        <w:ind w:firstLine="640"/>
        <w:jc w:val="both"/>
        <w:rPr>
          <w:rFonts w:hint="default" w:ascii="宋体" w:hAnsi="宋体" w:eastAsia="宋体" w:cs="宋体"/>
          <w:color w:val="auto"/>
          <w:sz w:val="32"/>
          <w:szCs w:val="32"/>
          <w:lang w:val="en-US"/>
        </w:rPr>
      </w:pPr>
      <w:r>
        <w:rPr>
          <w:rFonts w:hint="eastAsia" w:ascii="宋体" w:hAnsi="宋体" w:eastAsia="宋体" w:cs="宋体"/>
          <w:color w:val="auto"/>
          <w:sz w:val="32"/>
          <w:szCs w:val="32"/>
        </w:rPr>
        <w:t>（2）公务用车运行维护费支出</w:t>
      </w:r>
      <w:r>
        <w:rPr>
          <w:rFonts w:hint="eastAsia" w:ascii="宋体" w:hAnsi="宋体" w:eastAsia="宋体" w:cs="宋体"/>
          <w:color w:val="auto"/>
          <w:sz w:val="32"/>
          <w:szCs w:val="32"/>
          <w:u w:val="single"/>
          <w:lang w:val="en-US" w:eastAsia="zh-CN"/>
        </w:rPr>
        <w:t>3.5</w:t>
      </w:r>
      <w:r>
        <w:rPr>
          <w:rFonts w:hint="eastAsia" w:ascii="宋体" w:hAnsi="宋体" w:cs="宋体"/>
          <w:color w:val="auto"/>
          <w:sz w:val="32"/>
          <w:szCs w:val="32"/>
          <w:u w:val="single"/>
          <w:lang w:val="en-US" w:eastAsia="zh-CN"/>
        </w:rPr>
        <w:t>0</w:t>
      </w:r>
      <w:r>
        <w:rPr>
          <w:rFonts w:hint="eastAsia" w:ascii="宋体" w:hAnsi="宋体" w:eastAsia="宋体" w:cs="宋体"/>
          <w:color w:val="auto"/>
          <w:sz w:val="32"/>
          <w:szCs w:val="32"/>
        </w:rPr>
        <w:t>万元。公务用车运行维护费主要用于按规定保留的公务用车的燃料费、维修费、过桥过路费、保险费、安全奖励费用等支出。截至202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年12月31日，使用财政拨款开支的公务用车保有量为</w:t>
      </w:r>
      <w:r>
        <w:rPr>
          <w:rFonts w:hint="eastAsia" w:ascii="宋体" w:hAnsi="宋体" w:cs="宋体"/>
          <w:color w:val="auto"/>
          <w:sz w:val="32"/>
          <w:szCs w:val="32"/>
          <w:u w:val="single"/>
          <w:lang w:val="en-US" w:eastAsia="zh-CN"/>
        </w:rPr>
        <w:t>5</w:t>
      </w:r>
      <w:r>
        <w:rPr>
          <w:rFonts w:hint="eastAsia" w:ascii="宋体" w:hAnsi="宋体" w:eastAsia="宋体" w:cs="宋体"/>
          <w:color w:val="auto"/>
          <w:sz w:val="32"/>
          <w:szCs w:val="32"/>
        </w:rPr>
        <w:t>辆。与上年决算相比，增加</w:t>
      </w:r>
      <w:r>
        <w:rPr>
          <w:rFonts w:hint="eastAsia" w:ascii="宋体" w:hAnsi="宋体" w:cs="宋体"/>
          <w:color w:val="auto"/>
          <w:sz w:val="32"/>
          <w:szCs w:val="32"/>
          <w:u w:val="single"/>
          <w:lang w:val="en-US" w:eastAsia="zh-CN"/>
        </w:rPr>
        <w:t>3.50</w:t>
      </w:r>
      <w:r>
        <w:rPr>
          <w:rFonts w:hint="eastAsia" w:ascii="宋体" w:hAnsi="宋体" w:eastAsia="宋体" w:cs="宋体"/>
          <w:color w:val="auto"/>
          <w:sz w:val="32"/>
          <w:szCs w:val="32"/>
        </w:rPr>
        <w:t>万元，增长</w:t>
      </w:r>
      <w:r>
        <w:rPr>
          <w:rFonts w:hint="eastAsia" w:ascii="宋体" w:hAnsi="宋体" w:cs="宋体"/>
          <w:color w:val="auto"/>
          <w:sz w:val="32"/>
          <w:szCs w:val="32"/>
          <w:u w:val="single"/>
          <w:lang w:val="en-US" w:eastAsia="zh-CN"/>
        </w:rPr>
        <w:t>1</w:t>
      </w:r>
      <w:r>
        <w:rPr>
          <w:rFonts w:hint="eastAsia" w:ascii="宋体" w:hAnsi="宋体" w:eastAsia="宋体" w:cs="宋体"/>
          <w:color w:val="auto"/>
          <w:sz w:val="32"/>
          <w:szCs w:val="32"/>
          <w:u w:val="single"/>
        </w:rPr>
        <w:t>00</w:t>
      </w:r>
      <w:r>
        <w:rPr>
          <w:rFonts w:hint="eastAsia" w:ascii="宋体" w:hAnsi="宋体" w:cs="宋体"/>
          <w:color w:val="auto"/>
          <w:sz w:val="32"/>
          <w:szCs w:val="32"/>
          <w:u w:val="single"/>
          <w:lang w:val="en-US" w:eastAsia="zh-CN"/>
        </w:rPr>
        <w:t>.00</w:t>
      </w:r>
      <w:r>
        <w:rPr>
          <w:rFonts w:hint="eastAsia" w:ascii="宋体" w:hAnsi="宋体" w:eastAsia="宋体" w:cs="宋体"/>
          <w:color w:val="auto"/>
          <w:sz w:val="32"/>
          <w:szCs w:val="32"/>
          <w:u w:val="single"/>
        </w:rPr>
        <w:t>%</w:t>
      </w:r>
      <w:r>
        <w:rPr>
          <w:rFonts w:hint="eastAsia" w:ascii="宋体" w:hAnsi="宋体" w:eastAsia="宋体" w:cs="宋体"/>
          <w:color w:val="auto"/>
          <w:sz w:val="32"/>
          <w:szCs w:val="32"/>
        </w:rPr>
        <w:t>，变动原因：</w:t>
      </w:r>
      <w:r>
        <w:rPr>
          <w:rFonts w:hint="eastAsia" w:ascii="宋体" w:hAnsi="宋体" w:cs="宋体"/>
          <w:color w:val="auto"/>
          <w:sz w:val="32"/>
          <w:szCs w:val="32"/>
          <w:lang w:val="en-US" w:eastAsia="zh-CN"/>
        </w:rPr>
        <w:t>2023年用</w:t>
      </w:r>
      <w:r>
        <w:rPr>
          <w:rFonts w:hint="eastAsia" w:ascii="宋体" w:hAnsi="宋体" w:cs="宋体"/>
          <w:color w:val="auto"/>
          <w:sz w:val="32"/>
          <w:szCs w:val="32"/>
          <w:lang w:eastAsia="zh-CN"/>
        </w:rPr>
        <w:t>单位经营资金购置的</w:t>
      </w:r>
      <w:r>
        <w:rPr>
          <w:rFonts w:hint="eastAsia" w:ascii="宋体" w:hAnsi="宋体" w:cs="宋体"/>
          <w:color w:val="auto"/>
          <w:sz w:val="32"/>
          <w:szCs w:val="32"/>
          <w:lang w:val="en-US" w:eastAsia="zh-CN"/>
        </w:rPr>
        <w:t>2辆车，年初公务用车运行维护费预算</w:t>
      </w:r>
      <w:r>
        <w:rPr>
          <w:rFonts w:hint="eastAsia" w:ascii="宋体" w:hAnsi="宋体" w:cs="宋体"/>
          <w:color w:val="auto"/>
          <w:sz w:val="32"/>
          <w:szCs w:val="32"/>
          <w:u w:val="single"/>
          <w:lang w:val="en-US" w:eastAsia="zh-CN"/>
        </w:rPr>
        <w:t>3.50</w:t>
      </w:r>
      <w:r>
        <w:rPr>
          <w:rFonts w:hint="eastAsia" w:ascii="宋体" w:hAnsi="宋体" w:cs="宋体"/>
          <w:color w:val="auto"/>
          <w:sz w:val="32"/>
          <w:szCs w:val="32"/>
          <w:lang w:val="en-US" w:eastAsia="zh-CN"/>
        </w:rPr>
        <w:t>万元用财政资金安排。</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3.公务接待费支出</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万元。其中：国内公务接待支出</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万元，接待</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批次，</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人次，开支内容：国内公务接待费用；国（境）外公务接待支出</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万元，接待</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批次，</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人次，开支内容：国外公务接待费用。与上年决算相比，减少</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万元，减少</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%，变动原因：202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年无公务接待费预算安排。</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九、政府性基金预算财政拨款支出决算情况说明</w:t>
      </w:r>
    </w:p>
    <w:p>
      <w:pPr>
        <w:widowControl/>
        <w:spacing w:before="240" w:after="240"/>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年度政府性基金支出决算</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万元。与上年决算相比，增加</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万元，增长</w:t>
      </w:r>
      <w:r>
        <w:rPr>
          <w:rFonts w:hint="eastAsia" w:ascii="宋体" w:hAnsi="宋体" w:eastAsia="宋体" w:cs="宋体"/>
          <w:color w:val="auto"/>
          <w:sz w:val="32"/>
          <w:szCs w:val="32"/>
          <w:u w:val="single"/>
        </w:rPr>
        <w:t>0.00</w:t>
      </w:r>
      <w:r>
        <w:rPr>
          <w:rFonts w:hint="eastAsia" w:ascii="宋体" w:hAnsi="宋体" w:eastAsia="宋体" w:cs="宋体"/>
          <w:color w:val="auto"/>
          <w:sz w:val="32"/>
          <w:szCs w:val="32"/>
        </w:rPr>
        <w:t>%，变动原因：本单位无政府性基金预算财政拨款收、支、余。</w:t>
      </w:r>
    </w:p>
    <w:p>
      <w:pPr>
        <w:widowControl/>
        <w:numPr>
          <w:ilvl w:val="0"/>
          <w:numId w:val="0"/>
        </w:numPr>
        <w:spacing w:before="240" w:after="240"/>
        <w:ind w:leftChars="0"/>
        <w:jc w:val="left"/>
        <w:rPr>
          <w:rFonts w:hint="eastAsia" w:ascii="宋体" w:hAnsi="宋体" w:eastAsia="宋体" w:cs="宋体"/>
          <w:kern w:val="0"/>
          <w:sz w:val="32"/>
          <w:szCs w:val="32"/>
        </w:rPr>
      </w:pPr>
      <w:r>
        <w:rPr>
          <w:rFonts w:hint="eastAsia" w:ascii="宋体" w:hAnsi="宋体" w:eastAsia="宋体" w:cs="宋体"/>
          <w:kern w:val="0"/>
          <w:sz w:val="32"/>
          <w:szCs w:val="32"/>
          <w:lang w:eastAsia="zh-CN"/>
        </w:rPr>
        <w:t>十、</w:t>
      </w:r>
      <w:r>
        <w:rPr>
          <w:rFonts w:hint="eastAsia" w:ascii="宋体" w:hAnsi="宋体" w:eastAsia="宋体" w:cs="宋体"/>
          <w:kern w:val="0"/>
          <w:sz w:val="32"/>
          <w:szCs w:val="32"/>
        </w:rPr>
        <w:t>国有资本经营预算财政拨款支出决算情况说明</w:t>
      </w:r>
    </w:p>
    <w:p>
      <w:pPr>
        <w:spacing w:beforeAutospacing="1" w:afterAutospacing="1" w:line="560" w:lineRule="atLeast"/>
        <w:ind w:firstLine="640"/>
        <w:jc w:val="both"/>
        <w:rPr>
          <w:rFonts w:hint="eastAsia" w:ascii="宋体" w:hAnsi="宋体" w:eastAsia="宋体" w:cs="宋体"/>
          <w:sz w:val="32"/>
          <w:szCs w:val="32"/>
        </w:rPr>
      </w:pPr>
      <w:r>
        <w:rPr>
          <w:rFonts w:hint="eastAsia" w:ascii="宋体" w:hAnsi="宋体" w:eastAsia="宋体" w:cs="宋体"/>
          <w:sz w:val="32"/>
          <w:szCs w:val="32"/>
        </w:rPr>
        <w:t>内蒙古自治区特种设备检验研究院二连浩特分院单位202</w:t>
      </w:r>
      <w:r>
        <w:rPr>
          <w:rFonts w:hint="eastAsia" w:ascii="宋体" w:hAnsi="宋体" w:eastAsia="宋体" w:cs="宋体"/>
          <w:sz w:val="32"/>
          <w:szCs w:val="32"/>
          <w:lang w:val="en-US" w:eastAsia="zh-CN"/>
        </w:rPr>
        <w:t>3</w:t>
      </w:r>
      <w:r>
        <w:rPr>
          <w:rFonts w:hint="eastAsia" w:ascii="宋体" w:hAnsi="宋体" w:eastAsia="宋体" w:cs="宋体"/>
          <w:sz w:val="32"/>
          <w:szCs w:val="32"/>
        </w:rPr>
        <w:t>年度国有资本经营预算支出决算</w:t>
      </w:r>
      <w:r>
        <w:rPr>
          <w:rFonts w:hint="eastAsia" w:ascii="宋体" w:hAnsi="宋体" w:eastAsia="宋体" w:cs="宋体"/>
          <w:sz w:val="32"/>
          <w:szCs w:val="32"/>
          <w:u w:val="single"/>
        </w:rPr>
        <w:t>0.00</w:t>
      </w:r>
      <w:r>
        <w:rPr>
          <w:rFonts w:hint="eastAsia" w:ascii="宋体" w:hAnsi="宋体" w:eastAsia="宋体" w:cs="宋体"/>
          <w:sz w:val="32"/>
          <w:szCs w:val="32"/>
        </w:rPr>
        <w:t>万元。与上年决算相比，增加</w:t>
      </w:r>
      <w:r>
        <w:rPr>
          <w:rFonts w:hint="eastAsia" w:ascii="宋体" w:hAnsi="宋体" w:eastAsia="宋体" w:cs="宋体"/>
          <w:sz w:val="32"/>
          <w:szCs w:val="32"/>
          <w:u w:val="single"/>
        </w:rPr>
        <w:t>0.00</w:t>
      </w:r>
      <w:r>
        <w:rPr>
          <w:rFonts w:hint="eastAsia" w:ascii="宋体" w:hAnsi="宋体" w:eastAsia="宋体" w:cs="宋体"/>
          <w:sz w:val="32"/>
          <w:szCs w:val="32"/>
        </w:rPr>
        <w:t>万元，增长</w:t>
      </w:r>
      <w:r>
        <w:rPr>
          <w:rFonts w:hint="eastAsia" w:ascii="宋体" w:hAnsi="宋体" w:eastAsia="宋体" w:cs="宋体"/>
          <w:sz w:val="32"/>
          <w:szCs w:val="32"/>
          <w:u w:val="single"/>
        </w:rPr>
        <w:t>0.00</w:t>
      </w:r>
      <w:r>
        <w:rPr>
          <w:rFonts w:hint="eastAsia" w:ascii="宋体" w:hAnsi="宋体" w:eastAsia="宋体" w:cs="宋体"/>
          <w:sz w:val="32"/>
          <w:szCs w:val="32"/>
        </w:rPr>
        <w:t>%，变动原因：本年无国有资本经营预算财政拨款收、支、余。</w:t>
      </w:r>
    </w:p>
    <w:p>
      <w:pPr>
        <w:widowControl/>
        <w:numPr>
          <w:ilvl w:val="0"/>
          <w:numId w:val="2"/>
        </w:numPr>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机构运行经费支出决算情况说明</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年度机构运行经费支出决算</w:t>
      </w:r>
      <w:r>
        <w:rPr>
          <w:rFonts w:hint="eastAsia" w:ascii="宋体" w:hAnsi="宋体" w:cs="宋体"/>
          <w:color w:val="auto"/>
          <w:sz w:val="32"/>
          <w:szCs w:val="32"/>
          <w:u w:val="single"/>
          <w:lang w:val="en-US" w:eastAsia="zh-CN"/>
        </w:rPr>
        <w:t>3.13</w:t>
      </w:r>
      <w:r>
        <w:rPr>
          <w:rFonts w:hint="eastAsia" w:ascii="宋体" w:hAnsi="宋体" w:eastAsia="宋体" w:cs="宋体"/>
          <w:color w:val="auto"/>
          <w:sz w:val="32"/>
          <w:szCs w:val="32"/>
        </w:rPr>
        <w:t>万元。比上年决算相比，</w:t>
      </w:r>
      <w:r>
        <w:rPr>
          <w:rFonts w:hint="eastAsia" w:ascii="宋体" w:hAnsi="宋体" w:cs="宋体"/>
          <w:color w:val="auto"/>
          <w:sz w:val="32"/>
          <w:szCs w:val="32"/>
          <w:lang w:eastAsia="zh-CN"/>
        </w:rPr>
        <w:t>增加</w:t>
      </w:r>
      <w:r>
        <w:rPr>
          <w:rFonts w:hint="eastAsia" w:ascii="宋体" w:hAnsi="宋体" w:cs="宋体"/>
          <w:color w:val="auto"/>
          <w:sz w:val="32"/>
          <w:szCs w:val="32"/>
          <w:u w:val="single"/>
          <w:lang w:val="en-US" w:eastAsia="zh-CN"/>
        </w:rPr>
        <w:t>3.10</w:t>
      </w:r>
      <w:r>
        <w:rPr>
          <w:rFonts w:hint="eastAsia" w:ascii="宋体" w:hAnsi="宋体" w:eastAsia="宋体" w:cs="宋体"/>
          <w:color w:val="auto"/>
          <w:sz w:val="32"/>
          <w:szCs w:val="32"/>
        </w:rPr>
        <w:t>万元，</w:t>
      </w:r>
      <w:r>
        <w:rPr>
          <w:rFonts w:hint="eastAsia" w:ascii="宋体" w:hAnsi="宋体" w:cs="宋体"/>
          <w:color w:val="auto"/>
          <w:sz w:val="32"/>
          <w:szCs w:val="32"/>
          <w:lang w:eastAsia="zh-CN"/>
        </w:rPr>
        <w:t>增长</w:t>
      </w:r>
      <w:r>
        <w:rPr>
          <w:rFonts w:hint="eastAsia" w:ascii="宋体" w:hAnsi="宋体" w:cs="宋体"/>
          <w:color w:val="auto"/>
          <w:sz w:val="32"/>
          <w:szCs w:val="32"/>
          <w:u w:val="single"/>
          <w:lang w:val="en-US" w:eastAsia="zh-CN"/>
        </w:rPr>
        <w:t xml:space="preserve"> 11481.48 </w:t>
      </w:r>
      <w:r>
        <w:rPr>
          <w:rFonts w:hint="eastAsia" w:ascii="宋体" w:hAnsi="宋体" w:eastAsia="宋体" w:cs="宋体"/>
          <w:color w:val="auto"/>
          <w:sz w:val="32"/>
          <w:szCs w:val="32"/>
        </w:rPr>
        <w:t>%，变动原因：</w:t>
      </w:r>
      <w:r>
        <w:rPr>
          <w:rFonts w:hint="eastAsia" w:ascii="宋体" w:hAnsi="宋体" w:cs="宋体"/>
          <w:color w:val="auto"/>
          <w:sz w:val="32"/>
          <w:szCs w:val="32"/>
          <w:u w:val="single"/>
          <w:lang w:val="en-US" w:eastAsia="zh-CN"/>
        </w:rPr>
        <w:t>3.10</w:t>
      </w:r>
      <w:r>
        <w:rPr>
          <w:rFonts w:hint="eastAsia" w:ascii="宋体" w:hAnsi="宋体" w:eastAsia="宋体" w:cs="宋体"/>
          <w:color w:val="auto"/>
          <w:sz w:val="32"/>
          <w:szCs w:val="32"/>
        </w:rPr>
        <w:t>万元为</w:t>
      </w:r>
      <w:r>
        <w:rPr>
          <w:rFonts w:hint="eastAsia" w:ascii="宋体" w:hAnsi="宋体" w:cs="宋体"/>
          <w:color w:val="auto"/>
          <w:sz w:val="32"/>
          <w:szCs w:val="32"/>
          <w:lang w:eastAsia="zh-CN"/>
        </w:rPr>
        <w:t>福利费和工会经费</w:t>
      </w:r>
      <w:r>
        <w:rPr>
          <w:rFonts w:hint="eastAsia" w:ascii="宋体" w:hAnsi="宋体" w:eastAsia="宋体" w:cs="宋体"/>
          <w:color w:val="auto"/>
          <w:sz w:val="32"/>
          <w:szCs w:val="32"/>
        </w:rPr>
        <w:t>支出。</w:t>
      </w:r>
    </w:p>
    <w:p>
      <w:pPr>
        <w:widowControl/>
        <w:numPr>
          <w:ilvl w:val="0"/>
          <w:numId w:val="2"/>
        </w:numPr>
        <w:spacing w:before="240" w:after="240"/>
        <w:ind w:left="0" w:leftChars="0" w:firstLine="0" w:firstLineChars="0"/>
        <w:jc w:val="left"/>
        <w:rPr>
          <w:rFonts w:hint="eastAsia" w:ascii="宋体" w:hAnsi="宋体" w:eastAsia="宋体" w:cs="宋体"/>
          <w:kern w:val="0"/>
          <w:sz w:val="32"/>
          <w:szCs w:val="32"/>
        </w:rPr>
      </w:pPr>
      <w:r>
        <w:rPr>
          <w:rFonts w:hint="eastAsia" w:ascii="宋体" w:hAnsi="宋体" w:eastAsia="宋体" w:cs="宋体"/>
          <w:kern w:val="0"/>
          <w:sz w:val="32"/>
          <w:szCs w:val="32"/>
        </w:rPr>
        <w:t>政府采购支出决算情况说明</w:t>
      </w:r>
    </w:p>
    <w:p>
      <w:pPr>
        <w:spacing w:beforeAutospacing="1" w:afterAutospacing="1" w:line="560" w:lineRule="atLeast"/>
        <w:ind w:firstLine="640"/>
        <w:jc w:val="both"/>
        <w:rPr>
          <w:rFonts w:hint="eastAsia" w:ascii="宋体" w:hAnsi="宋体" w:eastAsia="宋体" w:cs="宋体"/>
          <w:sz w:val="32"/>
          <w:szCs w:val="32"/>
        </w:rPr>
      </w:pPr>
      <w:r>
        <w:rPr>
          <w:rFonts w:hint="eastAsia" w:ascii="宋体" w:hAnsi="宋体" w:eastAsia="宋体" w:cs="宋体"/>
          <w:sz w:val="32"/>
          <w:szCs w:val="32"/>
        </w:rPr>
        <w:t>内蒙古自治区特种设备检验研究院二连浩特分院单位202</w:t>
      </w:r>
      <w:r>
        <w:rPr>
          <w:rFonts w:hint="eastAsia" w:ascii="宋体" w:hAnsi="宋体" w:eastAsia="宋体" w:cs="宋体"/>
          <w:sz w:val="32"/>
          <w:szCs w:val="32"/>
          <w:lang w:val="en-US" w:eastAsia="zh-CN"/>
        </w:rPr>
        <w:t>3</w:t>
      </w:r>
      <w:r>
        <w:rPr>
          <w:rFonts w:hint="eastAsia" w:ascii="宋体" w:hAnsi="宋体" w:eastAsia="宋体" w:cs="宋体"/>
          <w:sz w:val="32"/>
          <w:szCs w:val="32"/>
        </w:rPr>
        <w:t>年度政府采购支出总额</w:t>
      </w:r>
      <w:r>
        <w:rPr>
          <w:rFonts w:hint="eastAsia" w:ascii="宋体" w:hAnsi="宋体" w:eastAsia="宋体" w:cs="宋体"/>
          <w:sz w:val="32"/>
          <w:szCs w:val="32"/>
          <w:u w:val="single"/>
          <w:lang w:val="en-US" w:eastAsia="zh-CN"/>
        </w:rPr>
        <w:t>23</w:t>
      </w:r>
      <w:r>
        <w:rPr>
          <w:rFonts w:hint="eastAsia" w:ascii="宋体" w:hAnsi="宋体" w:eastAsia="宋体" w:cs="宋体"/>
          <w:sz w:val="32"/>
          <w:szCs w:val="32"/>
          <w:u w:val="single"/>
        </w:rPr>
        <w:t>.00</w:t>
      </w:r>
      <w:r>
        <w:rPr>
          <w:rFonts w:hint="eastAsia" w:ascii="宋体" w:hAnsi="宋体" w:eastAsia="宋体" w:cs="宋体"/>
          <w:sz w:val="32"/>
          <w:szCs w:val="32"/>
        </w:rPr>
        <w:t>万元，其中：政府采购货物支出</w:t>
      </w:r>
      <w:r>
        <w:rPr>
          <w:rFonts w:hint="eastAsia" w:ascii="宋体" w:hAnsi="宋体" w:eastAsia="宋体" w:cs="宋体"/>
          <w:sz w:val="32"/>
          <w:szCs w:val="32"/>
          <w:u w:val="single"/>
          <w:lang w:val="en-US" w:eastAsia="zh-CN"/>
        </w:rPr>
        <w:t>23</w:t>
      </w:r>
      <w:r>
        <w:rPr>
          <w:rFonts w:hint="eastAsia" w:ascii="宋体" w:hAnsi="宋体" w:eastAsia="宋体" w:cs="宋体"/>
          <w:sz w:val="32"/>
          <w:szCs w:val="32"/>
          <w:u w:val="single"/>
        </w:rPr>
        <w:t>.00</w:t>
      </w:r>
      <w:r>
        <w:rPr>
          <w:rFonts w:hint="eastAsia" w:ascii="宋体" w:hAnsi="宋体" w:eastAsia="宋体" w:cs="宋体"/>
          <w:sz w:val="32"/>
          <w:szCs w:val="32"/>
        </w:rPr>
        <w:t>万元、政府采购工程支出</w:t>
      </w:r>
      <w:r>
        <w:rPr>
          <w:rFonts w:hint="eastAsia" w:ascii="宋体" w:hAnsi="宋体" w:eastAsia="宋体" w:cs="宋体"/>
          <w:sz w:val="32"/>
          <w:szCs w:val="32"/>
          <w:u w:val="single"/>
        </w:rPr>
        <w:t>0.00</w:t>
      </w:r>
      <w:r>
        <w:rPr>
          <w:rFonts w:hint="eastAsia" w:ascii="宋体" w:hAnsi="宋体" w:eastAsia="宋体" w:cs="宋体"/>
          <w:sz w:val="32"/>
          <w:szCs w:val="32"/>
        </w:rPr>
        <w:t>万元、政府采购服务支出</w:t>
      </w:r>
      <w:r>
        <w:rPr>
          <w:rFonts w:hint="eastAsia" w:ascii="宋体" w:hAnsi="宋体" w:eastAsia="宋体" w:cs="宋体"/>
          <w:sz w:val="32"/>
          <w:szCs w:val="32"/>
          <w:u w:val="single"/>
        </w:rPr>
        <w:t>0.00</w:t>
      </w:r>
      <w:r>
        <w:rPr>
          <w:rFonts w:hint="eastAsia" w:ascii="宋体" w:hAnsi="宋体" w:eastAsia="宋体" w:cs="宋体"/>
          <w:sz w:val="32"/>
          <w:szCs w:val="32"/>
        </w:rPr>
        <w:t>万元。授予中小企业合同金额</w:t>
      </w:r>
      <w:r>
        <w:rPr>
          <w:rFonts w:hint="eastAsia" w:ascii="宋体" w:hAnsi="宋体" w:eastAsia="宋体" w:cs="宋体"/>
          <w:sz w:val="32"/>
          <w:szCs w:val="32"/>
          <w:u w:val="single"/>
        </w:rPr>
        <w:t>2</w:t>
      </w:r>
      <w:r>
        <w:rPr>
          <w:rFonts w:hint="eastAsia" w:ascii="宋体" w:hAnsi="宋体" w:eastAsia="宋体" w:cs="宋体"/>
          <w:sz w:val="32"/>
          <w:szCs w:val="32"/>
          <w:u w:val="single"/>
          <w:lang w:val="en-US" w:eastAsia="zh-CN"/>
        </w:rPr>
        <w:t>3</w:t>
      </w:r>
      <w:r>
        <w:rPr>
          <w:rFonts w:hint="eastAsia" w:ascii="宋体" w:hAnsi="宋体" w:cs="宋体"/>
          <w:sz w:val="32"/>
          <w:szCs w:val="32"/>
          <w:u w:val="single"/>
          <w:lang w:val="en-US" w:eastAsia="zh-CN"/>
        </w:rPr>
        <w:t>.00</w:t>
      </w:r>
      <w:r>
        <w:rPr>
          <w:rFonts w:hint="eastAsia" w:ascii="宋体" w:hAnsi="宋体" w:eastAsia="宋体" w:cs="宋体"/>
          <w:sz w:val="32"/>
          <w:szCs w:val="32"/>
        </w:rPr>
        <w:t>万元，占政府采购支出总额的</w:t>
      </w:r>
      <w:r>
        <w:rPr>
          <w:rFonts w:hint="eastAsia" w:ascii="宋体" w:hAnsi="宋体" w:eastAsia="宋体" w:cs="宋体"/>
          <w:sz w:val="32"/>
          <w:szCs w:val="32"/>
          <w:u w:val="single"/>
          <w:lang w:val="en-US" w:eastAsia="zh-CN"/>
        </w:rPr>
        <w:t>100</w:t>
      </w:r>
      <w:r>
        <w:rPr>
          <w:rFonts w:hint="eastAsia" w:ascii="宋体" w:hAnsi="宋体" w:cs="宋体"/>
          <w:sz w:val="32"/>
          <w:szCs w:val="32"/>
          <w:u w:val="single"/>
          <w:lang w:val="en-US" w:eastAsia="zh-CN"/>
        </w:rPr>
        <w:t>.00</w:t>
      </w:r>
      <w:r>
        <w:rPr>
          <w:rFonts w:hint="eastAsia" w:ascii="宋体" w:hAnsi="宋体" w:eastAsia="宋体" w:cs="宋体"/>
          <w:sz w:val="32"/>
          <w:szCs w:val="32"/>
        </w:rPr>
        <w:t>%，其中：授予小微企业合同金额</w:t>
      </w:r>
      <w:r>
        <w:rPr>
          <w:rFonts w:hint="eastAsia" w:ascii="宋体" w:hAnsi="宋体" w:eastAsia="宋体" w:cs="宋体"/>
          <w:sz w:val="32"/>
          <w:szCs w:val="32"/>
          <w:u w:val="single"/>
        </w:rPr>
        <w:t>2</w:t>
      </w:r>
      <w:r>
        <w:rPr>
          <w:rFonts w:hint="eastAsia" w:ascii="宋体" w:hAnsi="宋体" w:eastAsia="宋体" w:cs="宋体"/>
          <w:sz w:val="32"/>
          <w:szCs w:val="32"/>
          <w:u w:val="single"/>
          <w:lang w:val="en-US" w:eastAsia="zh-CN"/>
        </w:rPr>
        <w:t>3</w:t>
      </w:r>
      <w:r>
        <w:rPr>
          <w:rFonts w:hint="eastAsia" w:ascii="宋体" w:hAnsi="宋体" w:cs="宋体"/>
          <w:sz w:val="32"/>
          <w:szCs w:val="32"/>
          <w:u w:val="single"/>
          <w:lang w:val="en-US" w:eastAsia="zh-CN"/>
        </w:rPr>
        <w:t>.00</w:t>
      </w:r>
      <w:r>
        <w:rPr>
          <w:rFonts w:hint="eastAsia" w:ascii="宋体" w:hAnsi="宋体" w:eastAsia="宋体" w:cs="宋体"/>
          <w:sz w:val="32"/>
          <w:szCs w:val="32"/>
        </w:rPr>
        <w:t>万元，占授予中小企业合同金额的</w:t>
      </w:r>
      <w:r>
        <w:rPr>
          <w:rFonts w:hint="eastAsia" w:ascii="宋体" w:hAnsi="宋体" w:eastAsia="宋体" w:cs="宋体"/>
          <w:sz w:val="32"/>
          <w:szCs w:val="32"/>
          <w:u w:val="single"/>
        </w:rPr>
        <w:t>100</w:t>
      </w:r>
      <w:r>
        <w:rPr>
          <w:rFonts w:hint="eastAsia" w:ascii="宋体" w:hAnsi="宋体" w:cs="宋体"/>
          <w:sz w:val="32"/>
          <w:szCs w:val="32"/>
          <w:u w:val="single"/>
          <w:lang w:val="en-US" w:eastAsia="zh-CN"/>
        </w:rPr>
        <w:t>.00</w:t>
      </w:r>
      <w:r>
        <w:rPr>
          <w:rFonts w:hint="eastAsia" w:ascii="宋体" w:hAnsi="宋体" w:eastAsia="宋体" w:cs="宋体"/>
          <w:sz w:val="32"/>
          <w:szCs w:val="32"/>
        </w:rPr>
        <w:t>%；</w:t>
      </w:r>
    </w:p>
    <w:p>
      <w:pPr>
        <w:widowControl/>
        <w:numPr>
          <w:ilvl w:val="0"/>
          <w:numId w:val="2"/>
        </w:numPr>
        <w:spacing w:before="240" w:after="240"/>
        <w:ind w:left="0" w:leftChars="0" w:firstLine="0" w:firstLineChars="0"/>
        <w:jc w:val="left"/>
        <w:rPr>
          <w:rFonts w:hint="eastAsia" w:ascii="宋体" w:hAnsi="宋体" w:eastAsia="宋体" w:cs="宋体"/>
          <w:kern w:val="0"/>
          <w:sz w:val="32"/>
          <w:szCs w:val="32"/>
        </w:rPr>
      </w:pPr>
      <w:r>
        <w:rPr>
          <w:rFonts w:hint="eastAsia" w:ascii="宋体" w:hAnsi="宋体" w:eastAsia="宋体" w:cs="宋体"/>
          <w:kern w:val="0"/>
          <w:sz w:val="32"/>
          <w:szCs w:val="32"/>
        </w:rPr>
        <w:t>国有资产占用情况说明</w:t>
      </w:r>
    </w:p>
    <w:p>
      <w:pPr>
        <w:spacing w:beforeAutospacing="1" w:afterAutospacing="1" w:line="56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内蒙古自治区特种设备检验研究院二连浩特分院单位截至202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年12月31日，本单位共有车辆</w:t>
      </w:r>
      <w:r>
        <w:rPr>
          <w:rFonts w:hint="eastAsia" w:ascii="宋体" w:hAnsi="宋体" w:eastAsia="宋体" w:cs="宋体"/>
          <w:color w:val="auto"/>
          <w:sz w:val="32"/>
          <w:szCs w:val="32"/>
          <w:u w:val="single"/>
          <w:lang w:val="en-US" w:eastAsia="zh-CN"/>
        </w:rPr>
        <w:t>5</w:t>
      </w:r>
      <w:r>
        <w:rPr>
          <w:rFonts w:hint="eastAsia" w:ascii="宋体" w:hAnsi="宋体" w:eastAsia="宋体" w:cs="宋体"/>
          <w:color w:val="auto"/>
          <w:sz w:val="32"/>
          <w:szCs w:val="32"/>
        </w:rPr>
        <w:t>辆，其中：副部（省）级及以上领导用车</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辆、主要领导干部用车</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辆、机要通信用车</w:t>
      </w:r>
      <w:r>
        <w:rPr>
          <w:rFonts w:hint="eastAsia" w:ascii="宋体" w:hAnsi="宋体" w:eastAsia="宋体" w:cs="宋体"/>
          <w:color w:val="auto"/>
          <w:sz w:val="32"/>
          <w:szCs w:val="32"/>
          <w:u w:val="single"/>
          <w:lang w:val="en-US" w:eastAsia="zh-CN"/>
        </w:rPr>
        <w:t>2</w:t>
      </w:r>
      <w:r>
        <w:rPr>
          <w:rFonts w:hint="eastAsia" w:ascii="宋体" w:hAnsi="宋体" w:eastAsia="宋体" w:cs="宋体"/>
          <w:color w:val="auto"/>
          <w:sz w:val="32"/>
          <w:szCs w:val="32"/>
        </w:rPr>
        <w:t>辆、应急保障用车</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辆、执法执勤用车</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辆、特种专业技术用车</w:t>
      </w:r>
      <w:r>
        <w:rPr>
          <w:rFonts w:hint="eastAsia" w:ascii="宋体" w:hAnsi="宋体" w:eastAsia="宋体" w:cs="宋体"/>
          <w:color w:val="auto"/>
          <w:sz w:val="32"/>
          <w:szCs w:val="32"/>
          <w:u w:val="single"/>
          <w:lang w:val="en-US" w:eastAsia="zh-CN"/>
        </w:rPr>
        <w:t>0</w:t>
      </w:r>
      <w:r>
        <w:rPr>
          <w:rFonts w:hint="eastAsia" w:ascii="宋体" w:hAnsi="宋体" w:eastAsia="宋体" w:cs="宋体"/>
          <w:color w:val="auto"/>
          <w:sz w:val="32"/>
          <w:szCs w:val="32"/>
        </w:rPr>
        <w:t>辆、离退休干部用车</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辆，其他用车</w:t>
      </w:r>
      <w:r>
        <w:rPr>
          <w:rFonts w:hint="eastAsia" w:ascii="宋体" w:hAnsi="宋体" w:eastAsia="宋体" w:cs="宋体"/>
          <w:color w:val="auto"/>
          <w:sz w:val="32"/>
          <w:szCs w:val="32"/>
          <w:u w:val="single"/>
          <w:lang w:val="en-US" w:eastAsia="zh-CN"/>
        </w:rPr>
        <w:t>3</w:t>
      </w:r>
      <w:r>
        <w:rPr>
          <w:rFonts w:hint="eastAsia" w:ascii="宋体" w:hAnsi="宋体" w:eastAsia="宋体" w:cs="宋体"/>
          <w:color w:val="auto"/>
          <w:sz w:val="32"/>
          <w:szCs w:val="32"/>
        </w:rPr>
        <w:t>辆；单价100万元（含）以上的设备（不含车辆）</w:t>
      </w:r>
      <w:r>
        <w:rPr>
          <w:rFonts w:hint="eastAsia" w:ascii="宋体" w:hAnsi="宋体" w:eastAsia="宋体" w:cs="宋体"/>
          <w:color w:val="auto"/>
          <w:sz w:val="32"/>
          <w:szCs w:val="32"/>
          <w:u w:val="single"/>
        </w:rPr>
        <w:t>0</w:t>
      </w:r>
      <w:r>
        <w:rPr>
          <w:rFonts w:hint="eastAsia" w:ascii="宋体" w:hAnsi="宋体" w:eastAsia="宋体" w:cs="宋体"/>
          <w:color w:val="auto"/>
          <w:sz w:val="32"/>
          <w:szCs w:val="32"/>
        </w:rPr>
        <w:t>台（套）。</w:t>
      </w:r>
    </w:p>
    <w:p>
      <w:pPr>
        <w:spacing w:beforeAutospacing="1" w:afterAutospacing="1" w:line="560" w:lineRule="atLeast"/>
        <w:ind w:firstLine="320" w:firstLineChars="100"/>
        <w:jc w:val="both"/>
        <w:rPr>
          <w:rFonts w:hint="eastAsia" w:ascii="宋体" w:hAnsi="宋体" w:eastAsia="宋体" w:cs="宋体"/>
          <w:kern w:val="0"/>
          <w:sz w:val="32"/>
          <w:szCs w:val="32"/>
        </w:rPr>
      </w:pPr>
      <w:r>
        <w:rPr>
          <w:rFonts w:hint="eastAsia" w:ascii="宋体" w:hAnsi="宋体" w:cs="宋体"/>
          <w:color w:val="auto"/>
          <w:sz w:val="32"/>
          <w:szCs w:val="32"/>
          <w:lang w:eastAsia="zh-CN"/>
        </w:rPr>
        <w:t>十四、</w:t>
      </w:r>
      <w:r>
        <w:rPr>
          <w:rFonts w:hint="eastAsia" w:ascii="宋体" w:hAnsi="宋体" w:eastAsia="宋体" w:cs="宋体"/>
          <w:kern w:val="0"/>
          <w:sz w:val="32"/>
          <w:szCs w:val="32"/>
        </w:rPr>
        <w:t>预算绩效情况说明</w:t>
      </w:r>
    </w:p>
    <w:p>
      <w:pPr>
        <w:spacing w:beforeAutospacing="1" w:afterAutospacing="1"/>
        <w:ind w:firstLine="643"/>
        <w:jc w:val="both"/>
        <w:rPr>
          <w:rFonts w:hint="eastAsia" w:ascii="宋体" w:hAnsi="宋体" w:eastAsia="宋体" w:cs="宋体"/>
          <w:b/>
          <w:bCs/>
          <w:sz w:val="32"/>
          <w:szCs w:val="32"/>
        </w:rPr>
      </w:pPr>
      <w:r>
        <w:rPr>
          <w:rFonts w:hint="eastAsia" w:ascii="宋体" w:hAnsi="宋体" w:eastAsia="宋体" w:cs="宋体"/>
          <w:b/>
          <w:bCs/>
          <w:sz w:val="32"/>
          <w:szCs w:val="32"/>
        </w:rPr>
        <w:t>（一）预算绩效管理工作开展情况。</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内蒙古自治区特种设备检验研究院二连浩特分院根据预算绩效管理要求组织对2023年</w:t>
      </w:r>
      <w:bookmarkStart w:id="1" w:name="_Hlk175129207"/>
      <w:r>
        <w:rPr>
          <w:rFonts w:hint="eastAsia" w:ascii="宋体" w:hAnsi="宋体" w:eastAsia="宋体" w:cs="宋体"/>
          <w:color w:val="auto"/>
          <w:sz w:val="32"/>
          <w:szCs w:val="32"/>
        </w:rPr>
        <w:t>一般公共预算项目支出</w:t>
      </w:r>
      <w:bookmarkEnd w:id="1"/>
      <w:r>
        <w:rPr>
          <w:rFonts w:hint="eastAsia" w:ascii="宋体" w:hAnsi="宋体" w:eastAsia="宋体" w:cs="宋体"/>
          <w:color w:val="auto"/>
          <w:sz w:val="32"/>
          <w:szCs w:val="32"/>
        </w:rPr>
        <w:t>全面开展绩效自评，其中二级项目1个，共涉及资金</w:t>
      </w:r>
      <w:r>
        <w:rPr>
          <w:rFonts w:hint="eastAsia" w:ascii="宋体" w:hAnsi="宋体" w:eastAsia="宋体" w:cs="宋体"/>
          <w:color w:val="auto"/>
          <w:sz w:val="32"/>
          <w:szCs w:val="32"/>
          <w:u w:val="single"/>
          <w:lang w:val="en-US" w:eastAsia="zh-CN"/>
        </w:rPr>
        <w:t>325.8</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万元，占一般公共预算项目支出总额的100%；经营支出预算项目1个，其中二级项目1个，共涉及资金</w:t>
      </w:r>
      <w:r>
        <w:rPr>
          <w:rFonts w:hint="eastAsia" w:ascii="宋体" w:hAnsi="宋体" w:eastAsia="宋体" w:cs="宋体"/>
          <w:color w:val="auto"/>
          <w:sz w:val="32"/>
          <w:szCs w:val="32"/>
          <w:u w:val="single"/>
          <w:lang w:val="en-US" w:eastAsia="zh-CN"/>
        </w:rPr>
        <w:t>1</w:t>
      </w:r>
      <w:r>
        <w:rPr>
          <w:rFonts w:hint="eastAsia" w:ascii="宋体" w:hAnsi="宋体" w:cs="宋体"/>
          <w:color w:val="auto"/>
          <w:sz w:val="32"/>
          <w:szCs w:val="32"/>
          <w:u w:val="single"/>
          <w:lang w:val="en-US" w:eastAsia="zh-CN"/>
        </w:rPr>
        <w:t>2</w:t>
      </w:r>
      <w:bookmarkStart w:id="2" w:name="_GoBack"/>
      <w:bookmarkEnd w:id="2"/>
      <w:r>
        <w:rPr>
          <w:rFonts w:hint="eastAsia" w:ascii="宋体" w:hAnsi="宋体" w:eastAsia="宋体" w:cs="宋体"/>
          <w:color w:val="auto"/>
          <w:sz w:val="32"/>
          <w:szCs w:val="32"/>
          <w:u w:val="single"/>
          <w:lang w:val="en-US" w:eastAsia="zh-CN"/>
        </w:rPr>
        <w:t>2.95</w:t>
      </w:r>
      <w:r>
        <w:rPr>
          <w:rFonts w:hint="eastAsia" w:ascii="宋体" w:hAnsi="宋体" w:eastAsia="宋体" w:cs="宋体"/>
          <w:color w:val="auto"/>
          <w:sz w:val="32"/>
          <w:szCs w:val="32"/>
        </w:rPr>
        <w:t>万元，占经营支出总额的100%。</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（二）单位决算中项目绩效自评结果。</w:t>
      </w:r>
    </w:p>
    <w:p>
      <w:pPr>
        <w:ind w:firstLine="640" w:firstLineChars="200"/>
        <w:rPr>
          <w:rFonts w:ascii="仿宋" w:hAnsi="仿宋" w:eastAsia="仿宋"/>
          <w:color w:val="C00000"/>
          <w:sz w:val="28"/>
          <w:szCs w:val="28"/>
        </w:rPr>
      </w:pPr>
      <w:r>
        <w:rPr>
          <w:rFonts w:hint="eastAsia" w:ascii="宋体" w:hAnsi="宋体" w:eastAsia="宋体" w:cs="宋体"/>
          <w:color w:val="auto"/>
          <w:sz w:val="32"/>
          <w:szCs w:val="32"/>
        </w:rPr>
        <w:t>内蒙古自治区特种设备检验研究院二连浩特分院2023年度在决算中反映1个一般公共预算项目，以及1个经营支出项目，共2个项目的绩效自评结</w:t>
      </w:r>
      <w:r>
        <w:rPr>
          <w:rFonts w:ascii="仿宋" w:hAnsi="仿宋" w:eastAsia="仿宋"/>
          <w:color w:val="auto"/>
          <w:sz w:val="28"/>
          <w:szCs w:val="28"/>
        </w:rPr>
        <w:t>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我院作为内蒙古自治区特种设备检验研究院分支机构，由总院进行部门评价，评价内容及结果等情况详见内蒙古自治区特种设备检验研究院决算公开。</w:t>
      </w:r>
    </w:p>
    <w:p>
      <w:pPr>
        <w:spacing w:beforeAutospacing="1" w:afterAutospacing="1"/>
        <w:ind w:firstLine="643" w:firstLineChars="200"/>
        <w:jc w:val="both"/>
        <w:rPr>
          <w:rFonts w:hint="eastAsia" w:ascii="宋体" w:hAnsi="宋体" w:eastAsia="宋体" w:cs="宋体"/>
          <w:sz w:val="32"/>
          <w:szCs w:val="32"/>
        </w:rPr>
      </w:pPr>
      <w:r>
        <w:rPr>
          <w:rFonts w:hint="eastAsia" w:ascii="宋体" w:hAnsi="宋体" w:eastAsia="宋体" w:cs="宋体"/>
          <w:b/>
          <w:bCs/>
          <w:sz w:val="32"/>
          <w:szCs w:val="32"/>
        </w:rPr>
        <w:t>（二）单位决算中项目绩效自评结果。</w:t>
      </w:r>
    </w:p>
    <w:p>
      <w:pPr>
        <w:spacing w:beforeAutospacing="1" w:afterAutospacing="1" w:line="560" w:lineRule="atLeast"/>
        <w:ind w:firstLine="640"/>
        <w:jc w:val="both"/>
        <w:rPr>
          <w:rFonts w:hint="eastAsia" w:ascii="宋体" w:hAnsi="宋体" w:eastAsia="宋体" w:cs="宋体"/>
          <w:sz w:val="32"/>
          <w:szCs w:val="32"/>
        </w:rPr>
      </w:pPr>
      <w:r>
        <w:rPr>
          <w:rFonts w:hint="eastAsia" w:ascii="宋体" w:hAnsi="宋体" w:eastAsia="宋体" w:cs="宋体"/>
          <w:sz w:val="32"/>
          <w:szCs w:val="32"/>
        </w:rPr>
        <w:t>内蒙古自治区特种设备检验研究院二连浩特分院单位202</w:t>
      </w:r>
      <w:r>
        <w:rPr>
          <w:rFonts w:hint="eastAsia" w:ascii="宋体" w:hAnsi="宋体" w:eastAsia="宋体" w:cs="宋体"/>
          <w:sz w:val="32"/>
          <w:szCs w:val="32"/>
          <w:lang w:val="en-US" w:eastAsia="zh-CN"/>
        </w:rPr>
        <w:t>3</w:t>
      </w:r>
      <w:r>
        <w:rPr>
          <w:rFonts w:hint="eastAsia" w:ascii="宋体" w:hAnsi="宋体" w:eastAsia="宋体" w:cs="宋体"/>
          <w:sz w:val="32"/>
          <w:szCs w:val="32"/>
        </w:rPr>
        <w:t>年度在决算中反映2个一般公共预算项目，以及</w:t>
      </w:r>
      <w:r>
        <w:rPr>
          <w:rFonts w:hint="eastAsia" w:ascii="宋体" w:hAnsi="宋体" w:eastAsia="宋体" w:cs="宋体"/>
          <w:sz w:val="32"/>
          <w:szCs w:val="32"/>
          <w:u w:val="single"/>
        </w:rPr>
        <w:t>0</w:t>
      </w:r>
      <w:r>
        <w:rPr>
          <w:rFonts w:hint="eastAsia" w:ascii="宋体" w:hAnsi="宋体" w:eastAsia="宋体" w:cs="宋体"/>
          <w:sz w:val="32"/>
          <w:szCs w:val="32"/>
        </w:rPr>
        <w:t>个政府性基金项目，共</w:t>
      </w:r>
      <w:r>
        <w:rPr>
          <w:rFonts w:hint="eastAsia" w:ascii="宋体" w:hAnsi="宋体" w:eastAsia="宋体" w:cs="宋体"/>
          <w:sz w:val="32"/>
          <w:szCs w:val="32"/>
          <w:u w:val="single"/>
        </w:rPr>
        <w:t>2</w:t>
      </w:r>
      <w:r>
        <w:rPr>
          <w:rFonts w:hint="eastAsia" w:ascii="宋体" w:hAnsi="宋体" w:eastAsia="宋体" w:cs="宋体"/>
          <w:sz w:val="32"/>
          <w:szCs w:val="32"/>
        </w:rPr>
        <w:t>个项目的绩效自评结果。</w:t>
      </w:r>
    </w:p>
    <w:p>
      <w:pPr>
        <w:pStyle w:val="10"/>
        <w:spacing w:after="0"/>
        <w:ind w:firstLine="640" w:firstLineChars="200"/>
        <w:jc w:val="both"/>
        <w:rPr>
          <w:rFonts w:hint="eastAsia" w:ascii="宋体" w:hAnsi="宋体" w:eastAsia="宋体" w:cs="宋体"/>
          <w:sz w:val="32"/>
          <w:szCs w:val="32"/>
        </w:rPr>
      </w:pPr>
      <w:r>
        <w:rPr>
          <w:rFonts w:hint="eastAsia" w:ascii="宋体" w:hAnsi="宋体" w:eastAsia="宋体" w:cs="宋体"/>
          <w:sz w:val="32"/>
          <w:szCs w:val="32"/>
        </w:rPr>
        <w:t>1.锅炉压力容器与特种设备安全监管项目自评综述：根据年初设定的绩效目标，项目自评得分</w:t>
      </w:r>
      <w:r>
        <w:rPr>
          <w:rFonts w:hint="eastAsia" w:ascii="宋体" w:hAnsi="宋体" w:eastAsia="宋体" w:cs="宋体"/>
          <w:sz w:val="32"/>
          <w:szCs w:val="32"/>
          <w:u w:val="single"/>
          <w:lang w:val="en-US" w:eastAsia="zh-CN"/>
        </w:rPr>
        <w:t>92.97</w:t>
      </w:r>
      <w:r>
        <w:rPr>
          <w:rFonts w:hint="eastAsia" w:ascii="宋体" w:hAnsi="宋体" w:eastAsia="宋体" w:cs="宋体"/>
          <w:sz w:val="32"/>
          <w:szCs w:val="32"/>
        </w:rPr>
        <w:t>分。全年预算数为</w:t>
      </w:r>
      <w:r>
        <w:rPr>
          <w:rFonts w:hint="eastAsia" w:ascii="宋体" w:hAnsi="宋体" w:eastAsia="宋体" w:cs="宋体"/>
          <w:sz w:val="32"/>
          <w:szCs w:val="32"/>
          <w:u w:val="single"/>
        </w:rPr>
        <w:t xml:space="preserve"> 6</w:t>
      </w:r>
      <w:r>
        <w:rPr>
          <w:rFonts w:hint="eastAsia" w:ascii="宋体" w:hAnsi="宋体" w:eastAsia="宋体" w:cs="宋体"/>
          <w:sz w:val="32"/>
          <w:szCs w:val="32"/>
          <w:u w:val="single"/>
          <w:lang w:val="en-US" w:eastAsia="zh-CN"/>
        </w:rPr>
        <w:t>5.8</w:t>
      </w:r>
      <w:r>
        <w:rPr>
          <w:rFonts w:hint="eastAsia" w:ascii="宋体" w:hAnsi="宋体" w:cs="宋体"/>
          <w:sz w:val="32"/>
          <w:szCs w:val="32"/>
          <w:u w:val="single"/>
          <w:lang w:val="en-US" w:eastAsia="zh-CN"/>
        </w:rPr>
        <w:t>0</w:t>
      </w:r>
      <w:r>
        <w:rPr>
          <w:rFonts w:hint="eastAsia" w:ascii="宋体" w:hAnsi="宋体" w:eastAsia="宋体" w:cs="宋体"/>
          <w:sz w:val="32"/>
          <w:szCs w:val="32"/>
        </w:rPr>
        <w:t>万元，执行数为</w:t>
      </w:r>
      <w:r>
        <w:rPr>
          <w:rFonts w:hint="eastAsia" w:ascii="宋体" w:hAnsi="宋体" w:eastAsia="宋体" w:cs="宋体"/>
          <w:sz w:val="32"/>
          <w:szCs w:val="32"/>
          <w:u w:val="single"/>
          <w:lang w:val="en-US" w:eastAsia="zh-CN"/>
        </w:rPr>
        <w:t>65.8</w:t>
      </w:r>
      <w:r>
        <w:rPr>
          <w:rFonts w:hint="eastAsia" w:ascii="宋体" w:hAnsi="宋体" w:cs="宋体"/>
          <w:sz w:val="32"/>
          <w:szCs w:val="32"/>
          <w:u w:val="single"/>
          <w:lang w:val="en-US" w:eastAsia="zh-CN"/>
        </w:rPr>
        <w:t>0</w:t>
      </w:r>
      <w:r>
        <w:rPr>
          <w:rFonts w:hint="eastAsia" w:ascii="宋体" w:hAnsi="宋体" w:eastAsia="宋体" w:cs="宋体"/>
          <w:sz w:val="32"/>
          <w:szCs w:val="32"/>
        </w:rPr>
        <w:t>万元，完成预算的</w:t>
      </w:r>
      <w:r>
        <w:rPr>
          <w:rFonts w:hint="eastAsia" w:ascii="宋体" w:hAnsi="宋体" w:eastAsia="宋体" w:cs="宋体"/>
          <w:sz w:val="32"/>
          <w:szCs w:val="32"/>
          <w:u w:val="single"/>
        </w:rPr>
        <w:t>100</w:t>
      </w:r>
      <w:r>
        <w:rPr>
          <w:rFonts w:hint="eastAsia" w:ascii="宋体" w:hAnsi="宋体" w:cs="宋体"/>
          <w:sz w:val="32"/>
          <w:szCs w:val="32"/>
          <w:u w:val="single"/>
          <w:lang w:val="en-US" w:eastAsia="zh-CN"/>
        </w:rPr>
        <w:t>.00</w:t>
      </w:r>
      <w:r>
        <w:rPr>
          <w:rFonts w:hint="eastAsia" w:ascii="宋体" w:hAnsi="宋体" w:eastAsia="宋体" w:cs="宋体"/>
          <w:sz w:val="32"/>
          <w:szCs w:val="32"/>
          <w:u w:val="single"/>
        </w:rPr>
        <w:t xml:space="preserve"> </w:t>
      </w:r>
      <w:r>
        <w:rPr>
          <w:rFonts w:hint="eastAsia" w:ascii="宋体" w:hAnsi="宋体" w:eastAsia="宋体" w:cs="宋体"/>
          <w:sz w:val="32"/>
          <w:szCs w:val="32"/>
        </w:rPr>
        <w:t>%。项目绩效目标完成情况：产出指标、效益指标、满意度指标按照规定执行评价为”优”。发现的主要问题及原因：预算申报在前，重点工作安排在后。下一步改进措施：改进考核评估办法，完善体系指标设置。使评价工作更加合理、更加有效；用事后监督促进事前管理，进一步确保资金落到实处、起到实效。</w:t>
      </w:r>
    </w:p>
    <w:p>
      <w:pPr>
        <w:pStyle w:val="10"/>
        <w:spacing w:before="39" w:line="324" w:lineRule="auto"/>
        <w:ind w:right="534"/>
        <w:jc w:val="both"/>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w:t>
      </w:r>
      <w:r>
        <w:rPr>
          <w:rFonts w:hint="eastAsia" w:ascii="宋体" w:hAnsi="宋体" w:eastAsia="宋体" w:cs="宋体"/>
          <w:sz w:val="32"/>
          <w:szCs w:val="32"/>
          <w:lang w:eastAsia="zh-CN"/>
        </w:rPr>
        <w:t>事业单位经营支出</w:t>
      </w:r>
      <w:r>
        <w:rPr>
          <w:rFonts w:hint="eastAsia" w:ascii="宋体" w:hAnsi="宋体" w:eastAsia="宋体" w:cs="宋体"/>
          <w:sz w:val="32"/>
          <w:szCs w:val="32"/>
        </w:rPr>
        <w:t>自评综述：根据年初设定的绩效目标，项目自评得分</w:t>
      </w:r>
      <w:r>
        <w:rPr>
          <w:rFonts w:hint="eastAsia" w:ascii="宋体" w:hAnsi="宋体" w:eastAsia="宋体" w:cs="宋体"/>
          <w:sz w:val="32"/>
          <w:szCs w:val="32"/>
          <w:u w:val="single"/>
          <w:lang w:val="en-US" w:eastAsia="zh-CN"/>
        </w:rPr>
        <w:t>96.88</w:t>
      </w:r>
      <w:r>
        <w:rPr>
          <w:rFonts w:hint="eastAsia" w:ascii="宋体" w:hAnsi="宋体" w:eastAsia="宋体" w:cs="宋体"/>
          <w:sz w:val="32"/>
          <w:szCs w:val="32"/>
        </w:rPr>
        <w:t>分。全年预算数为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260</w:t>
      </w:r>
      <w:r>
        <w:rPr>
          <w:rFonts w:hint="eastAsia" w:ascii="宋体" w:hAnsi="宋体" w:cs="宋体"/>
          <w:sz w:val="32"/>
          <w:szCs w:val="32"/>
          <w:u w:val="single"/>
          <w:lang w:val="en-US" w:eastAsia="zh-CN"/>
        </w:rPr>
        <w:t>.00</w:t>
      </w:r>
      <w:r>
        <w:rPr>
          <w:rFonts w:hint="eastAsia" w:ascii="宋体" w:hAnsi="宋体" w:eastAsia="宋体" w:cs="宋体"/>
          <w:sz w:val="32"/>
          <w:szCs w:val="32"/>
        </w:rPr>
        <w:t>万元，执行数为</w:t>
      </w:r>
      <w:r>
        <w:rPr>
          <w:rFonts w:hint="eastAsia" w:ascii="宋体" w:hAnsi="宋体" w:eastAsia="宋体" w:cs="宋体"/>
          <w:sz w:val="32"/>
          <w:szCs w:val="32"/>
          <w:u w:val="single"/>
        </w:rPr>
        <w:t>1</w:t>
      </w:r>
      <w:r>
        <w:rPr>
          <w:rFonts w:hint="eastAsia" w:ascii="宋体" w:hAnsi="宋体" w:eastAsia="宋体" w:cs="宋体"/>
          <w:sz w:val="32"/>
          <w:szCs w:val="32"/>
          <w:u w:val="single"/>
          <w:lang w:val="en-US" w:eastAsia="zh-CN"/>
        </w:rPr>
        <w:t>22.95</w:t>
      </w:r>
      <w:r>
        <w:rPr>
          <w:rFonts w:hint="eastAsia" w:ascii="宋体" w:hAnsi="宋体" w:eastAsia="宋体" w:cs="宋体"/>
          <w:sz w:val="32"/>
          <w:szCs w:val="32"/>
        </w:rPr>
        <w:t>万元，完成预算的</w:t>
      </w:r>
      <w:r>
        <w:rPr>
          <w:rFonts w:hint="eastAsia" w:ascii="宋体" w:hAnsi="宋体" w:cs="宋体"/>
          <w:sz w:val="32"/>
          <w:szCs w:val="32"/>
          <w:u w:val="single"/>
          <w:lang w:val="en-US" w:eastAsia="zh-CN"/>
        </w:rPr>
        <w:t>99.31</w:t>
      </w:r>
      <w:r>
        <w:rPr>
          <w:rFonts w:hint="eastAsia" w:ascii="宋体" w:hAnsi="宋体" w:eastAsia="宋体" w:cs="宋体"/>
          <w:sz w:val="32"/>
          <w:szCs w:val="32"/>
        </w:rPr>
        <w:t>%。项目绩效目标完成情况：产出指标、效益指标、满意度指标按照规定执行评价为”优”。发现的主要问题及原因：预算申报在前，重点工作安排在后。下一步改进措施：改进考核评估办法，完善体系指标设置。使评价工作更加合理、更加有效；用事后监督促进事前管理，进一步确保资金落到实处、起到实效。</w:t>
      </w:r>
    </w:p>
    <w:tbl>
      <w:tblPr>
        <w:tblStyle w:val="21"/>
        <w:tblW w:w="10560" w:type="dxa"/>
        <w:tblInd w:w="0" w:type="dxa"/>
        <w:shd w:val="clear" w:color="auto" w:fill="auto"/>
        <w:tblLayout w:type="autofit"/>
        <w:tblCellMar>
          <w:top w:w="0" w:type="dxa"/>
          <w:left w:w="0" w:type="dxa"/>
          <w:bottom w:w="0" w:type="dxa"/>
          <w:right w:w="0" w:type="dxa"/>
        </w:tblCellMar>
      </w:tblPr>
      <w:tblGrid>
        <w:gridCol w:w="655"/>
        <w:gridCol w:w="170"/>
        <w:gridCol w:w="290"/>
        <w:gridCol w:w="430"/>
        <w:gridCol w:w="740"/>
        <w:gridCol w:w="265"/>
        <w:gridCol w:w="925"/>
        <w:gridCol w:w="840"/>
        <w:gridCol w:w="448"/>
        <w:gridCol w:w="705"/>
        <w:gridCol w:w="186"/>
        <w:gridCol w:w="399"/>
        <w:gridCol w:w="251"/>
        <w:gridCol w:w="634"/>
        <w:gridCol w:w="280"/>
        <w:gridCol w:w="710"/>
        <w:gridCol w:w="474"/>
        <w:gridCol w:w="381"/>
        <w:gridCol w:w="460"/>
        <w:gridCol w:w="1317"/>
      </w:tblGrid>
      <w:tr>
        <w:tblPrEx>
          <w:shd w:val="clear" w:color="auto" w:fill="auto"/>
          <w:tblCellMar>
            <w:top w:w="0" w:type="dxa"/>
            <w:left w:w="0" w:type="dxa"/>
            <w:bottom w:w="0" w:type="dxa"/>
            <w:right w:w="0" w:type="dxa"/>
          </w:tblCellMar>
        </w:tblPrEx>
        <w:trPr>
          <w:trHeight w:val="960" w:hRule="atLeast"/>
        </w:trPr>
        <w:tc>
          <w:tcPr>
            <w:tcW w:w="1056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CellMar>
            <w:top w:w="0" w:type="dxa"/>
            <w:left w:w="0" w:type="dxa"/>
            <w:bottom w:w="0" w:type="dxa"/>
            <w:right w:w="0" w:type="dxa"/>
          </w:tblCellMar>
        </w:tblPrEx>
        <w:trPr>
          <w:trHeight w:val="380" w:hRule="atLeast"/>
        </w:trPr>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4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锅炉压力容器与特种设备安全监管</w:t>
            </w:r>
          </w:p>
        </w:tc>
      </w:tr>
      <w:tr>
        <w:tblPrEx>
          <w:tblCellMar>
            <w:top w:w="0" w:type="dxa"/>
            <w:left w:w="0" w:type="dxa"/>
            <w:bottom w:w="0" w:type="dxa"/>
            <w:right w:w="0" w:type="dxa"/>
          </w:tblCellMar>
        </w:tblPrEx>
        <w:trPr>
          <w:trHeight w:val="380" w:hRule="atLeast"/>
        </w:trPr>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6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内蒙古自治区市场监督管理局部门</w:t>
            </w:r>
          </w:p>
        </w:tc>
        <w:tc>
          <w:tcPr>
            <w:tcW w:w="15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425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内蒙古自治区特种设备检验研究院二连浩特分院</w:t>
            </w:r>
          </w:p>
        </w:tc>
      </w:tr>
      <w:tr>
        <w:tblPrEx>
          <w:tblCellMar>
            <w:top w:w="0" w:type="dxa"/>
            <w:left w:w="0" w:type="dxa"/>
            <w:bottom w:w="0" w:type="dxa"/>
            <w:right w:w="0" w:type="dxa"/>
          </w:tblCellMar>
        </w:tblPrEx>
        <w:trPr>
          <w:trHeight w:val="920" w:hRule="atLeast"/>
        </w:trPr>
        <w:tc>
          <w:tcPr>
            <w:tcW w:w="11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5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20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0" w:type="dxa"/>
            <w:bottom w:w="0" w:type="dxa"/>
            <w:right w:w="0" w:type="dxa"/>
          </w:tblCellMar>
        </w:tblPrEx>
        <w:trPr>
          <w:trHeight w:val="560" w:hRule="atLeast"/>
        </w:trPr>
        <w:tc>
          <w:tcPr>
            <w:tcW w:w="11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65.80</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65.80</w:t>
            </w:r>
          </w:p>
        </w:tc>
        <w:tc>
          <w:tcPr>
            <w:tcW w:w="15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65.80</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860" w:hRule="atLeast"/>
        </w:trPr>
        <w:tc>
          <w:tcPr>
            <w:tcW w:w="11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65.80</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65.80</w:t>
            </w:r>
          </w:p>
        </w:tc>
        <w:tc>
          <w:tcPr>
            <w:tcW w:w="15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65.80</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20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CellMar>
            <w:top w:w="0" w:type="dxa"/>
            <w:left w:w="0" w:type="dxa"/>
            <w:bottom w:w="0" w:type="dxa"/>
            <w:right w:w="0" w:type="dxa"/>
          </w:tblCellMar>
        </w:tblPrEx>
        <w:trPr>
          <w:trHeight w:val="700" w:hRule="atLeast"/>
        </w:trPr>
        <w:tc>
          <w:tcPr>
            <w:tcW w:w="11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20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CellMar>
            <w:top w:w="0" w:type="dxa"/>
            <w:left w:w="0" w:type="dxa"/>
            <w:bottom w:w="0" w:type="dxa"/>
            <w:right w:w="0" w:type="dxa"/>
          </w:tblCellMar>
        </w:tblPrEx>
        <w:trPr>
          <w:trHeight w:val="720" w:hRule="atLeast"/>
        </w:trPr>
        <w:tc>
          <w:tcPr>
            <w:tcW w:w="11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20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CellMar>
            <w:top w:w="0" w:type="dxa"/>
            <w:left w:w="0" w:type="dxa"/>
            <w:bottom w:w="0" w:type="dxa"/>
            <w:right w:w="0" w:type="dxa"/>
          </w:tblCellMar>
        </w:tblPrEx>
        <w:trPr>
          <w:trHeight w:val="380" w:hRule="atLeast"/>
        </w:trPr>
        <w:tc>
          <w:tcPr>
            <w:tcW w:w="11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5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1120" w:hRule="atLeast"/>
        </w:trPr>
        <w:tc>
          <w:tcPr>
            <w:tcW w:w="11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锅炉压力容器与特种设备安全监管经费，主要用于加强单位建设，确保机构正常运转，不断提升机构的服务能力，确保特种设备检验检测工作圆满完成。</w:t>
            </w:r>
          </w:p>
        </w:tc>
        <w:tc>
          <w:tcPr>
            <w:tcW w:w="4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电梯专项安全检查、充装企业专项检验等安全大检查8次，累计派出检查人员100人次，完成属地各类检验情况：容器检验524、锅炉检验47台，叉车205台。电梯监督检验61台，起重机械检验133台，</w:t>
            </w:r>
          </w:p>
        </w:tc>
      </w:tr>
      <w:tr>
        <w:tblPrEx>
          <w:tblCellMar>
            <w:top w:w="0" w:type="dxa"/>
            <w:left w:w="0" w:type="dxa"/>
            <w:bottom w:w="0" w:type="dxa"/>
            <w:right w:w="0" w:type="dxa"/>
          </w:tblCellMar>
        </w:tblPrEx>
        <w:trPr>
          <w:trHeight w:val="82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840" w:hRule="atLeast"/>
        </w:trPr>
        <w:tc>
          <w:tcPr>
            <w:tcW w:w="6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6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7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完成锅炉压力容器与特种设备检测数量</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970</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0.97</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完成安全监管人员培训数量</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新购资产数量</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特种设备综合检验合格率</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特种设备法定检验完成率</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问题整改落实率</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安全监管人员培训合格率</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资产配置验收合格率</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法定检测项目总体完成时间</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法定检验完成后报告发布时间</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项目总体</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监管人员培训成本</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人/天</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7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辖区内锅炉压力容器与特种设备安全使用能力</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锅炉压力容器与特种设备安全使用意识</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辖区内锅炉压力容器与特种设备重大事故发生数</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技术支撑能力和检验检测水平</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食品安全执法能力和监管能力</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7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锅炉压力容器与特种设备安全保障对象满意度</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培训对象对培训工作的满意度</w:t>
            </w:r>
          </w:p>
        </w:tc>
        <w:tc>
          <w:tcPr>
            <w:tcW w:w="128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8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72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92.97</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6" w:type="dxa"/>
            <w:gridSpan w:val="9"/>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(盖章)</w:t>
            </w:r>
          </w:p>
        </w:tc>
      </w:tr>
      <w:tr>
        <w:tblPrEx>
          <w:tblCellMar>
            <w:top w:w="0" w:type="dxa"/>
            <w:left w:w="0" w:type="dxa"/>
            <w:bottom w:w="0" w:type="dxa"/>
            <w:right w:w="0" w:type="dxa"/>
          </w:tblCellMar>
        </w:tblPrEx>
        <w:trPr>
          <w:trHeight w:val="27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6" w:type="dxa"/>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6" w:type="dxa"/>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6" w:type="dxa"/>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6" w:type="dxa"/>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6" w:type="dxa"/>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6" w:type="dxa"/>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6" w:type="dxa"/>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4"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3342"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内蒙古自治区市场监督管理局部门</w:t>
            </w:r>
          </w:p>
        </w:tc>
      </w:tr>
      <w:tr>
        <w:tblPrEx>
          <w:tblCellMar>
            <w:top w:w="0" w:type="dxa"/>
            <w:left w:w="0" w:type="dxa"/>
            <w:bottom w:w="0" w:type="dxa"/>
            <w:right w:w="0" w:type="dxa"/>
          </w:tblCellMar>
        </w:tblPrEx>
        <w:trPr>
          <w:trHeight w:val="38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年    月    日                     </w:t>
            </w:r>
          </w:p>
        </w:tc>
      </w:tr>
      <w:tr>
        <w:tblPrEx>
          <w:tblCellMar>
            <w:top w:w="0" w:type="dxa"/>
            <w:left w:w="0" w:type="dxa"/>
            <w:bottom w:w="0" w:type="dxa"/>
            <w:right w:w="0" w:type="dxa"/>
          </w:tblCellMar>
        </w:tblPrEx>
        <w:trPr>
          <w:trHeight w:val="380" w:hRule="atLeast"/>
        </w:trPr>
        <w:tc>
          <w:tcPr>
            <w:tcW w:w="6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960" w:hRule="atLeast"/>
        </w:trPr>
        <w:tc>
          <w:tcPr>
            <w:tcW w:w="9515"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CellMar>
            <w:top w:w="0" w:type="dxa"/>
            <w:left w:w="0" w:type="dxa"/>
            <w:bottom w:w="0" w:type="dxa"/>
            <w:right w:w="0" w:type="dxa"/>
          </w:tblCellMar>
        </w:tblPrEx>
        <w:trPr>
          <w:trHeight w:val="380"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97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事业单位经营支出</w:t>
            </w:r>
          </w:p>
        </w:tc>
      </w:tr>
      <w:tr>
        <w:tblPrEx>
          <w:tblCellMar>
            <w:top w:w="0" w:type="dxa"/>
            <w:left w:w="0" w:type="dxa"/>
            <w:bottom w:w="0" w:type="dxa"/>
            <w:right w:w="0" w:type="dxa"/>
          </w:tblCellMar>
        </w:tblPrEx>
        <w:trPr>
          <w:trHeight w:val="380" w:hRule="atLeast"/>
        </w:trPr>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7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内蒙古自治区市场监督管理局部门</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9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内蒙古自治区特种设备检验研究院二连浩特分院</w:t>
            </w:r>
          </w:p>
        </w:tc>
      </w:tr>
      <w:tr>
        <w:tblPrEx>
          <w:tblCellMar>
            <w:top w:w="0" w:type="dxa"/>
            <w:left w:w="0" w:type="dxa"/>
            <w:bottom w:w="0" w:type="dxa"/>
            <w:right w:w="0" w:type="dxa"/>
          </w:tblCellMar>
        </w:tblPrEx>
        <w:trPr>
          <w:trHeight w:val="700" w:hRule="atLeast"/>
        </w:trPr>
        <w:tc>
          <w:tcPr>
            <w:tcW w:w="1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0" w:type="dxa"/>
            <w:bottom w:w="0" w:type="dxa"/>
            <w:right w:w="0" w:type="dxa"/>
          </w:tblCellMar>
        </w:tblPrEx>
        <w:trPr>
          <w:trHeight w:val="58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103.67</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99.31</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w:t>
            </w:r>
          </w:p>
        </w:tc>
      </w:tr>
      <w:tr>
        <w:tblPrEx>
          <w:tblCellMar>
            <w:top w:w="0" w:type="dxa"/>
            <w:left w:w="0" w:type="dxa"/>
            <w:bottom w:w="0" w:type="dxa"/>
            <w:right w:w="0" w:type="dxa"/>
          </w:tblCellMar>
        </w:tblPrEx>
        <w:trPr>
          <w:trHeight w:val="62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CellMar>
            <w:top w:w="0" w:type="dxa"/>
            <w:left w:w="0" w:type="dxa"/>
            <w:bottom w:w="0" w:type="dxa"/>
            <w:right w:w="0" w:type="dxa"/>
          </w:tblCellMar>
        </w:tblPrEx>
        <w:trPr>
          <w:trHeight w:val="54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CellMar>
            <w:top w:w="0" w:type="dxa"/>
            <w:left w:w="0" w:type="dxa"/>
            <w:bottom w:w="0" w:type="dxa"/>
            <w:right w:w="0" w:type="dxa"/>
          </w:tblCellMar>
        </w:tblPrEx>
        <w:trPr>
          <w:trHeight w:val="38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103.67</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99.31</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CellMar>
            <w:top w:w="0" w:type="dxa"/>
            <w:left w:w="0" w:type="dxa"/>
            <w:bottom w:w="0" w:type="dxa"/>
            <w:right w:w="0" w:type="dxa"/>
          </w:tblCellMar>
        </w:tblPrEx>
        <w:trPr>
          <w:trHeight w:val="380" w:hRule="atLeast"/>
        </w:trPr>
        <w:tc>
          <w:tcPr>
            <w:tcW w:w="1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4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1120" w:hRule="atLeast"/>
        </w:trPr>
        <w:tc>
          <w:tcPr>
            <w:tcW w:w="1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锅炉压力容器与特种设备安全监管经费，主要用于加强单位建设，确保机构正常运转，不断提升机构的服务能力，确保特种设备检验检测工作圆满完成</w:t>
            </w:r>
          </w:p>
        </w:tc>
        <w:tc>
          <w:tcPr>
            <w:tcW w:w="4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安全阀校验150只、液化石油气瓶检验2855只、车载气瓶检验265只、安全阀校验150只、电梯定期检验344台、容器检验285台、共培训人员11人。</w:t>
            </w:r>
          </w:p>
        </w:tc>
      </w:tr>
      <w:tr>
        <w:tblPrEx>
          <w:tblCellMar>
            <w:top w:w="0" w:type="dxa"/>
            <w:left w:w="0" w:type="dxa"/>
            <w:bottom w:w="0" w:type="dxa"/>
            <w:right w:w="0" w:type="dxa"/>
          </w:tblCellMar>
        </w:tblPrEx>
        <w:trPr>
          <w:trHeight w:val="780" w:hRule="atLeast"/>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840" w:hRule="atLeast"/>
        </w:trPr>
        <w:tc>
          <w:tcPr>
            <w:tcW w:w="82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72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0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锅炉委托检验检测数量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锅炉安全附件检验数量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电梯委托检测数量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起重机械场内专用机动车辆委托检验数量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2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矿用设备及工程车辆检验数量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防爆电气设备检验数量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气瓶委托检测数量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职业卫生检测评价项目数量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保障业务用房及办公用房正常使用面积</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平米</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锅炉压力容器与特种设备安全监管专用设备配置数量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开展专业人员技能培训数量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维护信息化系统数量</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委托检测报告出具率</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报告合格率</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废弃物分类处置率</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采购业务验收合格率</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专业人员技能培训合格率</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房屋车辆设备全年安全运行天数</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锅炉压力容器与特种设备委托检验任务完成时间</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委托检测报告出具时间</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工作日</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房屋车辆维修维护响应时间</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锅炉压力容器与特种设备委托检验成本</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人员培训成本</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 。天</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0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为特种设备安全运行提供保障</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稳步提高</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稳步提高</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特种设备使用单位安全意识</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稳步提高</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稳步提高</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促进特种设备持续健康发展</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稳步提高</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稳步提高</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0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委托检测单位满意度</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培训人员满意度</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职工对场所仪器设备信息化系统使用满意度</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8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644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82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5" w:type="dxa"/>
            <w:gridSpan w:val="10"/>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(盖章)</w:t>
            </w:r>
          </w:p>
        </w:tc>
      </w:tr>
      <w:tr>
        <w:tblPrEx>
          <w:tblCellMar>
            <w:top w:w="0" w:type="dxa"/>
            <w:left w:w="0" w:type="dxa"/>
            <w:bottom w:w="0" w:type="dxa"/>
            <w:right w:w="0" w:type="dxa"/>
          </w:tblCellMar>
        </w:tblPrEx>
        <w:trPr>
          <w:trHeight w:val="270" w:hRule="atLeast"/>
        </w:trPr>
        <w:tc>
          <w:tcPr>
            <w:tcW w:w="82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5" w:type="dxa"/>
            <w:gridSpan w:val="10"/>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2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5" w:type="dxa"/>
            <w:gridSpan w:val="10"/>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2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5" w:type="dxa"/>
            <w:gridSpan w:val="10"/>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2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5" w:type="dxa"/>
            <w:gridSpan w:val="10"/>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2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5" w:type="dxa"/>
            <w:gridSpan w:val="10"/>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2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5" w:type="dxa"/>
            <w:gridSpan w:val="10"/>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2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5" w:type="dxa"/>
            <w:gridSpan w:val="10"/>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trPr>
        <w:tc>
          <w:tcPr>
            <w:tcW w:w="82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307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内蒙古自治区市场监督管理局部门</w:t>
            </w:r>
          </w:p>
        </w:tc>
      </w:tr>
      <w:tr>
        <w:tblPrEx>
          <w:tblCellMar>
            <w:top w:w="0" w:type="dxa"/>
            <w:left w:w="0" w:type="dxa"/>
            <w:bottom w:w="0" w:type="dxa"/>
            <w:right w:w="0" w:type="dxa"/>
          </w:tblCellMar>
        </w:tblPrEx>
        <w:trPr>
          <w:trHeight w:val="380" w:hRule="atLeast"/>
        </w:trPr>
        <w:tc>
          <w:tcPr>
            <w:tcW w:w="82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5"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年    月    日                     </w:t>
            </w:r>
          </w:p>
        </w:tc>
      </w:tr>
    </w:tbl>
    <w:p>
      <w:pPr>
        <w:widowControl/>
        <w:numPr>
          <w:ilvl w:val="0"/>
          <w:numId w:val="0"/>
        </w:numPr>
        <w:spacing w:before="240" w:after="240"/>
        <w:jc w:val="left"/>
        <w:rPr>
          <w:rFonts w:hint="eastAsia" w:ascii="宋体" w:hAnsi="宋体" w:eastAsia="宋体" w:cs="宋体"/>
          <w:kern w:val="0"/>
          <w:sz w:val="32"/>
          <w:szCs w:val="32"/>
        </w:rPr>
      </w:pPr>
    </w:p>
    <w:p>
      <w:pPr>
        <w:widowControl/>
        <w:numPr>
          <w:ilvl w:val="0"/>
          <w:numId w:val="0"/>
        </w:numPr>
        <w:spacing w:before="240" w:after="240"/>
        <w:jc w:val="left"/>
        <w:rPr>
          <w:rFonts w:hint="eastAsia" w:ascii="宋体" w:hAnsi="宋体" w:eastAsia="宋体" w:cs="宋体"/>
          <w:kern w:val="0"/>
          <w:sz w:val="32"/>
          <w:szCs w:val="32"/>
        </w:rPr>
      </w:pPr>
      <w:r>
        <w:rPr>
          <w:rFonts w:hint="eastAsia" w:ascii="宋体" w:hAnsi="宋体" w:cs="宋体"/>
          <w:kern w:val="0"/>
          <w:sz w:val="32"/>
          <w:szCs w:val="32"/>
          <w:lang w:eastAsia="zh-CN"/>
        </w:rPr>
        <w:t>第三部分：</w:t>
      </w:r>
      <w:r>
        <w:rPr>
          <w:rFonts w:hint="eastAsia" w:ascii="宋体" w:hAnsi="宋体" w:eastAsia="宋体" w:cs="宋体"/>
          <w:kern w:val="0"/>
          <w:sz w:val="32"/>
          <w:szCs w:val="32"/>
        </w:rPr>
        <w:t>名词解释</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一、财政拨款收入：</w:t>
      </w:r>
      <w:r>
        <w:rPr>
          <w:rFonts w:hint="eastAsia" w:ascii="宋体" w:hAnsi="宋体" w:eastAsia="宋体" w:cs="宋体"/>
          <w:sz w:val="32"/>
          <w:szCs w:val="32"/>
        </w:rPr>
        <w:t>从同级财政部门取得的各类财政拨款，包括一般公共预算财政拨款、政府性基金预算财政拨款、国有资本经营预算财政拨款。</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二、上级补助收入：</w:t>
      </w:r>
      <w:r>
        <w:rPr>
          <w:rFonts w:hint="eastAsia" w:ascii="宋体" w:hAnsi="宋体" w:eastAsia="宋体" w:cs="宋体"/>
          <w:sz w:val="32"/>
          <w:szCs w:val="32"/>
        </w:rPr>
        <w:t>指事业单位从主管部门和上级单位取得的非财政补助收入。</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三、财政专户管理教育收费：</w:t>
      </w:r>
      <w:r>
        <w:rPr>
          <w:rFonts w:hint="eastAsia" w:ascii="宋体" w:hAnsi="宋体" w:eastAsia="宋体" w:cs="宋体"/>
          <w:sz w:val="32"/>
          <w:szCs w:val="32"/>
        </w:rPr>
        <w:t>指缴入财政专户、实行专项管理的高中以上学费、住宿费、高校委托培养费、函大、电大、夜大及短训班培训费等教育收费。</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四、事业收入：</w:t>
      </w:r>
      <w:r>
        <w:rPr>
          <w:rFonts w:hint="eastAsia" w:ascii="宋体" w:hAnsi="宋体" w:eastAsia="宋体" w:cs="宋体"/>
          <w:sz w:val="32"/>
          <w:szCs w:val="32"/>
        </w:rPr>
        <w:t>指事业单位开展专业业务活动及其辅助活动取得的收入。</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五、经营收入：</w:t>
      </w:r>
      <w:r>
        <w:rPr>
          <w:rFonts w:hint="eastAsia" w:ascii="宋体" w:hAnsi="宋体" w:eastAsia="宋体" w:cs="宋体"/>
          <w:sz w:val="32"/>
          <w:szCs w:val="32"/>
        </w:rPr>
        <w:t>指事业单位在专业业务活动及其辅助活动之外开展非独立核算经营活动取得的收入。</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六、附属单位上缴收入：</w:t>
      </w:r>
      <w:r>
        <w:rPr>
          <w:rFonts w:hint="eastAsia" w:ascii="宋体" w:hAnsi="宋体" w:eastAsia="宋体" w:cs="宋体"/>
          <w:sz w:val="32"/>
          <w:szCs w:val="32"/>
        </w:rPr>
        <w:t>指事业单位附属独立核算单位按照有关规定上缴的收入。</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七、其他收入：</w:t>
      </w:r>
      <w:r>
        <w:rPr>
          <w:rFonts w:hint="eastAsia" w:ascii="宋体" w:hAnsi="宋体" w:eastAsia="宋体" w:cs="宋体"/>
          <w:sz w:val="32"/>
          <w:szCs w:val="32"/>
        </w:rPr>
        <w:t>取得的除上述“财政拨款收入”、“上级补助收入”、“事业收入”、“经营收入”、“附属单位上缴收入”等以外的各项收入。</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八、使用非财政拨款结余：</w:t>
      </w:r>
      <w:r>
        <w:rPr>
          <w:rFonts w:hint="eastAsia" w:ascii="宋体" w:hAnsi="宋体" w:eastAsia="宋体" w:cs="宋体"/>
          <w:sz w:val="32"/>
          <w:szCs w:val="32"/>
        </w:rPr>
        <w:t>指事业单位按照预算管理要求使用非财政拨款结余弥补当年收支差额的数额。</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九、年初结转和结余：</w:t>
      </w:r>
      <w:r>
        <w:rPr>
          <w:rFonts w:hint="eastAsia" w:ascii="宋体" w:hAnsi="宋体" w:eastAsia="宋体" w:cs="宋体"/>
          <w:sz w:val="32"/>
          <w:szCs w:val="32"/>
        </w:rPr>
        <w:t>指单位上年结转本年使用的基本支出结转、项目支出结转和结余、经营结余。</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十、结余分配：</w:t>
      </w:r>
      <w:r>
        <w:rPr>
          <w:rFonts w:hint="eastAsia" w:ascii="宋体" w:hAnsi="宋体" w:eastAsia="宋体" w:cs="宋体"/>
          <w:sz w:val="32"/>
          <w:szCs w:val="32"/>
        </w:rPr>
        <w:t>指事业单位按规定缴纳的所得税以及从非财政拨款结余中提取各类结余的情况。</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十一、年末结转和结余资金：</w:t>
      </w:r>
      <w:r>
        <w:rPr>
          <w:rFonts w:hint="eastAsia" w:ascii="宋体" w:hAnsi="宋体" w:eastAsia="宋体" w:cs="宋体"/>
          <w:sz w:val="32"/>
          <w:szCs w:val="32"/>
        </w:rPr>
        <w:t>指单位结转下年的基本支出结转、项目支出结转和结余、经营结余。</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十二、基本支出：</w:t>
      </w:r>
      <w:r>
        <w:rPr>
          <w:rFonts w:hint="eastAsia" w:ascii="宋体" w:hAnsi="宋体" w:eastAsia="宋体" w:cs="宋体"/>
          <w:sz w:val="32"/>
          <w:szCs w:val="32"/>
        </w:rPr>
        <w:t>指为保障机构正常运转、完成日常工作任务所发生的支出，包括人员经费和公用经费。</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十三、项目支出：</w:t>
      </w:r>
      <w:r>
        <w:rPr>
          <w:rFonts w:hint="eastAsia" w:ascii="宋体" w:hAnsi="宋体" w:eastAsia="宋体" w:cs="宋体"/>
          <w:sz w:val="32"/>
          <w:szCs w:val="32"/>
        </w:rPr>
        <w:t>指在为完成特定的工作任务和事业发展目标所发生的支出。</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十四、上缴上级支出：</w:t>
      </w:r>
      <w:r>
        <w:rPr>
          <w:rFonts w:hint="eastAsia" w:ascii="宋体" w:hAnsi="宋体" w:eastAsia="宋体" w:cs="宋体"/>
          <w:sz w:val="32"/>
          <w:szCs w:val="32"/>
        </w:rPr>
        <w:t>指事业单位按照财政部门和主管部门的规定上缴上级单位的支出。</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十五、经营支出：</w:t>
      </w:r>
      <w:r>
        <w:rPr>
          <w:rFonts w:hint="eastAsia" w:ascii="宋体" w:hAnsi="宋体" w:eastAsia="宋体" w:cs="宋体"/>
          <w:sz w:val="32"/>
          <w:szCs w:val="32"/>
        </w:rPr>
        <w:t>指事业单位在专业业务活动及其辅助活动之外开展非独立核算经营活动发生的支出。</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十六、对附属单位补助支出：</w:t>
      </w:r>
      <w:r>
        <w:rPr>
          <w:rFonts w:hint="eastAsia" w:ascii="宋体" w:hAnsi="宋体" w:eastAsia="宋体" w:cs="宋体"/>
          <w:sz w:val="32"/>
          <w:szCs w:val="32"/>
        </w:rPr>
        <w:t>指事业单位用财政拨款收入之外的收入对附属单位补助发生的支出。</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十七、“三公”经费：</w:t>
      </w:r>
      <w:r>
        <w:rPr>
          <w:rFonts w:hint="eastAsia" w:ascii="宋体" w:hAnsi="宋体" w:eastAsia="宋体" w:cs="宋体"/>
          <w:sz w:val="3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spacing w:beforeAutospacing="1" w:afterAutospacing="1" w:line="560" w:lineRule="atLeast"/>
        <w:ind w:firstLine="643"/>
        <w:jc w:val="both"/>
        <w:rPr>
          <w:rFonts w:hint="eastAsia" w:ascii="宋体" w:hAnsi="宋体" w:eastAsia="宋体" w:cs="宋体"/>
          <w:sz w:val="32"/>
          <w:szCs w:val="32"/>
        </w:rPr>
      </w:pPr>
      <w:r>
        <w:rPr>
          <w:rFonts w:hint="eastAsia" w:ascii="宋体" w:hAnsi="宋体" w:eastAsia="宋体" w:cs="宋体"/>
          <w:b/>
          <w:bCs/>
          <w:sz w:val="32"/>
          <w:szCs w:val="32"/>
        </w:rPr>
        <w:t>十八、机构运行经费：</w:t>
      </w:r>
      <w:r>
        <w:rPr>
          <w:rFonts w:hint="eastAsia" w:ascii="宋体" w:hAnsi="宋体" w:eastAsia="宋体" w:cs="宋体"/>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beforeAutospacing="1" w:afterAutospacing="1"/>
        <w:ind w:firstLine="4160" w:firstLineChars="1300"/>
        <w:rPr>
          <w:rFonts w:hint="eastAsia" w:ascii="宋体" w:hAnsi="宋体" w:eastAsia="宋体" w:cs="宋体"/>
          <w:sz w:val="32"/>
          <w:szCs w:val="32"/>
        </w:rPr>
      </w:pPr>
      <w:r>
        <w:rPr>
          <w:rFonts w:hint="eastAsia" w:ascii="宋体" w:hAnsi="宋体" w:eastAsia="宋体" w:cs="宋体"/>
          <w:kern w:val="0"/>
          <w:sz w:val="32"/>
          <w:szCs w:val="32"/>
        </w:rPr>
        <w:t xml:space="preserve">第四部分 </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决算公开联系方式及信息反馈渠道</w:t>
      </w:r>
    </w:p>
    <w:p>
      <w:pPr>
        <w:spacing w:beforeAutospacing="1" w:afterAutospacing="1"/>
        <w:rPr>
          <w:rFonts w:hint="eastAsia" w:ascii="宋体" w:hAnsi="宋体" w:eastAsia="宋体" w:cs="宋体"/>
          <w:sz w:val="32"/>
          <w:szCs w:val="32"/>
        </w:rPr>
      </w:pPr>
      <w:r>
        <w:rPr>
          <w:rFonts w:hint="eastAsia" w:ascii="宋体" w:hAnsi="宋体" w:eastAsia="宋体" w:cs="宋体"/>
          <w:sz w:val="32"/>
          <w:szCs w:val="32"/>
        </w:rPr>
        <w:t>联系人：任爱香</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联系电话：0479-7526953</w:t>
      </w:r>
    </w:p>
    <w:p>
      <w:pPr>
        <w:pStyle w:val="2"/>
        <w:ind w:left="0" w:leftChars="0" w:firstLine="0" w:firstLineChars="0"/>
        <w:rPr>
          <w:rFonts w:hint="eastAsia" w:ascii="宋体" w:hAnsi="宋体" w:eastAsia="宋体" w:cs="宋体"/>
          <w:sz w:val="32"/>
          <w:szCs w:val="32"/>
        </w:rPr>
      </w:pP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第五部分 单位决算表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一、收入支出决算总表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二、收入决算表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三、支出决算表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四、财政拨款收入支出决算总表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五、一般公共预算财政拨款支出决算表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六、一般公共预算财政拨款基本支出决算明细表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七、一般公共预算财政拨款项目支出决算明细表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八、政府性基金预算财政拨款收入支出决算表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九、国有资本经营预算财政拨款支出决算表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十、财政拨款“三公”经费支出决算表</w:t>
      </w:r>
    </w:p>
    <w:p>
      <w:pPr>
        <w:widowControl/>
        <w:spacing w:before="240" w:after="240"/>
        <w:jc w:val="left"/>
        <w:rPr>
          <w:rFonts w:hint="eastAsia" w:ascii="宋体" w:hAnsi="宋体" w:eastAsia="宋体" w:cs="宋体"/>
          <w:kern w:val="0"/>
          <w:sz w:val="32"/>
          <w:szCs w:val="32"/>
        </w:rPr>
      </w:pPr>
      <w:r>
        <w:rPr>
          <w:rFonts w:hint="eastAsia" w:ascii="宋体" w:hAnsi="宋体" w:eastAsia="宋体" w:cs="宋体"/>
          <w:kern w:val="0"/>
          <w:sz w:val="32"/>
          <w:szCs w:val="32"/>
        </w:rPr>
        <w:t>十一、机构运行经费支出、国有资产占用情况及政府采购支出信息表</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fang_song_gb2312">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24</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E6EC6"/>
    <w:multiLevelType w:val="singleLevel"/>
    <w:tmpl w:val="C71E6EC6"/>
    <w:lvl w:ilvl="0" w:tentative="0">
      <w:start w:val="11"/>
      <w:numFmt w:val="chineseCounting"/>
      <w:suff w:val="nothing"/>
      <w:lvlText w:val="%1、"/>
      <w:lvlJc w:val="left"/>
      <w:rPr>
        <w:rFonts w:hint="eastAsia"/>
      </w:rPr>
    </w:lvl>
  </w:abstractNum>
  <w:abstractNum w:abstractNumId="1">
    <w:nsid w:val="177EF19A"/>
    <w:multiLevelType w:val="singleLevel"/>
    <w:tmpl w:val="177EF19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0D46F5"/>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DE11FF"/>
    <w:rsid w:val="00E219E7"/>
    <w:rsid w:val="00E60D6A"/>
    <w:rsid w:val="00E73321"/>
    <w:rsid w:val="00E77EC0"/>
    <w:rsid w:val="00E914C1"/>
    <w:rsid w:val="00E97C37"/>
    <w:rsid w:val="00EE533B"/>
    <w:rsid w:val="00F04882"/>
    <w:rsid w:val="00F63327"/>
    <w:rsid w:val="00F80A29"/>
    <w:rsid w:val="00FA7CA5"/>
    <w:rsid w:val="00FD08EC"/>
    <w:rsid w:val="00FD7690"/>
    <w:rsid w:val="0135599F"/>
    <w:rsid w:val="01952CDC"/>
    <w:rsid w:val="029A774A"/>
    <w:rsid w:val="03424DCB"/>
    <w:rsid w:val="04A70AB0"/>
    <w:rsid w:val="04AC7F7D"/>
    <w:rsid w:val="04D45F1E"/>
    <w:rsid w:val="05E818D6"/>
    <w:rsid w:val="08150D0A"/>
    <w:rsid w:val="08DE001A"/>
    <w:rsid w:val="0A7256DC"/>
    <w:rsid w:val="0B914841"/>
    <w:rsid w:val="0BC62BDB"/>
    <w:rsid w:val="0BCA7EE6"/>
    <w:rsid w:val="0C2608BE"/>
    <w:rsid w:val="0C7F16B5"/>
    <w:rsid w:val="0DCC4585"/>
    <w:rsid w:val="0E1B61AE"/>
    <w:rsid w:val="0ED3245F"/>
    <w:rsid w:val="0FAB1817"/>
    <w:rsid w:val="10F921EC"/>
    <w:rsid w:val="116F4487"/>
    <w:rsid w:val="11D9439F"/>
    <w:rsid w:val="12763F1A"/>
    <w:rsid w:val="13BB7A67"/>
    <w:rsid w:val="14E00A25"/>
    <w:rsid w:val="16533C0E"/>
    <w:rsid w:val="16590820"/>
    <w:rsid w:val="16DE32CD"/>
    <w:rsid w:val="171524C3"/>
    <w:rsid w:val="1735468E"/>
    <w:rsid w:val="18797AF0"/>
    <w:rsid w:val="18850397"/>
    <w:rsid w:val="188E0F12"/>
    <w:rsid w:val="18C452F0"/>
    <w:rsid w:val="18E23E5C"/>
    <w:rsid w:val="199F1D9E"/>
    <w:rsid w:val="1D9421E4"/>
    <w:rsid w:val="1E9E11F1"/>
    <w:rsid w:val="1FBD0391"/>
    <w:rsid w:val="200766A9"/>
    <w:rsid w:val="20087E34"/>
    <w:rsid w:val="21253EA0"/>
    <w:rsid w:val="21723D67"/>
    <w:rsid w:val="22145000"/>
    <w:rsid w:val="222309B1"/>
    <w:rsid w:val="223D6ABA"/>
    <w:rsid w:val="2262418E"/>
    <w:rsid w:val="237120A6"/>
    <w:rsid w:val="2424599B"/>
    <w:rsid w:val="25BA3493"/>
    <w:rsid w:val="261E06B9"/>
    <w:rsid w:val="276E6C32"/>
    <w:rsid w:val="282814BF"/>
    <w:rsid w:val="28B86BDB"/>
    <w:rsid w:val="2B914381"/>
    <w:rsid w:val="2CD418BC"/>
    <w:rsid w:val="2E1E4164"/>
    <w:rsid w:val="2E1E549F"/>
    <w:rsid w:val="2E586ECA"/>
    <w:rsid w:val="2F580FE3"/>
    <w:rsid w:val="3036664C"/>
    <w:rsid w:val="308022E9"/>
    <w:rsid w:val="3080449A"/>
    <w:rsid w:val="30E93644"/>
    <w:rsid w:val="32D23AE5"/>
    <w:rsid w:val="331807F7"/>
    <w:rsid w:val="342A67D1"/>
    <w:rsid w:val="342D1A14"/>
    <w:rsid w:val="34434582"/>
    <w:rsid w:val="345804B9"/>
    <w:rsid w:val="34F859C1"/>
    <w:rsid w:val="355250F2"/>
    <w:rsid w:val="36A41B52"/>
    <w:rsid w:val="36A8261D"/>
    <w:rsid w:val="37EE14A3"/>
    <w:rsid w:val="396D4D38"/>
    <w:rsid w:val="39DD0A4D"/>
    <w:rsid w:val="3B756BFF"/>
    <w:rsid w:val="3CE365CE"/>
    <w:rsid w:val="3CFB7974"/>
    <w:rsid w:val="3DF2420D"/>
    <w:rsid w:val="3E0A1AC6"/>
    <w:rsid w:val="3E2432A7"/>
    <w:rsid w:val="3EFB00C9"/>
    <w:rsid w:val="41762531"/>
    <w:rsid w:val="41C65084"/>
    <w:rsid w:val="422434AA"/>
    <w:rsid w:val="42643DA3"/>
    <w:rsid w:val="42656A66"/>
    <w:rsid w:val="42927EC6"/>
    <w:rsid w:val="42F15404"/>
    <w:rsid w:val="42F65E7C"/>
    <w:rsid w:val="438B0ECE"/>
    <w:rsid w:val="465A6C5D"/>
    <w:rsid w:val="467A4B4E"/>
    <w:rsid w:val="47F05A18"/>
    <w:rsid w:val="486B064E"/>
    <w:rsid w:val="48EA6116"/>
    <w:rsid w:val="496D3B83"/>
    <w:rsid w:val="49B118C4"/>
    <w:rsid w:val="49BA6C94"/>
    <w:rsid w:val="4A0A05F6"/>
    <w:rsid w:val="4A2750ED"/>
    <w:rsid w:val="4A511662"/>
    <w:rsid w:val="4B1F6CF5"/>
    <w:rsid w:val="4B397454"/>
    <w:rsid w:val="4D8C3B47"/>
    <w:rsid w:val="4E4F0394"/>
    <w:rsid w:val="4FAC5DAA"/>
    <w:rsid w:val="50E16156"/>
    <w:rsid w:val="51107383"/>
    <w:rsid w:val="51AD0C88"/>
    <w:rsid w:val="52564CE2"/>
    <w:rsid w:val="527702EE"/>
    <w:rsid w:val="53432334"/>
    <w:rsid w:val="537B5987"/>
    <w:rsid w:val="550C4D0D"/>
    <w:rsid w:val="553B67B7"/>
    <w:rsid w:val="56752CA7"/>
    <w:rsid w:val="57A519D7"/>
    <w:rsid w:val="57D21BAE"/>
    <w:rsid w:val="599B2E63"/>
    <w:rsid w:val="5AD53608"/>
    <w:rsid w:val="5B8E4C98"/>
    <w:rsid w:val="5BE04302"/>
    <w:rsid w:val="5C2F2635"/>
    <w:rsid w:val="5FC74557"/>
    <w:rsid w:val="609E2F5F"/>
    <w:rsid w:val="60ED121C"/>
    <w:rsid w:val="630B76B4"/>
    <w:rsid w:val="6374454B"/>
    <w:rsid w:val="64391DD4"/>
    <w:rsid w:val="671702DF"/>
    <w:rsid w:val="679A5E6D"/>
    <w:rsid w:val="6A9D6B06"/>
    <w:rsid w:val="6AF709A9"/>
    <w:rsid w:val="6B07442D"/>
    <w:rsid w:val="6C30095C"/>
    <w:rsid w:val="6CC532CE"/>
    <w:rsid w:val="6CF72F2A"/>
    <w:rsid w:val="6ECA2815"/>
    <w:rsid w:val="6EE22DCE"/>
    <w:rsid w:val="6F3748D2"/>
    <w:rsid w:val="6F462C2C"/>
    <w:rsid w:val="6F897D86"/>
    <w:rsid w:val="6F9800F4"/>
    <w:rsid w:val="6FEC3F5D"/>
    <w:rsid w:val="70B75FF2"/>
    <w:rsid w:val="70CF3EFC"/>
    <w:rsid w:val="71AB77CC"/>
    <w:rsid w:val="738735AD"/>
    <w:rsid w:val="73B60E16"/>
    <w:rsid w:val="75390DBB"/>
    <w:rsid w:val="757E045C"/>
    <w:rsid w:val="75E81191"/>
    <w:rsid w:val="7602652B"/>
    <w:rsid w:val="77D254FB"/>
    <w:rsid w:val="78D11433"/>
    <w:rsid w:val="793157A1"/>
    <w:rsid w:val="79F51927"/>
    <w:rsid w:val="79F70F8D"/>
    <w:rsid w:val="7B800F47"/>
    <w:rsid w:val="7BE22D69"/>
    <w:rsid w:val="7E3925F1"/>
    <w:rsid w:val="7F2E20C8"/>
    <w:rsid w:val="7F7A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0"/>
    <w:qFormat/>
    <w:uiPriority w:val="0"/>
    <w:pPr>
      <w:keepNext/>
      <w:keepLines/>
      <w:spacing w:before="260" w:after="260" w:line="416" w:lineRule="auto"/>
      <w:outlineLvl w:val="2"/>
    </w:pPr>
    <w:rPr>
      <w:b/>
      <w:bCs/>
      <w:sz w:val="32"/>
      <w:szCs w:val="32"/>
    </w:rPr>
  </w:style>
  <w:style w:type="paragraph" w:styleId="7">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ind w:firstLine="100" w:firstLineChars="100"/>
    </w:pPr>
  </w:style>
  <w:style w:type="paragraph" w:customStyle="1" w:styleId="3">
    <w:name w:val="Body Text1"/>
    <w:basedOn w:val="1"/>
    <w:qFormat/>
    <w:uiPriority w:val="0"/>
    <w:rPr>
      <w:sz w:val="4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Body Text"/>
    <w:basedOn w:val="1"/>
    <w:qFormat/>
    <w:uiPriority w:val="1"/>
    <w:pPr>
      <w:spacing w:after="120"/>
    </w:pPr>
    <w:rPr>
      <w:rFonts w:hint="default" w:cs="宋体"/>
    </w:rPr>
  </w:style>
  <w:style w:type="paragraph" w:styleId="11">
    <w:name w:val="toc 5"/>
    <w:basedOn w:val="1"/>
    <w:next w:val="1"/>
    <w:uiPriority w:val="0"/>
    <w:pPr>
      <w:ind w:left="840"/>
      <w:jc w:val="left"/>
    </w:pPr>
    <w:rPr>
      <w:sz w:val="20"/>
      <w:szCs w:val="20"/>
    </w:rPr>
  </w:style>
  <w:style w:type="paragraph" w:styleId="12">
    <w:name w:val="toc 3"/>
    <w:basedOn w:val="1"/>
    <w:next w:val="1"/>
    <w:qFormat/>
    <w:uiPriority w:val="0"/>
    <w:pPr>
      <w:adjustRightInd w:val="0"/>
      <w:snapToGrid w:val="0"/>
      <w:spacing w:line="360" w:lineRule="auto"/>
      <w:ind w:firstLine="400" w:firstLineChars="400"/>
      <w:jc w:val="left"/>
    </w:pPr>
    <w:rPr>
      <w:sz w:val="24"/>
      <w:szCs w:val="20"/>
    </w:rPr>
  </w:style>
  <w:style w:type="paragraph" w:styleId="13">
    <w:name w:val="toc 8"/>
    <w:basedOn w:val="1"/>
    <w:next w:val="1"/>
    <w:qFormat/>
    <w:uiPriority w:val="0"/>
    <w:pPr>
      <w:ind w:left="1470"/>
      <w:jc w:val="left"/>
    </w:pPr>
    <w:rPr>
      <w:sz w:val="20"/>
      <w:szCs w:val="20"/>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snapToGrid w:val="0"/>
      <w:spacing w:line="360" w:lineRule="auto"/>
      <w:jc w:val="left"/>
    </w:pPr>
    <w:rPr>
      <w:b/>
      <w:bCs/>
      <w:sz w:val="24"/>
      <w:szCs w:val="20"/>
    </w:rPr>
  </w:style>
  <w:style w:type="paragraph" w:styleId="17">
    <w:name w:val="toc 4"/>
    <w:basedOn w:val="1"/>
    <w:next w:val="1"/>
    <w:uiPriority w:val="0"/>
    <w:pPr>
      <w:ind w:left="630"/>
      <w:jc w:val="left"/>
    </w:pPr>
    <w:rPr>
      <w:sz w:val="20"/>
      <w:szCs w:val="20"/>
    </w:rPr>
  </w:style>
  <w:style w:type="paragraph" w:styleId="18">
    <w:name w:val="toc 6"/>
    <w:basedOn w:val="1"/>
    <w:next w:val="1"/>
    <w:uiPriority w:val="0"/>
    <w:pPr>
      <w:ind w:left="1050"/>
      <w:jc w:val="left"/>
    </w:pPr>
    <w:rPr>
      <w:sz w:val="20"/>
      <w:szCs w:val="20"/>
    </w:rPr>
  </w:style>
  <w:style w:type="paragraph" w:styleId="19">
    <w:name w:val="toc 2"/>
    <w:basedOn w:val="1"/>
    <w:next w:val="1"/>
    <w:uiPriority w:val="0"/>
    <w:pPr>
      <w:adjustRightInd w:val="0"/>
      <w:snapToGrid w:val="0"/>
      <w:spacing w:line="360" w:lineRule="auto"/>
      <w:ind w:firstLine="200" w:firstLineChars="200"/>
      <w:jc w:val="left"/>
    </w:pPr>
    <w:rPr>
      <w:iCs/>
      <w:sz w:val="24"/>
      <w:szCs w:val="20"/>
    </w:rPr>
  </w:style>
  <w:style w:type="paragraph" w:styleId="20">
    <w:name w:val="toc 9"/>
    <w:basedOn w:val="1"/>
    <w:next w:val="1"/>
    <w:uiPriority w:val="0"/>
    <w:pPr>
      <w:ind w:left="1680"/>
      <w:jc w:val="left"/>
    </w:pPr>
    <w:rPr>
      <w:sz w:val="20"/>
      <w:szCs w:val="20"/>
    </w:rPr>
  </w:style>
  <w:style w:type="character" w:styleId="23">
    <w:name w:val="page number"/>
    <w:basedOn w:val="22"/>
    <w:uiPriority w:val="0"/>
  </w:style>
  <w:style w:type="character" w:styleId="24">
    <w:name w:val="Hyperlink"/>
    <w:basedOn w:val="22"/>
    <w:uiPriority w:val="0"/>
    <w:rPr>
      <w:color w:val="0000FF"/>
      <w:u w:val="single"/>
    </w:rPr>
  </w:style>
  <w:style w:type="character" w:customStyle="1" w:styleId="25">
    <w:name w:val="标题 4 字符"/>
    <w:basedOn w:val="22"/>
    <w:link w:val="7"/>
    <w:uiPriority w:val="0"/>
    <w:rPr>
      <w:rFonts w:ascii="Cambria" w:hAnsi="Cambria"/>
      <w:b/>
      <w:bCs/>
      <w:kern w:val="2"/>
      <w:sz w:val="28"/>
      <w:szCs w:val="28"/>
    </w:rPr>
  </w:style>
  <w:style w:type="paragraph"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locked/>
    <w:uiPriority w:val="0"/>
    <w:rPr>
      <w:rFonts w:eastAsia="仿宋_GB2312"/>
      <w:sz w:val="30"/>
      <w:szCs w:val="22"/>
      <w:lang w:bidi="ar-SA"/>
    </w:rPr>
  </w:style>
  <w:style w:type="character" w:customStyle="1" w:styleId="28">
    <w:name w:val="页脚 字符"/>
    <w:basedOn w:val="22"/>
    <w:link w:val="14"/>
    <w:uiPriority w:val="0"/>
    <w:rPr>
      <w:kern w:val="2"/>
      <w:sz w:val="18"/>
      <w:szCs w:val="18"/>
    </w:rPr>
  </w:style>
  <w:style w:type="paragraph" w:styleId="29">
    <w:name w:val="List Paragraph"/>
    <w:basedOn w:val="1"/>
    <w:qFormat/>
    <w:uiPriority w:val="0"/>
    <w:pPr>
      <w:ind w:firstLine="420" w:firstLineChars="200"/>
    </w:pPr>
  </w:style>
  <w:style w:type="character" w:customStyle="1" w:styleId="30">
    <w:name w:val="标题 3 字符"/>
    <w:basedOn w:val="22"/>
    <w:link w:val="6"/>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总收入</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[工作簿2]Sheet1!$E$12:$F$12</c:f>
              <c:strCache>
                <c:ptCount val="2"/>
                <c:pt idx="0">
                  <c:v>经营收入</c:v>
                </c:pt>
                <c:pt idx="1">
                  <c:v>财政拨款收入</c:v>
                </c:pt>
              </c:strCache>
            </c:strRef>
          </c:cat>
          <c:val>
            <c:numRef>
              <c:f>[工作簿2]Sheet1!$E$13:$F$13</c:f>
              <c:numCache>
                <c:formatCode>General</c:formatCode>
                <c:ptCount val="2"/>
                <c:pt idx="0">
                  <c:v>1318300</c:v>
                </c:pt>
                <c:pt idx="1">
                  <c:v>2358500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总支出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[工作簿1]Sheet1!$F$12:$H$12</c:f>
              <c:strCache>
                <c:ptCount val="3"/>
                <c:pt idx="0">
                  <c:v>基本支出</c:v>
                </c:pt>
                <c:pt idx="1">
                  <c:v>项目支出</c:v>
                </c:pt>
                <c:pt idx="2">
                  <c:v>经营支出</c:v>
                </c:pt>
              </c:strCache>
            </c:strRef>
          </c:cat>
          <c:val>
            <c:numRef>
              <c:f>[工作簿1]Sheet1!$F$13:$H$13</c:f>
              <c:numCache>
                <c:formatCode>General</c:formatCode>
                <c:ptCount val="3"/>
                <c:pt idx="0">
                  <c:v>1700500</c:v>
                </c:pt>
                <c:pt idx="1">
                  <c:v>658000</c:v>
                </c:pt>
                <c:pt idx="2">
                  <c:v>1229500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22</Words>
  <Characters>130</Characters>
  <Lines>1</Lines>
  <Paragraphs>1</Paragraphs>
  <TotalTime>1</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2024-07-25T08:24:00Z</cp:lastPrinted>
  <dcterms:modified xsi:type="dcterms:W3CDTF">2024-08-21T07:21:05Z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