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keepNext/>
        <w:spacing w:before="340" w:beforeAutospacing="0" w:after="330" w:afterAutospacing="0" w:line="576" w:lineRule="auto"/>
        <w:ind w:left="198"/>
        <w:jc w:val="both"/>
        <w:rPr>
          <w:rFonts w:hint="default"/>
          <w:sz w:val="32"/>
          <w:szCs w:val="32"/>
        </w:rPr>
      </w:pPr>
    </w:p>
    <w:p>
      <w:pPr>
        <w:spacing w:beforeAutospacing="1" w:afterAutospacing="1"/>
        <w:jc w:val="both"/>
        <w:rPr>
          <w:rFonts w:hint="default"/>
          <w:sz w:val="32"/>
          <w:szCs w:val="32"/>
        </w:rPr>
      </w:pPr>
    </w:p>
    <w:p>
      <w:pPr>
        <w:spacing w:after="120"/>
        <w:ind w:left="420" w:firstLine="640"/>
        <w:jc w:val="both"/>
        <w:rPr>
          <w:rFonts w:hint="default"/>
          <w:sz w:val="32"/>
          <w:szCs w:val="32"/>
        </w:rPr>
      </w:pPr>
    </w:p>
    <w:p>
      <w:pPr>
        <w:spacing w:after="120"/>
        <w:ind w:left="420" w:firstLine="640"/>
        <w:jc w:val="both"/>
        <w:rPr>
          <w:rFonts w:hint="default"/>
          <w:sz w:val="32"/>
          <w:szCs w:val="32"/>
        </w:rPr>
      </w:pPr>
    </w:p>
    <w:p>
      <w:pPr>
        <w:spacing w:after="120"/>
        <w:ind w:left="420" w:firstLine="640"/>
        <w:jc w:val="both"/>
        <w:rPr>
          <w:rFonts w:hint="default"/>
          <w:sz w:val="32"/>
          <w:szCs w:val="32"/>
        </w:rPr>
      </w:pPr>
    </w:p>
    <w:p>
      <w:pPr>
        <w:spacing w:after="120"/>
        <w:ind w:left="420" w:firstLine="640"/>
        <w:jc w:val="both"/>
        <w:rPr>
          <w:rFonts w:hint="default"/>
          <w:sz w:val="32"/>
          <w:szCs w:val="32"/>
        </w:rPr>
      </w:pPr>
    </w:p>
    <w:p>
      <w:pPr>
        <w:spacing w:after="120"/>
        <w:ind w:left="420" w:firstLine="640"/>
        <w:jc w:val="both"/>
        <w:rPr>
          <w:rFonts w:hint="default"/>
          <w:sz w:val="32"/>
          <w:szCs w:val="32"/>
        </w:rPr>
      </w:pPr>
    </w:p>
    <w:p>
      <w:pPr>
        <w:keepNext/>
        <w:spacing w:beforeAutospacing="1" w:afterAutospacing="1"/>
        <w:ind w:left="198"/>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2022年度内蒙古自治区特种设备检验研究院满洲里分院单位决算公开</w:t>
      </w:r>
    </w:p>
    <w:p>
      <w:pPr>
        <w:spacing w:beforeAutospacing="1" w:afterAutospacing="1"/>
        <w:jc w:val="both"/>
        <w:rPr>
          <w:rFonts w:hint="default"/>
          <w:sz w:val="32"/>
          <w:szCs w:val="32"/>
        </w:rPr>
      </w:pPr>
    </w:p>
    <w:p>
      <w:pPr>
        <w:spacing w:after="120"/>
        <w:ind w:left="420" w:firstLine="420"/>
        <w:jc w:val="both"/>
        <w:rPr>
          <w:rFonts w:hint="default"/>
          <w:sz w:val="32"/>
          <w:szCs w:val="32"/>
        </w:rPr>
      </w:pPr>
    </w:p>
    <w:p>
      <w:pPr>
        <w:spacing w:after="120"/>
        <w:ind w:left="420" w:firstLine="420"/>
        <w:jc w:val="both"/>
        <w:rPr>
          <w:rFonts w:hint="default"/>
          <w:sz w:val="32"/>
          <w:szCs w:val="32"/>
        </w:rPr>
      </w:pPr>
    </w:p>
    <w:p>
      <w:pPr>
        <w:spacing w:after="120"/>
        <w:ind w:left="420" w:firstLine="420"/>
        <w:jc w:val="both"/>
        <w:rPr>
          <w:rFonts w:hint="default"/>
          <w:sz w:val="32"/>
          <w:szCs w:val="32"/>
        </w:rPr>
      </w:pPr>
    </w:p>
    <w:p>
      <w:pPr>
        <w:spacing w:after="120"/>
        <w:ind w:left="420" w:firstLine="420"/>
        <w:jc w:val="both"/>
        <w:rPr>
          <w:rFonts w:hint="default"/>
          <w:sz w:val="32"/>
          <w:szCs w:val="32"/>
        </w:rPr>
      </w:pPr>
    </w:p>
    <w:p>
      <w:pPr>
        <w:spacing w:after="120"/>
        <w:ind w:left="420" w:firstLine="420"/>
        <w:jc w:val="both"/>
        <w:rPr>
          <w:rFonts w:hint="default"/>
          <w:sz w:val="32"/>
          <w:szCs w:val="32"/>
        </w:rPr>
      </w:pPr>
    </w:p>
    <w:p>
      <w:pPr>
        <w:spacing w:after="120"/>
        <w:ind w:left="420" w:firstLine="420"/>
        <w:jc w:val="both"/>
        <w:rPr>
          <w:rFonts w:hint="default"/>
          <w:sz w:val="32"/>
          <w:szCs w:val="32"/>
        </w:rPr>
      </w:pPr>
    </w:p>
    <w:p>
      <w:pPr>
        <w:spacing w:before="3" w:after="120"/>
        <w:ind w:firstLine="200"/>
        <w:jc w:val="both"/>
        <w:rPr>
          <w:rFonts w:hint="default"/>
          <w:sz w:val="32"/>
          <w:szCs w:val="32"/>
        </w:rPr>
      </w:pPr>
    </w:p>
    <w:p>
      <w:pPr>
        <w:spacing w:beforeAutospacing="1" w:afterAutospacing="1"/>
        <w:jc w:val="center"/>
        <w:rPr>
          <w:rFonts w:hint="default"/>
          <w:sz w:val="32"/>
          <w:szCs w:val="32"/>
        </w:rPr>
      </w:pPr>
      <w:r>
        <w:rPr>
          <w:b/>
          <w:bCs/>
          <w:sz w:val="32"/>
          <w:szCs w:val="32"/>
        </w:rPr>
        <w:t>目录</w:t>
      </w:r>
    </w:p>
    <w:p>
      <w:pPr>
        <w:spacing w:beforeAutospacing="1" w:afterAutospacing="1" w:line="360" w:lineRule="auto"/>
        <w:jc w:val="both"/>
        <w:rPr>
          <w:rFonts w:hint="default"/>
          <w:sz w:val="32"/>
          <w:szCs w:val="32"/>
        </w:rPr>
      </w:pPr>
      <w:r>
        <w:rPr>
          <w:sz w:val="32"/>
          <w:szCs w:val="32"/>
        </w:rPr>
        <w:t>第一部分单位概况</w:t>
      </w:r>
    </w:p>
    <w:p>
      <w:pPr>
        <w:spacing w:beforeAutospacing="1" w:afterAutospacing="1" w:line="360" w:lineRule="auto"/>
        <w:jc w:val="both"/>
        <w:rPr>
          <w:rFonts w:hint="default"/>
          <w:sz w:val="32"/>
          <w:szCs w:val="32"/>
        </w:rPr>
      </w:pPr>
      <w:r>
        <w:rPr>
          <w:sz w:val="32"/>
          <w:szCs w:val="32"/>
        </w:rPr>
        <w:t>一、主要职能、职责</w:t>
      </w:r>
    </w:p>
    <w:p>
      <w:pPr>
        <w:spacing w:before="6" w:after="120"/>
        <w:ind w:right="1670"/>
        <w:jc w:val="both"/>
        <w:rPr>
          <w:rFonts w:hint="default"/>
          <w:sz w:val="32"/>
          <w:szCs w:val="32"/>
        </w:rPr>
      </w:pPr>
      <w:r>
        <w:rPr>
          <w:sz w:val="32"/>
          <w:szCs w:val="32"/>
        </w:rPr>
        <w:t>二、单位机构设置及决算单位构成情况</w:t>
      </w:r>
    </w:p>
    <w:p>
      <w:pPr>
        <w:spacing w:beforeAutospacing="1" w:afterAutospacing="1" w:line="360" w:lineRule="auto"/>
        <w:jc w:val="both"/>
        <w:rPr>
          <w:rFonts w:hint="default"/>
          <w:sz w:val="32"/>
          <w:szCs w:val="32"/>
        </w:rPr>
      </w:pPr>
      <w:r>
        <w:rPr>
          <w:sz w:val="32"/>
          <w:szCs w:val="32"/>
        </w:rPr>
        <w:t>第二部分2022年度单位决算情况说明</w:t>
      </w:r>
    </w:p>
    <w:p>
      <w:pPr>
        <w:spacing w:beforeAutospacing="1" w:afterAutospacing="1" w:line="360" w:lineRule="auto"/>
        <w:jc w:val="both"/>
        <w:rPr>
          <w:rFonts w:hint="default"/>
          <w:sz w:val="32"/>
          <w:szCs w:val="32"/>
        </w:rPr>
      </w:pPr>
      <w:r>
        <w:rPr>
          <w:sz w:val="32"/>
          <w:szCs w:val="32"/>
        </w:rPr>
        <w:t>一、收入支出决算总体情况说明</w:t>
      </w:r>
    </w:p>
    <w:p>
      <w:pPr>
        <w:spacing w:beforeAutospacing="1" w:afterAutospacing="1" w:line="360" w:lineRule="auto"/>
        <w:jc w:val="both"/>
        <w:rPr>
          <w:rFonts w:hint="default"/>
          <w:sz w:val="32"/>
          <w:szCs w:val="32"/>
        </w:rPr>
      </w:pPr>
      <w:r>
        <w:rPr>
          <w:sz w:val="32"/>
          <w:szCs w:val="32"/>
        </w:rPr>
        <w:t>二、收入决算情况说明</w:t>
      </w:r>
    </w:p>
    <w:p>
      <w:pPr>
        <w:spacing w:beforeAutospacing="1" w:afterAutospacing="1" w:line="360" w:lineRule="auto"/>
        <w:jc w:val="both"/>
        <w:rPr>
          <w:rFonts w:hint="default"/>
          <w:sz w:val="32"/>
          <w:szCs w:val="32"/>
        </w:rPr>
      </w:pPr>
      <w:r>
        <w:rPr>
          <w:sz w:val="32"/>
          <w:szCs w:val="32"/>
        </w:rPr>
        <w:t>三、支出决算情况说明</w:t>
      </w:r>
    </w:p>
    <w:p>
      <w:pPr>
        <w:spacing w:beforeAutospacing="1" w:afterAutospacing="1" w:line="360" w:lineRule="auto"/>
        <w:jc w:val="both"/>
        <w:rPr>
          <w:rFonts w:hint="default"/>
          <w:sz w:val="32"/>
          <w:szCs w:val="32"/>
        </w:rPr>
      </w:pPr>
      <w:r>
        <w:rPr>
          <w:sz w:val="32"/>
          <w:szCs w:val="32"/>
        </w:rPr>
        <w:t>四、财政拨款收入支出决算总体情况说明</w:t>
      </w:r>
    </w:p>
    <w:p>
      <w:pPr>
        <w:spacing w:beforeAutospacing="1" w:afterAutospacing="1" w:line="360" w:lineRule="auto"/>
        <w:jc w:val="both"/>
        <w:rPr>
          <w:rFonts w:hint="default"/>
          <w:sz w:val="32"/>
          <w:szCs w:val="32"/>
        </w:rPr>
      </w:pPr>
      <w:r>
        <w:rPr>
          <w:sz w:val="32"/>
          <w:szCs w:val="32"/>
        </w:rPr>
        <w:t>五、一般公共预算支出决算情况说明</w:t>
      </w:r>
    </w:p>
    <w:p>
      <w:pPr>
        <w:spacing w:beforeAutospacing="1" w:afterAutospacing="1" w:line="360" w:lineRule="auto"/>
        <w:jc w:val="both"/>
        <w:rPr>
          <w:rFonts w:hint="default"/>
          <w:sz w:val="32"/>
          <w:szCs w:val="32"/>
        </w:rPr>
      </w:pPr>
      <w:r>
        <w:rPr>
          <w:sz w:val="32"/>
          <w:szCs w:val="32"/>
        </w:rPr>
        <w:t>六、一般公共预算基本支出决算情况说明</w:t>
      </w:r>
    </w:p>
    <w:p>
      <w:pPr>
        <w:spacing w:beforeAutospacing="1" w:afterAutospacing="1" w:line="360" w:lineRule="auto"/>
        <w:jc w:val="both"/>
        <w:rPr>
          <w:rFonts w:hint="default"/>
          <w:sz w:val="32"/>
          <w:szCs w:val="32"/>
        </w:rPr>
      </w:pPr>
      <w:r>
        <w:rPr>
          <w:sz w:val="32"/>
          <w:szCs w:val="32"/>
        </w:rPr>
        <w:t>七、一般公共预算项目支出决算情况说明</w:t>
      </w:r>
    </w:p>
    <w:p>
      <w:pPr>
        <w:spacing w:beforeAutospacing="1" w:afterAutospacing="1" w:line="360" w:lineRule="auto"/>
        <w:jc w:val="both"/>
        <w:rPr>
          <w:rFonts w:hint="default"/>
          <w:sz w:val="32"/>
          <w:szCs w:val="32"/>
        </w:rPr>
      </w:pPr>
      <w:r>
        <w:rPr>
          <w:sz w:val="32"/>
          <w:szCs w:val="32"/>
        </w:rPr>
        <w:t>八、财政拨款“三公”经费支出决算情况说明</w:t>
      </w:r>
    </w:p>
    <w:p>
      <w:pPr>
        <w:spacing w:beforeAutospacing="1" w:afterAutospacing="1" w:line="360" w:lineRule="auto"/>
        <w:jc w:val="both"/>
        <w:rPr>
          <w:rFonts w:hint="default"/>
          <w:sz w:val="32"/>
          <w:szCs w:val="32"/>
        </w:rPr>
      </w:pPr>
      <w:r>
        <w:rPr>
          <w:sz w:val="32"/>
          <w:szCs w:val="32"/>
        </w:rPr>
        <w:t>九、政府性基金预算财政拨款支出决算情况说明</w:t>
      </w:r>
    </w:p>
    <w:p>
      <w:pPr>
        <w:spacing w:beforeAutospacing="1" w:afterAutospacing="1" w:line="360" w:lineRule="auto"/>
        <w:jc w:val="both"/>
        <w:rPr>
          <w:rFonts w:hint="default"/>
          <w:sz w:val="32"/>
          <w:szCs w:val="32"/>
        </w:rPr>
      </w:pPr>
      <w:r>
        <w:rPr>
          <w:sz w:val="32"/>
          <w:szCs w:val="32"/>
        </w:rPr>
        <w:t>十、国有资本经营预算财政拨款支出决算情况说明</w:t>
      </w:r>
    </w:p>
    <w:p>
      <w:pPr>
        <w:spacing w:beforeAutospacing="1" w:afterAutospacing="1" w:line="360" w:lineRule="auto"/>
        <w:jc w:val="both"/>
        <w:rPr>
          <w:rFonts w:hint="default"/>
          <w:sz w:val="32"/>
          <w:szCs w:val="32"/>
        </w:rPr>
      </w:pPr>
      <w:r>
        <w:rPr>
          <w:sz w:val="32"/>
          <w:szCs w:val="32"/>
        </w:rPr>
        <w:t>十一、项目支出决算情况说明</w:t>
      </w:r>
    </w:p>
    <w:p>
      <w:pPr>
        <w:spacing w:beforeAutospacing="1" w:afterAutospacing="1" w:line="360" w:lineRule="auto"/>
        <w:jc w:val="both"/>
        <w:rPr>
          <w:rFonts w:hint="default"/>
          <w:sz w:val="32"/>
          <w:szCs w:val="32"/>
        </w:rPr>
      </w:pPr>
      <w:r>
        <w:rPr>
          <w:sz w:val="32"/>
          <w:szCs w:val="32"/>
        </w:rPr>
        <w:t>十二、机构运行经费支出决算情况说明</w:t>
      </w:r>
    </w:p>
    <w:p>
      <w:pPr>
        <w:spacing w:beforeAutospacing="1" w:afterAutospacing="1" w:line="360" w:lineRule="auto"/>
        <w:jc w:val="both"/>
        <w:rPr>
          <w:rFonts w:hint="default"/>
          <w:sz w:val="32"/>
          <w:szCs w:val="32"/>
        </w:rPr>
      </w:pPr>
      <w:r>
        <w:rPr>
          <w:sz w:val="32"/>
          <w:szCs w:val="32"/>
        </w:rPr>
        <w:t>十三、政府采购支出决算情况说明</w:t>
      </w:r>
    </w:p>
    <w:p>
      <w:pPr>
        <w:spacing w:beforeAutospacing="1" w:afterAutospacing="1" w:line="360" w:lineRule="auto"/>
        <w:jc w:val="both"/>
        <w:rPr>
          <w:rFonts w:hint="default"/>
          <w:sz w:val="32"/>
          <w:szCs w:val="32"/>
        </w:rPr>
      </w:pPr>
      <w:r>
        <w:rPr>
          <w:sz w:val="32"/>
          <w:szCs w:val="32"/>
        </w:rPr>
        <w:t>十四、国有资产占用情况说明</w:t>
      </w:r>
    </w:p>
    <w:p>
      <w:pPr>
        <w:spacing w:beforeAutospacing="1" w:afterAutospacing="1" w:line="360" w:lineRule="auto"/>
        <w:jc w:val="both"/>
        <w:rPr>
          <w:rFonts w:hint="default"/>
          <w:sz w:val="32"/>
          <w:szCs w:val="32"/>
        </w:rPr>
      </w:pPr>
      <w:r>
        <w:rPr>
          <w:sz w:val="32"/>
          <w:szCs w:val="32"/>
        </w:rPr>
        <w:t>十五、预算绩效情况说明</w:t>
      </w:r>
    </w:p>
    <w:p>
      <w:pPr>
        <w:spacing w:beforeAutospacing="1" w:afterAutospacing="1" w:line="360" w:lineRule="auto"/>
        <w:jc w:val="both"/>
        <w:rPr>
          <w:rFonts w:hint="default"/>
          <w:sz w:val="32"/>
          <w:szCs w:val="32"/>
        </w:rPr>
      </w:pPr>
      <w:r>
        <w:rPr>
          <w:sz w:val="32"/>
          <w:szCs w:val="32"/>
        </w:rPr>
        <w:t>第三部分名词解释</w:t>
      </w:r>
    </w:p>
    <w:p>
      <w:pPr>
        <w:spacing w:beforeAutospacing="1" w:afterAutospacing="1" w:line="600" w:lineRule="atLeast"/>
        <w:jc w:val="both"/>
        <w:rPr>
          <w:rFonts w:hint="default"/>
          <w:sz w:val="32"/>
          <w:szCs w:val="32"/>
        </w:rPr>
      </w:pPr>
      <w:r>
        <w:rPr>
          <w:sz w:val="32"/>
          <w:szCs w:val="32"/>
        </w:rPr>
        <w:t>第四部分决算公开联系方式及信息反馈渠道</w:t>
      </w:r>
    </w:p>
    <w:p>
      <w:pPr>
        <w:spacing w:beforeAutospacing="1" w:afterAutospacing="1" w:line="360" w:lineRule="auto"/>
        <w:jc w:val="both"/>
        <w:rPr>
          <w:rFonts w:hint="default"/>
          <w:sz w:val="32"/>
          <w:szCs w:val="32"/>
        </w:rPr>
      </w:pPr>
      <w:r>
        <w:rPr>
          <w:sz w:val="32"/>
          <w:szCs w:val="32"/>
        </w:rPr>
        <w:t>第五部分2022年度单位决算表</w:t>
      </w:r>
    </w:p>
    <w:p>
      <w:pPr>
        <w:spacing w:beforeAutospacing="1" w:afterAutospacing="1" w:line="360" w:lineRule="auto"/>
        <w:jc w:val="both"/>
        <w:rPr>
          <w:rFonts w:hint="default"/>
          <w:sz w:val="32"/>
          <w:szCs w:val="32"/>
        </w:rPr>
      </w:pPr>
      <w:r>
        <w:rPr>
          <w:sz w:val="32"/>
          <w:szCs w:val="32"/>
        </w:rPr>
        <w:t>一、收入支出决算总表</w:t>
      </w:r>
    </w:p>
    <w:p>
      <w:pPr>
        <w:spacing w:beforeAutospacing="1" w:afterAutospacing="1" w:line="360" w:lineRule="auto"/>
        <w:jc w:val="both"/>
        <w:rPr>
          <w:rFonts w:hint="default"/>
          <w:sz w:val="32"/>
          <w:szCs w:val="32"/>
        </w:rPr>
      </w:pPr>
      <w:r>
        <w:rPr>
          <w:sz w:val="32"/>
          <w:szCs w:val="32"/>
        </w:rPr>
        <w:t>二、收入决算表</w:t>
      </w:r>
    </w:p>
    <w:p>
      <w:pPr>
        <w:spacing w:beforeAutospacing="1" w:afterAutospacing="1" w:line="360" w:lineRule="auto"/>
        <w:jc w:val="both"/>
        <w:rPr>
          <w:rFonts w:hint="default"/>
          <w:sz w:val="32"/>
          <w:szCs w:val="32"/>
        </w:rPr>
      </w:pPr>
      <w:r>
        <w:rPr>
          <w:sz w:val="32"/>
          <w:szCs w:val="32"/>
        </w:rPr>
        <w:t>三、支出决算表</w:t>
      </w:r>
    </w:p>
    <w:p>
      <w:pPr>
        <w:spacing w:beforeAutospacing="1" w:afterAutospacing="1" w:line="360" w:lineRule="auto"/>
        <w:jc w:val="both"/>
        <w:rPr>
          <w:rFonts w:hint="default"/>
          <w:sz w:val="32"/>
          <w:szCs w:val="32"/>
        </w:rPr>
      </w:pPr>
      <w:r>
        <w:rPr>
          <w:sz w:val="32"/>
          <w:szCs w:val="32"/>
        </w:rPr>
        <w:t>四、财政拨款收入支出决算总表</w:t>
      </w:r>
    </w:p>
    <w:p>
      <w:pPr>
        <w:spacing w:beforeAutospacing="1" w:afterAutospacing="1" w:line="360" w:lineRule="auto"/>
        <w:jc w:val="both"/>
        <w:rPr>
          <w:rFonts w:hint="default"/>
          <w:sz w:val="32"/>
          <w:szCs w:val="32"/>
        </w:rPr>
      </w:pPr>
      <w:r>
        <w:rPr>
          <w:sz w:val="32"/>
          <w:szCs w:val="32"/>
        </w:rPr>
        <w:t>五、项目收入支出决算表</w:t>
      </w:r>
    </w:p>
    <w:p>
      <w:pPr>
        <w:spacing w:beforeAutospacing="1" w:afterAutospacing="1" w:line="360" w:lineRule="auto"/>
        <w:jc w:val="both"/>
        <w:rPr>
          <w:rFonts w:hint="default"/>
          <w:sz w:val="32"/>
          <w:szCs w:val="32"/>
        </w:rPr>
      </w:pPr>
      <w:r>
        <w:rPr>
          <w:sz w:val="32"/>
          <w:szCs w:val="32"/>
        </w:rPr>
        <w:t>六、一般公共预算财政拨款支出决算表</w:t>
      </w:r>
    </w:p>
    <w:p>
      <w:pPr>
        <w:spacing w:beforeAutospacing="1" w:afterAutospacing="1" w:line="360" w:lineRule="auto"/>
        <w:jc w:val="both"/>
        <w:rPr>
          <w:rFonts w:hint="default"/>
          <w:sz w:val="32"/>
          <w:szCs w:val="32"/>
        </w:rPr>
      </w:pPr>
      <w:r>
        <w:rPr>
          <w:sz w:val="32"/>
          <w:szCs w:val="32"/>
        </w:rPr>
        <w:t>七、一般公共预算财政拨款基本支出决算明细表</w:t>
      </w:r>
    </w:p>
    <w:p>
      <w:pPr>
        <w:spacing w:beforeAutospacing="1" w:afterAutospacing="1" w:line="360" w:lineRule="auto"/>
        <w:jc w:val="both"/>
        <w:rPr>
          <w:rFonts w:hint="default"/>
          <w:sz w:val="32"/>
          <w:szCs w:val="32"/>
        </w:rPr>
      </w:pPr>
      <w:r>
        <w:rPr>
          <w:color w:val="000000"/>
          <w:sz w:val="32"/>
          <w:szCs w:val="32"/>
        </w:rPr>
        <w:t>八、一般公共预算财政拨款项目支出决算明细表</w:t>
      </w:r>
    </w:p>
    <w:p>
      <w:pPr>
        <w:spacing w:beforeAutospacing="1" w:afterAutospacing="1" w:line="360" w:lineRule="auto"/>
        <w:jc w:val="both"/>
        <w:rPr>
          <w:rFonts w:hint="default"/>
          <w:sz w:val="32"/>
          <w:szCs w:val="32"/>
        </w:rPr>
      </w:pPr>
      <w:r>
        <w:rPr>
          <w:color w:val="000000"/>
          <w:sz w:val="32"/>
          <w:szCs w:val="32"/>
        </w:rPr>
        <w:t>九、政府性基金预算财政拨款收入支出决算表</w:t>
      </w:r>
    </w:p>
    <w:p>
      <w:pPr>
        <w:spacing w:beforeAutospacing="1" w:afterAutospacing="1" w:line="360" w:lineRule="auto"/>
        <w:jc w:val="both"/>
        <w:rPr>
          <w:rFonts w:hint="default"/>
          <w:sz w:val="32"/>
          <w:szCs w:val="32"/>
        </w:rPr>
      </w:pPr>
      <w:r>
        <w:rPr>
          <w:color w:val="000000"/>
          <w:sz w:val="32"/>
          <w:szCs w:val="32"/>
        </w:rPr>
        <w:t>十、国有资本经营预算财政拨款支出决算表</w:t>
      </w:r>
    </w:p>
    <w:p>
      <w:pPr>
        <w:spacing w:beforeAutospacing="1" w:afterAutospacing="1" w:line="360" w:lineRule="auto"/>
        <w:jc w:val="both"/>
        <w:rPr>
          <w:rFonts w:hint="default"/>
          <w:sz w:val="32"/>
          <w:szCs w:val="32"/>
        </w:rPr>
      </w:pPr>
      <w:r>
        <w:rPr>
          <w:color w:val="000000"/>
          <w:sz w:val="32"/>
          <w:szCs w:val="32"/>
        </w:rPr>
        <w:t>十一、财政拨款“三公”经费支出决算表</w:t>
      </w:r>
    </w:p>
    <w:p>
      <w:pPr>
        <w:spacing w:beforeAutospacing="1" w:afterAutospacing="1" w:line="360" w:lineRule="auto"/>
        <w:jc w:val="both"/>
        <w:rPr>
          <w:rFonts w:hint="default"/>
          <w:color w:val="000000"/>
          <w:sz w:val="32"/>
          <w:szCs w:val="32"/>
        </w:rPr>
      </w:pPr>
      <w:r>
        <w:rPr>
          <w:color w:val="000000"/>
          <w:sz w:val="32"/>
          <w:szCs w:val="32"/>
        </w:rPr>
        <w:t>十二、机构运行经费支出、国有资产占用情况及政府采购支出信息表</w:t>
      </w:r>
    </w:p>
    <w:p>
      <w:pPr>
        <w:rPr>
          <w:rFonts w:hint="default"/>
          <w:color w:val="000000"/>
          <w:sz w:val="32"/>
          <w:szCs w:val="32"/>
        </w:rPr>
      </w:pPr>
      <w:r>
        <w:rPr>
          <w:rFonts w:cs="宋体"/>
          <w:color w:val="000000"/>
          <w:sz w:val="32"/>
          <w:szCs w:val="32"/>
          <w:lang w:bidi="ar"/>
        </w:rPr>
        <w:br w:type="page"/>
      </w:r>
    </w:p>
    <w:p>
      <w:pPr>
        <w:pStyle w:val="3"/>
        <w:keepNext/>
        <w:spacing w:line="600" w:lineRule="atLeast"/>
        <w:jc w:val="center"/>
        <w:rPr>
          <w:rFonts w:hint="default"/>
          <w:sz w:val="32"/>
          <w:szCs w:val="32"/>
        </w:rPr>
      </w:pPr>
      <w:r>
        <w:rPr>
          <w:sz w:val="32"/>
          <w:szCs w:val="32"/>
        </w:rPr>
        <w:t>第一部分单位概况</w:t>
      </w:r>
    </w:p>
    <w:p>
      <w:pPr>
        <w:spacing w:beforeAutospacing="1" w:afterAutospacing="1" w:line="600" w:lineRule="atLeast"/>
        <w:ind w:left="424" w:firstLine="212"/>
        <w:jc w:val="both"/>
        <w:rPr>
          <w:rFonts w:hint="default"/>
          <w:sz w:val="32"/>
          <w:szCs w:val="32"/>
        </w:rPr>
      </w:pPr>
      <w:r>
        <w:rPr>
          <w:b/>
          <w:bCs/>
          <w:sz w:val="32"/>
          <w:szCs w:val="32"/>
        </w:rPr>
        <w:t>一、主要职能、职责</w:t>
      </w:r>
    </w:p>
    <w:p>
      <w:pPr>
        <w:ind w:firstLine="800" w:firstLineChars="250"/>
        <w:jc w:val="both"/>
        <w:rPr>
          <w:rFonts w:hint="default"/>
          <w:sz w:val="32"/>
          <w:szCs w:val="32"/>
        </w:rPr>
      </w:pPr>
      <w:r>
        <w:rPr>
          <w:sz w:val="32"/>
          <w:szCs w:val="32"/>
        </w:rPr>
        <w:t>根据中共内蒙古自治区委员会机构编制委员会印发的《关于自治区市场监督管理局所属事业单位机构职能的批复》（内机编办发〔2020〕148号），设立内蒙古自治区特种设备检验研究院满洲里分院，为自治区特种设备检验研究院所属三级预算单位，公益二类事业单位，正科级。主要业务范围包括承担本地区锅炉、压力容器、压力管道及特种设备检验、开展技术咨询和技术服务。它独立于锅炉、压力容器、气瓶、起重机械等设计、制造、安装、修理、改造、销售、使用单位之外的第三方检验机构，具有独立的法人资格，承担自治区市场监督管理局交办的其他相关工作。</w:t>
      </w:r>
    </w:p>
    <w:p>
      <w:pPr>
        <w:spacing w:beforeAutospacing="1" w:afterAutospacing="1" w:line="600" w:lineRule="atLeast"/>
        <w:ind w:left="424" w:firstLine="212"/>
        <w:jc w:val="both"/>
        <w:rPr>
          <w:rFonts w:hint="default"/>
          <w:sz w:val="32"/>
          <w:szCs w:val="32"/>
        </w:rPr>
      </w:pPr>
      <w:r>
        <w:rPr>
          <w:b/>
          <w:bCs/>
          <w:sz w:val="32"/>
          <w:szCs w:val="32"/>
        </w:rPr>
        <w:t>二、单位机构设置及决算单位构成情况</w:t>
      </w:r>
    </w:p>
    <w:p>
      <w:pPr>
        <w:ind w:firstLine="800" w:firstLineChars="250"/>
        <w:jc w:val="both"/>
        <w:rPr>
          <w:rFonts w:hint="default"/>
          <w:sz w:val="32"/>
          <w:szCs w:val="32"/>
        </w:rPr>
      </w:pPr>
      <w:r>
        <w:rPr>
          <w:sz w:val="32"/>
          <w:szCs w:val="32"/>
        </w:rPr>
        <w:t>1.根据单位职责分工，内蒙古自治区特种设备检验研究院满洲里分院，核定事业编制8名，核定单位领导职数3名〔1正（分院院长1名，正科级）2副（分院副院长2名，副科级）〕，下设内部机构：综合办公室、锅炉压力容器检验室、起重机械检验室、电梯检验室、综合气瓶检验站、财务室、政务室、质保室。事业编在职人员8人，聘用人员15人，退休人员3人。独立核算单位一个，本单位无下属单位。</w:t>
      </w:r>
    </w:p>
    <w:p>
      <w:pPr>
        <w:autoSpaceDE w:val="0"/>
        <w:autoSpaceDN w:val="0"/>
        <w:spacing w:before="100" w:after="100" w:line="580" w:lineRule="atLeast"/>
        <w:ind w:firstLine="600"/>
        <w:rPr>
          <w:rFonts w:hint="default"/>
          <w:sz w:val="32"/>
          <w:szCs w:val="32"/>
        </w:rPr>
      </w:pPr>
      <w:r>
        <w:rPr>
          <w:sz w:val="32"/>
          <w:szCs w:val="32"/>
        </w:rPr>
        <w:t>2.从决算单位构成看，纳入本部门2021年度部门汇总决算编制范围的预算单位共计1家，详细情况见表：</w:t>
      </w:r>
    </w:p>
    <w:tbl>
      <w:tblPr>
        <w:tblStyle w:val="13"/>
        <w:tblW w:w="0" w:type="auto"/>
        <w:tblInd w:w="0" w:type="dxa"/>
        <w:tblLayout w:type="autofit"/>
        <w:tblCellMar>
          <w:top w:w="0" w:type="dxa"/>
          <w:left w:w="0" w:type="dxa"/>
          <w:bottom w:w="0" w:type="dxa"/>
          <w:right w:w="0" w:type="dxa"/>
        </w:tblCellMar>
      </w:tblPr>
      <w:tblGrid>
        <w:gridCol w:w="657"/>
        <w:gridCol w:w="3171"/>
        <w:gridCol w:w="4467"/>
      </w:tblGrid>
      <w:tr>
        <w:tblPrEx>
          <w:tblCellMar>
            <w:top w:w="0" w:type="dxa"/>
            <w:left w:w="0" w:type="dxa"/>
            <w:bottom w:w="0" w:type="dxa"/>
            <w:right w:w="0" w:type="dxa"/>
          </w:tblCellMar>
        </w:tblPrEx>
        <w:tc>
          <w:tcPr>
            <w:tcW w:w="65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spacing w:beforeAutospacing="1" w:afterAutospacing="1"/>
              <w:jc w:val="center"/>
              <w:rPr>
                <w:rFonts w:hint="default"/>
                <w:sz w:val="32"/>
                <w:szCs w:val="32"/>
              </w:rPr>
            </w:pPr>
            <w:r>
              <w:rPr>
                <w:color w:val="000000"/>
                <w:sz w:val="32"/>
                <w:szCs w:val="32"/>
              </w:rPr>
              <w:t>序号</w:t>
            </w:r>
          </w:p>
        </w:tc>
        <w:tc>
          <w:tcPr>
            <w:tcW w:w="317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beforeAutospacing="1" w:afterAutospacing="1"/>
              <w:jc w:val="center"/>
              <w:rPr>
                <w:rFonts w:hint="default"/>
                <w:sz w:val="32"/>
                <w:szCs w:val="32"/>
              </w:rPr>
            </w:pPr>
            <w:r>
              <w:rPr>
                <w:color w:val="000000"/>
                <w:sz w:val="32"/>
                <w:szCs w:val="32"/>
              </w:rPr>
              <w:t>单位名称</w:t>
            </w:r>
          </w:p>
        </w:tc>
        <w:tc>
          <w:tcPr>
            <w:tcW w:w="44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beforeAutospacing="1" w:afterAutospacing="1"/>
              <w:jc w:val="center"/>
              <w:rPr>
                <w:rFonts w:hint="default"/>
                <w:sz w:val="32"/>
                <w:szCs w:val="32"/>
              </w:rPr>
            </w:pPr>
            <w:r>
              <w:rPr>
                <w:color w:val="000000"/>
                <w:sz w:val="32"/>
                <w:szCs w:val="32"/>
              </w:rPr>
              <w:t>单位性质</w:t>
            </w:r>
          </w:p>
        </w:tc>
      </w:tr>
      <w:tr>
        <w:tblPrEx>
          <w:tblCellMar>
            <w:top w:w="0" w:type="dxa"/>
            <w:left w:w="0" w:type="dxa"/>
            <w:bottom w:w="0" w:type="dxa"/>
            <w:right w:w="0" w:type="dxa"/>
          </w:tblCellMar>
        </w:tblPrEx>
        <w:tc>
          <w:tcPr>
            <w:tcW w:w="65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beforeAutospacing="1" w:afterAutospacing="1"/>
              <w:jc w:val="center"/>
              <w:rPr>
                <w:rFonts w:hint="default"/>
                <w:sz w:val="32"/>
                <w:szCs w:val="32"/>
              </w:rPr>
            </w:pPr>
            <w:r>
              <w:rPr>
                <w:color w:val="000000"/>
                <w:sz w:val="32"/>
                <w:szCs w:val="32"/>
              </w:rPr>
              <w:t>1</w:t>
            </w:r>
          </w:p>
        </w:tc>
        <w:tc>
          <w:tcPr>
            <w:tcW w:w="3171"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beforeAutospacing="1" w:afterAutospacing="1"/>
              <w:jc w:val="center"/>
              <w:rPr>
                <w:rFonts w:hint="default"/>
                <w:sz w:val="32"/>
                <w:szCs w:val="32"/>
              </w:rPr>
            </w:pPr>
            <w:r>
              <w:rPr>
                <w:sz w:val="32"/>
                <w:szCs w:val="32"/>
              </w:rPr>
              <w:t>内蒙古自治区特种设备检验研究院满洲里分院</w:t>
            </w:r>
          </w:p>
        </w:tc>
        <w:tc>
          <w:tcPr>
            <w:tcW w:w="4467"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beforeAutospacing="1" w:afterAutospacing="1"/>
              <w:jc w:val="center"/>
              <w:rPr>
                <w:rFonts w:hint="default"/>
                <w:sz w:val="32"/>
                <w:szCs w:val="32"/>
              </w:rPr>
            </w:pPr>
            <w:r>
              <w:rPr>
                <w:color w:val="000000"/>
                <w:sz w:val="32"/>
                <w:szCs w:val="32"/>
              </w:rPr>
              <w:t>公益二类事业单位</w:t>
            </w:r>
          </w:p>
        </w:tc>
      </w:tr>
    </w:tbl>
    <w:p>
      <w:pPr>
        <w:spacing w:beforeAutospacing="1" w:afterAutospacing="1" w:line="600" w:lineRule="atLeast"/>
        <w:ind w:firstLine="643"/>
        <w:jc w:val="both"/>
        <w:rPr>
          <w:rFonts w:hint="default"/>
          <w:b/>
          <w:bCs/>
          <w:sz w:val="32"/>
          <w:szCs w:val="32"/>
        </w:rPr>
      </w:pPr>
      <w:r>
        <w:rPr>
          <w:b/>
          <w:bCs/>
          <w:sz w:val="32"/>
          <w:szCs w:val="32"/>
        </w:rPr>
        <w:t>三、2022年度单位主要工作完成情况</w:t>
      </w:r>
    </w:p>
    <w:p>
      <w:pPr>
        <w:spacing w:line="560" w:lineRule="exact"/>
        <w:ind w:firstLine="640" w:firstLineChars="200"/>
        <w:jc w:val="both"/>
        <w:rPr>
          <w:rFonts w:hint="default" w:ascii="仿宋" w:hAnsi="仿宋" w:eastAsia="仿宋" w:cs="仿宋"/>
          <w:sz w:val="32"/>
          <w:szCs w:val="32"/>
        </w:rPr>
      </w:pPr>
      <w:r>
        <w:rPr>
          <w:color w:val="333333"/>
          <w:sz w:val="32"/>
          <w:szCs w:val="32"/>
        </w:rPr>
        <w:t>1、“应检尽检”，严守安全底线，切实提升检验质量和效率，更好发挥技术支撑作用。</w:t>
      </w:r>
      <w:r>
        <w:rPr>
          <w:sz w:val="32"/>
          <w:szCs w:val="32"/>
        </w:rPr>
        <w:t>累计检验各类特种设备2164台.件（锅炉131台、压力容器526台、起重机械190台、电梯1041台、厂车276台），安全附件711只，检验各类气瓶2.2万只，业务总收入670万元。检出不符合项291项；配合市局监察专项类检查52人次；提交特设整改通知书67份，确保辖区在用特种设备安全运行。</w:t>
      </w:r>
    </w:p>
    <w:p>
      <w:pPr>
        <w:spacing w:line="560" w:lineRule="exact"/>
        <w:ind w:firstLine="640" w:firstLineChars="200"/>
        <w:jc w:val="both"/>
        <w:rPr>
          <w:rFonts w:hint="default" w:cs="仿宋"/>
          <w:sz w:val="32"/>
          <w:szCs w:val="32"/>
        </w:rPr>
      </w:pPr>
      <w:r>
        <w:rPr>
          <w:sz w:val="32"/>
          <w:szCs w:val="32"/>
        </w:rPr>
        <w:t>2、以党建、党风廉政工作统揽全局，扎实推进事业良性协调发展，</w:t>
      </w:r>
      <w:r>
        <w:rPr>
          <w:rFonts w:cs="仿宋"/>
          <w:sz w:val="32"/>
          <w:szCs w:val="32"/>
        </w:rPr>
        <w:t>本年度重点推进“一岗双责”、清廉建设、二十大精神生根见效等方面的建设。切实担负起全面从严治党主体责任，强化政治担当，坚定“四个自信”，树牢“四个意识”</w:t>
      </w:r>
    </w:p>
    <w:p>
      <w:pPr>
        <w:spacing w:line="560" w:lineRule="exact"/>
        <w:ind w:firstLine="640" w:firstLineChars="200"/>
        <w:jc w:val="both"/>
        <w:rPr>
          <w:rFonts w:hint="default" w:cs="仿宋"/>
          <w:sz w:val="32"/>
          <w:szCs w:val="32"/>
        </w:rPr>
      </w:pPr>
      <w:r>
        <w:rPr>
          <w:sz w:val="32"/>
          <w:szCs w:val="32"/>
        </w:rPr>
        <w:t>3、正确把握队伍建设路径，全面提升机构综合能力建设</w:t>
      </w:r>
    </w:p>
    <w:p>
      <w:pPr>
        <w:pStyle w:val="34"/>
        <w:shd w:val="clear" w:color="auto" w:fill="FFFFFF"/>
        <w:spacing w:beforeAutospacing="0" w:afterAutospacing="0" w:line="315" w:lineRule="atLeast"/>
        <w:ind w:firstLine="640" w:firstLineChars="200"/>
        <w:jc w:val="both"/>
        <w:rPr>
          <w:rFonts w:hint="default" w:cs="仿宋"/>
          <w:sz w:val="32"/>
          <w:szCs w:val="32"/>
          <w:shd w:val="clear" w:color="auto" w:fill="FFFFFF"/>
        </w:rPr>
      </w:pPr>
      <w:r>
        <w:rPr>
          <w:sz w:val="32"/>
          <w:szCs w:val="32"/>
          <w:shd w:val="clear" w:color="auto" w:fill="FFFFFF"/>
        </w:rPr>
        <w:t>4、解放思想，抢抓机遇，推动业务发展实现新突破，</w:t>
      </w:r>
      <w:r>
        <w:rPr>
          <w:rFonts w:cs="仿宋"/>
          <w:sz w:val="32"/>
          <w:szCs w:val="32"/>
          <w:shd w:val="clear" w:color="auto" w:fill="FFFFFF"/>
        </w:rPr>
        <w:t>2022年全院上下一心，攻坚克难，“守住老阵地、开拓新领域”</w:t>
      </w:r>
    </w:p>
    <w:p>
      <w:pPr>
        <w:pStyle w:val="3"/>
        <w:keepNext/>
        <w:spacing w:line="360" w:lineRule="auto"/>
        <w:jc w:val="center"/>
        <w:rPr>
          <w:rFonts w:hint="default"/>
          <w:sz w:val="32"/>
          <w:szCs w:val="32"/>
        </w:rPr>
      </w:pPr>
      <w:r>
        <w:rPr>
          <w:sz w:val="32"/>
          <w:szCs w:val="32"/>
        </w:rPr>
        <w:t>第二部分2022年度单位决算情况说明</w:t>
      </w:r>
    </w:p>
    <w:p>
      <w:pPr>
        <w:spacing w:beforeAutospacing="1" w:afterAutospacing="1" w:line="600" w:lineRule="atLeast"/>
        <w:ind w:firstLine="643"/>
        <w:jc w:val="both"/>
        <w:rPr>
          <w:rFonts w:hint="default"/>
          <w:sz w:val="32"/>
          <w:szCs w:val="32"/>
        </w:rPr>
      </w:pPr>
      <w:r>
        <w:rPr>
          <w:b/>
          <w:bCs/>
          <w:sz w:val="32"/>
          <w:szCs w:val="32"/>
        </w:rPr>
        <w:t>一、收入支出决算总体情况说明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收入、支出决算总计846.81万元。与年初预算相比，收、支总计各增加325.11万元，增长62.32%，变动原因：2022年经营收入增加；与上年决算相比，收、支总计各增加163.54万元，增长23.93%。其中：</w:t>
      </w:r>
    </w:p>
    <w:p>
      <w:pPr>
        <w:spacing w:beforeAutospacing="1" w:afterAutospacing="1" w:line="560" w:lineRule="atLeast"/>
        <w:ind w:firstLine="643"/>
        <w:jc w:val="both"/>
        <w:rPr>
          <w:rFonts w:hint="default"/>
          <w:sz w:val="32"/>
          <w:szCs w:val="32"/>
        </w:rPr>
      </w:pPr>
      <w:r>
        <w:rPr>
          <w:b/>
          <w:bCs/>
          <w:sz w:val="32"/>
          <w:szCs w:val="32"/>
        </w:rPr>
        <w:t>（一）收入决算总计</w:t>
      </w:r>
      <w:r>
        <w:rPr>
          <w:sz w:val="32"/>
          <w:szCs w:val="32"/>
        </w:rPr>
        <w:t>846.81</w:t>
      </w:r>
      <w:r>
        <w:rPr>
          <w:b/>
          <w:bCs/>
          <w:sz w:val="32"/>
          <w:szCs w:val="32"/>
        </w:rPr>
        <w:t>万元。包括：</w:t>
      </w:r>
    </w:p>
    <w:p>
      <w:pPr>
        <w:spacing w:beforeAutospacing="1" w:afterAutospacing="1" w:line="560" w:lineRule="atLeast"/>
        <w:ind w:firstLine="640"/>
        <w:jc w:val="both"/>
        <w:rPr>
          <w:rFonts w:hint="default"/>
          <w:sz w:val="32"/>
          <w:szCs w:val="32"/>
        </w:rPr>
      </w:pPr>
      <w:r>
        <w:rPr>
          <w:sz w:val="32"/>
          <w:szCs w:val="32"/>
        </w:rPr>
        <w:t>1.本年收入决算合计846.81万元。与上年决算相比，增加169.81万元，增长25.08%，变动原因：本年度经营收入增加。</w:t>
      </w:r>
    </w:p>
    <w:p>
      <w:pPr>
        <w:spacing w:beforeAutospacing="1" w:afterAutospacing="1" w:line="560" w:lineRule="atLeast"/>
        <w:ind w:firstLine="640"/>
        <w:jc w:val="both"/>
        <w:rPr>
          <w:rFonts w:hint="default"/>
          <w:sz w:val="32"/>
          <w:szCs w:val="32"/>
        </w:rPr>
      </w:pPr>
      <w:r>
        <w:rPr>
          <w:sz w:val="32"/>
          <w:szCs w:val="32"/>
        </w:rPr>
        <w:t>2.使用非财政拨款结余0.00万元。与上年决算相比无增减变动。</w:t>
      </w:r>
    </w:p>
    <w:p>
      <w:pPr>
        <w:spacing w:beforeAutospacing="1" w:afterAutospacing="1" w:line="560" w:lineRule="atLeast"/>
        <w:ind w:firstLine="640"/>
        <w:jc w:val="both"/>
        <w:rPr>
          <w:rFonts w:hint="default"/>
          <w:sz w:val="32"/>
          <w:szCs w:val="32"/>
        </w:rPr>
      </w:pPr>
      <w:r>
        <w:rPr>
          <w:sz w:val="32"/>
          <w:szCs w:val="32"/>
        </w:rPr>
        <w:t>3.年初结转和结余0.00万元。与上年决算相比，减少6.27万元，减少100.00%，变动原因：本年度只有经营结转，上年度有财政拨款基本支出结转。</w:t>
      </w:r>
    </w:p>
    <w:p>
      <w:pPr>
        <w:spacing w:beforeAutospacing="1" w:afterAutospacing="1" w:line="560" w:lineRule="atLeast"/>
        <w:ind w:firstLine="643"/>
        <w:jc w:val="both"/>
        <w:rPr>
          <w:rFonts w:hint="default"/>
          <w:sz w:val="32"/>
          <w:szCs w:val="32"/>
        </w:rPr>
      </w:pPr>
      <w:r>
        <w:rPr>
          <w:b/>
          <w:bCs/>
          <w:sz w:val="32"/>
          <w:szCs w:val="32"/>
        </w:rPr>
        <w:t>（二）支出决算总计</w:t>
      </w:r>
      <w:r>
        <w:rPr>
          <w:sz w:val="32"/>
          <w:szCs w:val="32"/>
        </w:rPr>
        <w:t>846.81</w:t>
      </w:r>
      <w:r>
        <w:rPr>
          <w:b/>
          <w:bCs/>
          <w:sz w:val="32"/>
          <w:szCs w:val="32"/>
        </w:rPr>
        <w:t>万元。包括：</w:t>
      </w:r>
    </w:p>
    <w:p>
      <w:pPr>
        <w:spacing w:beforeAutospacing="1" w:afterAutospacing="1" w:line="560" w:lineRule="atLeast"/>
        <w:ind w:firstLine="640"/>
        <w:jc w:val="both"/>
        <w:rPr>
          <w:rFonts w:hint="default"/>
          <w:sz w:val="32"/>
          <w:szCs w:val="32"/>
        </w:rPr>
      </w:pPr>
      <w:r>
        <w:rPr>
          <w:sz w:val="32"/>
          <w:szCs w:val="32"/>
        </w:rPr>
        <w:t>1.本年支出决算合计693.79万元。与上年决算相比，增加95.16万元，增长15.90%，变动原因：经营收入增加，拓展业务费用增加。</w:t>
      </w:r>
    </w:p>
    <w:p>
      <w:pPr>
        <w:spacing w:beforeAutospacing="1" w:afterAutospacing="1" w:line="560" w:lineRule="atLeast"/>
        <w:ind w:firstLine="640"/>
        <w:jc w:val="both"/>
        <w:rPr>
          <w:rFonts w:hint="default"/>
          <w:sz w:val="32"/>
          <w:szCs w:val="32"/>
        </w:rPr>
      </w:pPr>
      <w:r>
        <w:rPr>
          <w:sz w:val="32"/>
          <w:szCs w:val="32"/>
        </w:rPr>
        <w:t>2.结余分配153.02万元。结余分配事项：此数据为经营结余。与上年决算相比，增加68.38万元，增长80.78%，变动原因：经营收入转为结余分配，本年度经营收入增加。</w:t>
      </w:r>
    </w:p>
    <w:p>
      <w:pPr>
        <w:spacing w:beforeAutospacing="1" w:afterAutospacing="1" w:line="560" w:lineRule="atLeast"/>
        <w:ind w:firstLine="640"/>
        <w:jc w:val="both"/>
        <w:rPr>
          <w:rFonts w:hint="default"/>
          <w:sz w:val="32"/>
          <w:szCs w:val="32"/>
        </w:rPr>
      </w:pPr>
      <w:r>
        <w:rPr>
          <w:sz w:val="32"/>
          <w:szCs w:val="32"/>
        </w:rPr>
        <w:t>3.年末结转和结余0.00万元。结转和结余事项：财政拨款结余为零。与上年决算相比，增加0.00万元，增长0.00%，变动原因：上下年没有变化，年末结转转为结余分配。</w:t>
      </w:r>
    </w:p>
    <w:p>
      <w:pPr>
        <w:spacing w:beforeAutospacing="1" w:afterAutospacing="1" w:line="600" w:lineRule="atLeast"/>
        <w:ind w:firstLine="643"/>
        <w:jc w:val="both"/>
        <w:rPr>
          <w:rFonts w:hint="default"/>
          <w:sz w:val="32"/>
          <w:szCs w:val="32"/>
        </w:rPr>
      </w:pPr>
      <w:r>
        <w:rPr>
          <w:b/>
          <w:bCs/>
          <w:sz w:val="32"/>
          <w:szCs w:val="32"/>
        </w:rPr>
        <w:t>二、收入决算情况说明</w:t>
      </w:r>
    </w:p>
    <w:p>
      <w:pPr>
        <w:spacing w:line="560" w:lineRule="atLeast"/>
        <w:ind w:firstLine="640" w:firstLineChars="200"/>
        <w:jc w:val="both"/>
        <w:rPr>
          <w:rFonts w:hint="default"/>
          <w:sz w:val="32"/>
          <w:szCs w:val="32"/>
        </w:rPr>
      </w:pPr>
      <w:r>
        <w:rPr>
          <w:sz w:val="32"/>
          <w:szCs w:val="32"/>
        </w:rPr>
        <w:t>内蒙古自治区特种设备检验研究院满洲里分院单位2022年度本年收入决算合计846.81万元，其中：</w:t>
      </w:r>
    </w:p>
    <w:p>
      <w:pPr>
        <w:spacing w:line="560" w:lineRule="atLeast"/>
        <w:ind w:firstLine="640" w:firstLineChars="200"/>
        <w:jc w:val="both"/>
        <w:rPr>
          <w:rFonts w:hint="default"/>
          <w:sz w:val="32"/>
          <w:szCs w:val="32"/>
        </w:rPr>
      </w:pPr>
      <w:r>
        <w:rPr>
          <w:sz w:val="32"/>
          <w:szCs w:val="32"/>
        </w:rPr>
        <w:t>本年一般公共预算财政拨款收入392.60万元，占46.36%；</w:t>
      </w:r>
    </w:p>
    <w:p>
      <w:pPr>
        <w:spacing w:line="560" w:lineRule="atLeast"/>
        <w:ind w:firstLine="640" w:firstLineChars="200"/>
        <w:jc w:val="both"/>
        <w:rPr>
          <w:rFonts w:hint="default"/>
          <w:sz w:val="32"/>
          <w:szCs w:val="32"/>
        </w:rPr>
      </w:pPr>
      <w:r>
        <w:rPr>
          <w:sz w:val="32"/>
          <w:szCs w:val="32"/>
        </w:rPr>
        <w:t>本年政府性基金预算财政拨款收入0.00万元，占0.00%；</w:t>
      </w:r>
    </w:p>
    <w:p>
      <w:pPr>
        <w:spacing w:line="560" w:lineRule="atLeast"/>
        <w:ind w:firstLine="640" w:firstLineChars="200"/>
        <w:jc w:val="both"/>
        <w:rPr>
          <w:rFonts w:hint="default"/>
          <w:sz w:val="32"/>
          <w:szCs w:val="32"/>
        </w:rPr>
      </w:pPr>
      <w:r>
        <w:rPr>
          <w:sz w:val="32"/>
          <w:szCs w:val="32"/>
        </w:rPr>
        <w:t>本年国有资本经营预算财政拨款收入0.00万元，占0.00%；</w:t>
      </w:r>
    </w:p>
    <w:p>
      <w:pPr>
        <w:spacing w:line="560" w:lineRule="atLeast"/>
        <w:ind w:firstLine="640" w:firstLineChars="200"/>
        <w:jc w:val="both"/>
        <w:rPr>
          <w:rFonts w:hint="default"/>
          <w:sz w:val="32"/>
          <w:szCs w:val="32"/>
        </w:rPr>
      </w:pPr>
      <w:r>
        <w:rPr>
          <w:sz w:val="32"/>
          <w:szCs w:val="32"/>
        </w:rPr>
        <w:t>本年上级补助收入0.00万元，占0.00%；</w:t>
      </w:r>
    </w:p>
    <w:p>
      <w:pPr>
        <w:spacing w:line="560" w:lineRule="atLeast"/>
        <w:ind w:firstLine="640" w:firstLineChars="200"/>
        <w:jc w:val="both"/>
        <w:rPr>
          <w:rFonts w:hint="default"/>
          <w:sz w:val="32"/>
          <w:szCs w:val="32"/>
        </w:rPr>
      </w:pPr>
      <w:r>
        <w:rPr>
          <w:sz w:val="32"/>
          <w:szCs w:val="32"/>
        </w:rPr>
        <w:t>本年事业收入0.00万元，占0.00%；</w:t>
      </w:r>
    </w:p>
    <w:p>
      <w:pPr>
        <w:spacing w:line="560" w:lineRule="atLeast"/>
        <w:ind w:firstLine="640" w:firstLineChars="200"/>
        <w:jc w:val="both"/>
        <w:rPr>
          <w:rFonts w:hint="default"/>
          <w:sz w:val="32"/>
          <w:szCs w:val="32"/>
        </w:rPr>
      </w:pPr>
      <w:r>
        <w:rPr>
          <w:sz w:val="32"/>
          <w:szCs w:val="32"/>
        </w:rPr>
        <w:t>本年经营收入454.21万元，占53.64%；</w:t>
      </w:r>
    </w:p>
    <w:p>
      <w:pPr>
        <w:spacing w:line="560" w:lineRule="atLeast"/>
        <w:ind w:firstLine="640" w:firstLineChars="200"/>
        <w:jc w:val="both"/>
        <w:rPr>
          <w:rFonts w:hint="default"/>
          <w:sz w:val="32"/>
          <w:szCs w:val="32"/>
        </w:rPr>
      </w:pPr>
      <w:r>
        <w:rPr>
          <w:sz w:val="32"/>
          <w:szCs w:val="32"/>
        </w:rPr>
        <w:t>本年附属单位上缴收入0.00万元，占0.00%；</w:t>
      </w:r>
    </w:p>
    <w:p>
      <w:pPr>
        <w:spacing w:line="560" w:lineRule="atLeast"/>
        <w:ind w:firstLine="640" w:firstLineChars="200"/>
        <w:jc w:val="both"/>
        <w:rPr>
          <w:rFonts w:hint="default"/>
          <w:sz w:val="32"/>
          <w:szCs w:val="32"/>
        </w:rPr>
      </w:pPr>
      <w:r>
        <w:rPr>
          <w:sz w:val="32"/>
          <w:szCs w:val="32"/>
        </w:rPr>
        <w:t>本年其他收入0.00万元，占0.00%。</w:t>
      </w:r>
    </w:p>
    <w:p>
      <w:pPr>
        <w:spacing w:beforeAutospacing="1" w:afterAutospacing="1" w:line="560" w:lineRule="atLeast"/>
        <w:jc w:val="center"/>
        <w:rPr>
          <w:rFonts w:hint="default"/>
          <w:sz w:val="32"/>
          <w:szCs w:val="32"/>
        </w:rPr>
      </w:pPr>
      <w:r>
        <w:rPr>
          <w:sz w:val="32"/>
          <w:szCs w:val="32"/>
        </w:rPr>
        <w:drawing>
          <wp:inline distT="0" distB="0" distL="114300" distR="114300">
            <wp:extent cx="4579620" cy="2499360"/>
            <wp:effectExtent l="0" t="0" r="7620" b="0"/>
            <wp:docPr id="1" name="图片 1" descr="~tmp{3370e4fd-f64f-4937-a009-a8a101422f48}1773606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mp{3370e4fd-f64f-4937-a009-a8a101422f48}17736062627"/>
                    <pic:cNvPicPr>
                      <a:picLocks noChangeAspect="1"/>
                    </pic:cNvPicPr>
                  </pic:nvPicPr>
                  <pic:blipFill>
                    <a:blip r:embed="rId4"/>
                    <a:stretch>
                      <a:fillRect/>
                    </a:stretch>
                  </pic:blipFill>
                  <pic:spPr>
                    <a:xfrm>
                      <a:off x="0" y="0"/>
                      <a:ext cx="4579620" cy="2499360"/>
                    </a:xfrm>
                    <a:prstGeom prst="rect">
                      <a:avLst/>
                    </a:prstGeom>
                    <a:noFill/>
                    <a:ln>
                      <a:noFill/>
                    </a:ln>
                  </pic:spPr>
                </pic:pic>
              </a:graphicData>
            </a:graphic>
          </wp:inline>
        </w:drawing>
      </w:r>
    </w:p>
    <w:p>
      <w:pPr>
        <w:spacing w:beforeAutospacing="1" w:afterAutospacing="1" w:line="560" w:lineRule="atLeast"/>
        <w:ind w:firstLine="640"/>
        <w:jc w:val="center"/>
        <w:rPr>
          <w:rFonts w:hint="default"/>
          <w:sz w:val="32"/>
          <w:szCs w:val="32"/>
        </w:rPr>
      </w:pPr>
      <w:r>
        <w:rPr>
          <w:sz w:val="32"/>
          <w:szCs w:val="32"/>
        </w:rPr>
        <w:t>图1.收入决算图</w:t>
      </w:r>
      <w:r>
        <w:rPr>
          <w:color w:val="0000FF"/>
          <w:sz w:val="32"/>
          <w:szCs w:val="32"/>
        </w:rPr>
        <w:t>（以饼图列示）</w:t>
      </w:r>
    </w:p>
    <w:p>
      <w:pPr>
        <w:spacing w:beforeAutospacing="1" w:afterAutospacing="1" w:line="600" w:lineRule="atLeast"/>
        <w:ind w:firstLine="643"/>
        <w:jc w:val="both"/>
        <w:rPr>
          <w:rFonts w:hint="default"/>
          <w:sz w:val="32"/>
          <w:szCs w:val="32"/>
        </w:rPr>
      </w:pPr>
      <w:r>
        <w:rPr>
          <w:b/>
          <w:bCs/>
          <w:sz w:val="32"/>
          <w:szCs w:val="32"/>
        </w:rPr>
        <w:t>三、支出决算情况说明</w:t>
      </w:r>
    </w:p>
    <w:p>
      <w:pPr>
        <w:spacing w:line="560" w:lineRule="atLeast"/>
        <w:ind w:firstLine="640" w:firstLineChars="200"/>
        <w:jc w:val="both"/>
        <w:rPr>
          <w:rFonts w:hint="default"/>
          <w:sz w:val="32"/>
          <w:szCs w:val="32"/>
        </w:rPr>
      </w:pPr>
      <w:r>
        <w:rPr>
          <w:sz w:val="32"/>
          <w:szCs w:val="32"/>
        </w:rPr>
        <w:t>内蒙古自治区特种设备检验研究院满洲里分院单位2022年度本年支出决算合计693.79万元，其中：</w:t>
      </w:r>
    </w:p>
    <w:p>
      <w:pPr>
        <w:spacing w:line="560" w:lineRule="atLeast"/>
        <w:ind w:firstLine="640" w:firstLineChars="200"/>
        <w:jc w:val="both"/>
        <w:rPr>
          <w:rFonts w:hint="default"/>
          <w:sz w:val="32"/>
          <w:szCs w:val="32"/>
        </w:rPr>
      </w:pPr>
      <w:r>
        <w:rPr>
          <w:sz w:val="32"/>
          <w:szCs w:val="32"/>
        </w:rPr>
        <w:t>本年基本支出21.60万元，占3.11%；</w:t>
      </w:r>
    </w:p>
    <w:p>
      <w:pPr>
        <w:spacing w:line="560" w:lineRule="atLeast"/>
        <w:ind w:firstLine="640" w:firstLineChars="200"/>
        <w:jc w:val="both"/>
        <w:rPr>
          <w:rFonts w:hint="default"/>
          <w:sz w:val="32"/>
          <w:szCs w:val="32"/>
        </w:rPr>
      </w:pPr>
      <w:r>
        <w:rPr>
          <w:sz w:val="32"/>
          <w:szCs w:val="32"/>
        </w:rPr>
        <w:t>本年项目支出371.00万元，占53.47%；</w:t>
      </w:r>
    </w:p>
    <w:p>
      <w:pPr>
        <w:spacing w:line="560" w:lineRule="atLeast"/>
        <w:ind w:firstLine="640" w:firstLineChars="200"/>
        <w:jc w:val="both"/>
        <w:rPr>
          <w:rFonts w:hint="default"/>
          <w:sz w:val="32"/>
          <w:szCs w:val="32"/>
        </w:rPr>
      </w:pPr>
      <w:r>
        <w:rPr>
          <w:sz w:val="32"/>
          <w:szCs w:val="32"/>
        </w:rPr>
        <w:t>本年上缴上级支出0.00万元，占0.00%；</w:t>
      </w:r>
    </w:p>
    <w:p>
      <w:pPr>
        <w:spacing w:line="560" w:lineRule="atLeast"/>
        <w:ind w:firstLine="640" w:firstLineChars="200"/>
        <w:jc w:val="both"/>
        <w:rPr>
          <w:rFonts w:hint="default"/>
          <w:sz w:val="32"/>
          <w:szCs w:val="32"/>
        </w:rPr>
      </w:pPr>
      <w:r>
        <w:rPr>
          <w:sz w:val="32"/>
          <w:szCs w:val="32"/>
        </w:rPr>
        <w:t>本年经营支出301.19万元，占43.41%；</w:t>
      </w:r>
    </w:p>
    <w:p>
      <w:pPr>
        <w:spacing w:line="560" w:lineRule="atLeast"/>
        <w:ind w:firstLine="640" w:firstLineChars="200"/>
        <w:jc w:val="both"/>
        <w:rPr>
          <w:rFonts w:hint="default"/>
          <w:sz w:val="32"/>
          <w:szCs w:val="32"/>
        </w:rPr>
      </w:pPr>
      <w:r>
        <w:rPr>
          <w:sz w:val="32"/>
          <w:szCs w:val="32"/>
        </w:rPr>
        <w:t>本年对附属单位补助支出0.00万元，占0.00%。</w:t>
      </w:r>
    </w:p>
    <w:p>
      <w:pPr>
        <w:spacing w:beforeAutospacing="1" w:afterAutospacing="1" w:line="560" w:lineRule="atLeast"/>
        <w:jc w:val="center"/>
        <w:rPr>
          <w:rFonts w:hint="default"/>
          <w:sz w:val="32"/>
          <w:szCs w:val="32"/>
        </w:rPr>
      </w:pPr>
      <w:r>
        <w:rPr>
          <w:sz w:val="32"/>
          <w:szCs w:val="32"/>
        </w:rPr>
        <w:drawing>
          <wp:inline distT="0" distB="0" distL="114300" distR="114300">
            <wp:extent cx="4579620" cy="2499360"/>
            <wp:effectExtent l="0" t="0" r="7620" b="0"/>
            <wp:docPr id="2" name="图片 2" descr="~tmp{3370e4fd-f64f-4937-a009-a8a101422f48}1773606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mp{3370e4fd-f64f-4937-a009-a8a101422f48}17736062842"/>
                    <pic:cNvPicPr>
                      <a:picLocks noChangeAspect="1"/>
                    </pic:cNvPicPr>
                  </pic:nvPicPr>
                  <pic:blipFill>
                    <a:blip r:embed="rId5"/>
                    <a:stretch>
                      <a:fillRect/>
                    </a:stretch>
                  </pic:blipFill>
                  <pic:spPr>
                    <a:xfrm>
                      <a:off x="0" y="0"/>
                      <a:ext cx="4579620" cy="2499360"/>
                    </a:xfrm>
                    <a:prstGeom prst="rect">
                      <a:avLst/>
                    </a:prstGeom>
                    <a:noFill/>
                    <a:ln>
                      <a:noFill/>
                    </a:ln>
                  </pic:spPr>
                </pic:pic>
              </a:graphicData>
            </a:graphic>
          </wp:inline>
        </w:drawing>
      </w:r>
    </w:p>
    <w:p>
      <w:pPr>
        <w:spacing w:beforeAutospacing="1" w:afterAutospacing="1" w:line="560" w:lineRule="atLeast"/>
        <w:jc w:val="center"/>
        <w:rPr>
          <w:rFonts w:hint="default"/>
          <w:sz w:val="32"/>
          <w:szCs w:val="32"/>
        </w:rPr>
      </w:pPr>
      <w:r>
        <w:rPr>
          <w:sz w:val="32"/>
          <w:szCs w:val="32"/>
        </w:rPr>
        <w:t>图2.支出决算图</w:t>
      </w:r>
      <w:r>
        <w:rPr>
          <w:color w:val="0000FF"/>
          <w:sz w:val="32"/>
          <w:szCs w:val="32"/>
        </w:rPr>
        <w:t>（以饼图列示）</w:t>
      </w:r>
    </w:p>
    <w:p>
      <w:pPr>
        <w:spacing w:beforeAutospacing="1" w:afterAutospacing="1" w:line="600" w:lineRule="atLeast"/>
        <w:ind w:firstLine="643"/>
        <w:jc w:val="both"/>
        <w:rPr>
          <w:rFonts w:hint="default"/>
          <w:sz w:val="32"/>
          <w:szCs w:val="32"/>
        </w:rPr>
      </w:pPr>
      <w:r>
        <w:rPr>
          <w:b/>
          <w:bCs/>
          <w:sz w:val="32"/>
          <w:szCs w:val="32"/>
        </w:rPr>
        <w:t>四、财政拨款收入支出决算总体情况说明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财政拨款收入、支出决算总计392.60万元，与年初预算相比，收、支总计各增加20.90万元，增长5.62%，变动原因：年末有追加工资款项；与上年决算相比，收、支总计各减少-73.39万元，减少-15.75%，变动原因：本年度经营收入增加，非税收入减少。</w:t>
      </w:r>
    </w:p>
    <w:p>
      <w:pPr>
        <w:spacing w:beforeAutospacing="1" w:afterAutospacing="1" w:line="600" w:lineRule="atLeast"/>
        <w:ind w:firstLine="643"/>
        <w:jc w:val="both"/>
        <w:rPr>
          <w:rFonts w:hint="default"/>
          <w:sz w:val="32"/>
          <w:szCs w:val="32"/>
        </w:rPr>
      </w:pPr>
      <w:r>
        <w:rPr>
          <w:b/>
          <w:bCs/>
          <w:sz w:val="32"/>
          <w:szCs w:val="32"/>
        </w:rPr>
        <w:t>五、一般公共预算支出决算情况说明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内蒙古自治区特种设备检验研究院满洲里分院单位2022年度一般公共预算财政拨款支出决算392.60万元。与年初预算371.70万元相比，完成年初预算的105.62%。其中：</w:t>
      </w:r>
    </w:p>
    <w:p>
      <w:pPr>
        <w:spacing w:beforeAutospacing="1" w:afterAutospacing="1" w:line="560" w:lineRule="atLeast"/>
        <w:ind w:firstLine="643"/>
        <w:jc w:val="both"/>
        <w:rPr>
          <w:rFonts w:hint="default"/>
          <w:sz w:val="32"/>
          <w:szCs w:val="32"/>
        </w:rPr>
      </w:pPr>
      <w:r>
        <w:rPr>
          <w:b/>
          <w:bCs/>
          <w:sz w:val="32"/>
          <w:szCs w:val="32"/>
        </w:rPr>
        <w:t>（一）一般公共服务（类）</w:t>
      </w:r>
    </w:p>
    <w:p>
      <w:pPr>
        <w:spacing w:beforeAutospacing="1" w:afterAutospacing="1" w:line="560" w:lineRule="atLeast"/>
        <w:ind w:firstLine="640"/>
        <w:jc w:val="both"/>
        <w:rPr>
          <w:rFonts w:hint="default"/>
          <w:sz w:val="32"/>
          <w:szCs w:val="32"/>
        </w:rPr>
      </w:pPr>
      <w:r>
        <w:rPr>
          <w:sz w:val="32"/>
          <w:szCs w:val="32"/>
        </w:rPr>
        <w:t>一般公共服务类决算数为386.08万元，与年初预算相比增加15.00万元。其中：</w:t>
      </w:r>
    </w:p>
    <w:p>
      <w:pPr>
        <w:widowControl w:val="0"/>
        <w:spacing w:before="100" w:beforeAutospacing="1" w:line="560" w:lineRule="exact"/>
        <w:ind w:firstLine="640" w:firstLineChars="200"/>
        <w:rPr>
          <w:rFonts w:cs="宋体"/>
          <w:color w:val="auto"/>
          <w:sz w:val="32"/>
          <w:szCs w:val="32"/>
        </w:rPr>
      </w:pPr>
      <w:r>
        <w:rPr>
          <w:rFonts w:cs="宋体"/>
          <w:color w:val="auto"/>
          <w:sz w:val="32"/>
          <w:szCs w:val="32"/>
        </w:rPr>
        <w:t>1.市场监督管理事务（款）市场秩序执法（项）。年初预算</w:t>
      </w:r>
      <w:r>
        <w:rPr>
          <w:rFonts w:hint="default" w:cs="宋体"/>
          <w:color w:val="auto"/>
          <w:sz w:val="32"/>
          <w:szCs w:val="32"/>
          <w:u w:val="single"/>
        </w:rPr>
        <w:t xml:space="preserve">  </w:t>
      </w:r>
      <w:r>
        <w:rPr>
          <w:rFonts w:hint="eastAsia" w:cs="宋体"/>
          <w:color w:val="auto"/>
          <w:sz w:val="32"/>
          <w:szCs w:val="32"/>
          <w:u w:val="single"/>
          <w:lang w:val="en-US" w:eastAsia="zh-CN"/>
        </w:rPr>
        <w:t>270</w:t>
      </w:r>
      <w:r>
        <w:rPr>
          <w:rFonts w:hint="default" w:cs="宋体"/>
          <w:color w:val="auto"/>
          <w:sz w:val="32"/>
          <w:szCs w:val="32"/>
          <w:u w:val="single"/>
        </w:rPr>
        <w:t xml:space="preserve">   </w:t>
      </w:r>
      <w:r>
        <w:rPr>
          <w:rFonts w:cs="宋体"/>
          <w:color w:val="auto"/>
          <w:sz w:val="32"/>
          <w:szCs w:val="32"/>
        </w:rPr>
        <w:t>万元，支出决算</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270</w:t>
      </w:r>
      <w:r>
        <w:rPr>
          <w:rFonts w:hint="default" w:ascii="Times New Roman" w:hAnsi="Times New Roman"/>
          <w:color w:val="auto"/>
          <w:sz w:val="30"/>
          <w:szCs w:val="30"/>
          <w:u w:val="single"/>
        </w:rPr>
        <w:t xml:space="preserve">   </w:t>
      </w:r>
      <w:r>
        <w:rPr>
          <w:rFonts w:cs="宋体"/>
          <w:color w:val="auto"/>
          <w:sz w:val="32"/>
          <w:szCs w:val="32"/>
        </w:rPr>
        <w:t>万元，完成年初预算的</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100</w:t>
      </w:r>
      <w:r>
        <w:rPr>
          <w:rFonts w:hint="default" w:ascii="Times New Roman" w:hAnsi="Times New Roman"/>
          <w:color w:val="auto"/>
          <w:sz w:val="30"/>
          <w:szCs w:val="30"/>
          <w:u w:val="single"/>
        </w:rPr>
        <w:t xml:space="preserve">   </w:t>
      </w:r>
      <w:r>
        <w:rPr>
          <w:rFonts w:cs="宋体"/>
          <w:color w:val="auto"/>
          <w:sz w:val="32"/>
          <w:szCs w:val="32"/>
          <w:u w:val="single"/>
        </w:rPr>
        <w:t xml:space="preserve"> </w:t>
      </w:r>
      <w:r>
        <w:rPr>
          <w:rFonts w:cs="宋体"/>
          <w:color w:val="auto"/>
          <w:sz w:val="32"/>
          <w:szCs w:val="32"/>
        </w:rPr>
        <w:t>%。决算数与年初预算数的差异原因：无</w:t>
      </w:r>
    </w:p>
    <w:p>
      <w:pPr>
        <w:widowControl w:val="0"/>
        <w:spacing w:before="100" w:beforeAutospacing="1" w:line="560" w:lineRule="exact"/>
        <w:ind w:firstLine="640" w:firstLineChars="200"/>
        <w:rPr>
          <w:rFonts w:cs="宋体"/>
          <w:color w:val="auto"/>
          <w:sz w:val="32"/>
          <w:szCs w:val="32"/>
        </w:rPr>
      </w:pPr>
      <w:r>
        <w:rPr>
          <w:rFonts w:cs="宋体"/>
          <w:color w:val="auto"/>
          <w:sz w:val="32"/>
          <w:szCs w:val="32"/>
        </w:rPr>
        <w:t>2.市场监督管理事务（款）事业运行（项）。年初预算</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0.08</w:t>
      </w:r>
      <w:r>
        <w:rPr>
          <w:rFonts w:hint="default" w:ascii="Times New Roman" w:hAnsi="Times New Roman"/>
          <w:color w:val="auto"/>
          <w:sz w:val="30"/>
          <w:szCs w:val="30"/>
          <w:u w:val="single"/>
        </w:rPr>
        <w:t xml:space="preserve">     </w:t>
      </w:r>
      <w:r>
        <w:rPr>
          <w:rFonts w:cs="宋体"/>
          <w:color w:val="auto"/>
          <w:sz w:val="32"/>
          <w:szCs w:val="32"/>
        </w:rPr>
        <w:t>万元，支出决算</w:t>
      </w:r>
      <w:r>
        <w:rPr>
          <w:rFonts w:hint="default" w:cs="宋体"/>
          <w:color w:val="auto"/>
          <w:sz w:val="32"/>
          <w:szCs w:val="32"/>
          <w:u w:val="single"/>
        </w:rPr>
        <w:t xml:space="preserve">  </w:t>
      </w:r>
      <w:r>
        <w:rPr>
          <w:rFonts w:hint="eastAsia" w:cs="宋体"/>
          <w:color w:val="auto"/>
          <w:sz w:val="32"/>
          <w:szCs w:val="32"/>
          <w:u w:val="single"/>
          <w:lang w:val="en-US" w:eastAsia="zh-CN"/>
        </w:rPr>
        <w:t>15.08</w:t>
      </w:r>
      <w:r>
        <w:rPr>
          <w:rFonts w:hint="default" w:cs="宋体"/>
          <w:color w:val="auto"/>
          <w:sz w:val="32"/>
          <w:szCs w:val="32"/>
          <w:u w:val="single"/>
        </w:rPr>
        <w:t xml:space="preserve">   </w:t>
      </w:r>
      <w:r>
        <w:rPr>
          <w:rFonts w:cs="宋体"/>
          <w:color w:val="auto"/>
          <w:sz w:val="32"/>
          <w:szCs w:val="32"/>
        </w:rPr>
        <w:t>万元，完成年初预算的</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188.5</w:t>
      </w:r>
      <w:r>
        <w:rPr>
          <w:rFonts w:hint="default" w:ascii="Times New Roman" w:hAnsi="Times New Roman"/>
          <w:color w:val="auto"/>
          <w:sz w:val="30"/>
          <w:szCs w:val="30"/>
          <w:u w:val="single"/>
        </w:rPr>
        <w:t xml:space="preserve">   </w:t>
      </w:r>
      <w:r>
        <w:rPr>
          <w:rFonts w:ascii="Times New Roman" w:hAnsi="Times New Roman"/>
          <w:color w:val="auto"/>
          <w:sz w:val="30"/>
          <w:szCs w:val="30"/>
          <w:u w:val="single"/>
        </w:rPr>
        <w:t xml:space="preserve"> </w:t>
      </w:r>
      <w:r>
        <w:rPr>
          <w:rFonts w:cs="宋体"/>
          <w:color w:val="auto"/>
          <w:sz w:val="32"/>
          <w:szCs w:val="32"/>
        </w:rPr>
        <w:t>%。决算数与年初预算数的差异原因：</w:t>
      </w:r>
      <w:r>
        <w:rPr>
          <w:rFonts w:hint="eastAsia" w:cs="宋体"/>
          <w:color w:val="auto"/>
          <w:sz w:val="32"/>
          <w:szCs w:val="32"/>
          <w:lang w:val="en-US" w:eastAsia="zh-CN"/>
        </w:rPr>
        <w:t>超出部分为上年结转</w:t>
      </w:r>
      <w:r>
        <w:rPr>
          <w:rFonts w:cs="宋体"/>
          <w:color w:val="auto"/>
          <w:sz w:val="32"/>
          <w:szCs w:val="32"/>
        </w:rPr>
        <w:t>。</w:t>
      </w:r>
    </w:p>
    <w:p>
      <w:pPr>
        <w:widowControl w:val="0"/>
        <w:spacing w:before="100" w:beforeAutospacing="1" w:line="560" w:lineRule="exact"/>
        <w:ind w:firstLine="640" w:firstLineChars="200"/>
        <w:rPr>
          <w:rFonts w:hint="eastAsia" w:eastAsia="宋体" w:cs="宋体"/>
          <w:color w:val="auto"/>
          <w:sz w:val="32"/>
          <w:szCs w:val="32"/>
          <w:lang w:val="en-US" w:eastAsia="zh-CN"/>
        </w:rPr>
      </w:pPr>
      <w:r>
        <w:rPr>
          <w:rFonts w:ascii="Times New Roman" w:hAnsi="Times New Roman"/>
          <w:color w:val="auto"/>
          <w:sz w:val="32"/>
          <w:szCs w:val="32"/>
        </w:rPr>
        <w:t>3.</w:t>
      </w:r>
      <w:r>
        <w:rPr>
          <w:rFonts w:cs="宋体"/>
          <w:color w:val="auto"/>
          <w:sz w:val="32"/>
          <w:szCs w:val="32"/>
        </w:rPr>
        <w:t>市场监督管理事务（款）其他市场监督管理事务（项）年初预算</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101</w:t>
      </w:r>
      <w:r>
        <w:rPr>
          <w:rFonts w:hint="default" w:ascii="Times New Roman" w:hAnsi="Times New Roman"/>
          <w:color w:val="auto"/>
          <w:sz w:val="30"/>
          <w:szCs w:val="30"/>
          <w:u w:val="single"/>
        </w:rPr>
        <w:t xml:space="preserve">     </w:t>
      </w:r>
      <w:r>
        <w:rPr>
          <w:rFonts w:cs="宋体"/>
          <w:color w:val="auto"/>
          <w:sz w:val="32"/>
          <w:szCs w:val="32"/>
        </w:rPr>
        <w:t>万元，支出决算</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101</w:t>
      </w:r>
      <w:r>
        <w:rPr>
          <w:rFonts w:hint="default" w:ascii="Times New Roman" w:hAnsi="Times New Roman"/>
          <w:color w:val="auto"/>
          <w:sz w:val="30"/>
          <w:szCs w:val="30"/>
          <w:u w:val="single"/>
        </w:rPr>
        <w:t xml:space="preserve">    </w:t>
      </w:r>
      <w:r>
        <w:rPr>
          <w:rFonts w:cs="宋体"/>
          <w:color w:val="auto"/>
          <w:sz w:val="32"/>
          <w:szCs w:val="32"/>
        </w:rPr>
        <w:t>万元，完成年初预算的</w:t>
      </w:r>
      <w:r>
        <w:rPr>
          <w:rFonts w:hint="default" w:ascii="Times New Roman" w:hAnsi="Times New Roman"/>
          <w:color w:val="auto"/>
          <w:sz w:val="30"/>
          <w:szCs w:val="30"/>
          <w:u w:val="single"/>
        </w:rPr>
        <w:t xml:space="preserve">    </w:t>
      </w:r>
      <w:r>
        <w:rPr>
          <w:rFonts w:hint="eastAsia" w:ascii="Times New Roman" w:hAnsi="Times New Roman"/>
          <w:color w:val="auto"/>
          <w:sz w:val="30"/>
          <w:szCs w:val="30"/>
          <w:u w:val="single"/>
          <w:lang w:val="en-US" w:eastAsia="zh-CN"/>
        </w:rPr>
        <w:t>100</w:t>
      </w:r>
      <w:r>
        <w:rPr>
          <w:rFonts w:hint="default" w:ascii="Times New Roman" w:hAnsi="Times New Roman"/>
          <w:color w:val="auto"/>
          <w:sz w:val="30"/>
          <w:szCs w:val="30"/>
          <w:u w:val="single"/>
        </w:rPr>
        <w:t xml:space="preserve">  </w:t>
      </w:r>
      <w:r>
        <w:rPr>
          <w:rFonts w:ascii="Times New Roman" w:hAnsi="Times New Roman"/>
          <w:color w:val="auto"/>
          <w:sz w:val="30"/>
          <w:szCs w:val="30"/>
          <w:u w:val="single"/>
        </w:rPr>
        <w:t xml:space="preserve"> </w:t>
      </w:r>
      <w:r>
        <w:rPr>
          <w:rFonts w:cs="宋体"/>
          <w:color w:val="auto"/>
          <w:sz w:val="32"/>
          <w:szCs w:val="32"/>
        </w:rPr>
        <w:t>%。决算数与年初预算数的差异原因：</w:t>
      </w:r>
      <w:r>
        <w:rPr>
          <w:rFonts w:hint="eastAsia" w:cs="宋体"/>
          <w:color w:val="auto"/>
          <w:sz w:val="32"/>
          <w:szCs w:val="32"/>
          <w:lang w:val="en-US" w:eastAsia="zh-CN"/>
        </w:rPr>
        <w:t>无。</w:t>
      </w:r>
    </w:p>
    <w:p>
      <w:pPr>
        <w:spacing w:beforeAutospacing="1" w:afterAutospacing="1" w:line="560" w:lineRule="atLeast"/>
        <w:jc w:val="both"/>
        <w:rPr>
          <w:rFonts w:hint="default"/>
          <w:sz w:val="32"/>
          <w:szCs w:val="32"/>
        </w:rPr>
      </w:pPr>
      <w:r>
        <w:rPr>
          <w:b/>
          <w:bCs/>
          <w:sz w:val="32"/>
          <w:szCs w:val="32"/>
        </w:rPr>
        <w:t>（二）社会保障和就业支出（类）</w:t>
      </w:r>
    </w:p>
    <w:p>
      <w:pPr>
        <w:spacing w:beforeAutospacing="1" w:afterAutospacing="1" w:line="560" w:lineRule="atLeast"/>
        <w:ind w:firstLine="640"/>
        <w:jc w:val="both"/>
        <w:rPr>
          <w:rFonts w:hint="default"/>
          <w:sz w:val="32"/>
          <w:szCs w:val="32"/>
        </w:rPr>
      </w:pPr>
      <w:r>
        <w:rPr>
          <w:sz w:val="32"/>
          <w:szCs w:val="32"/>
        </w:rPr>
        <w:t>社会保障和就业支出类决算数为</w:t>
      </w:r>
      <w:r>
        <w:rPr>
          <w:sz w:val="32"/>
          <w:szCs w:val="32"/>
          <w:u w:val="single"/>
        </w:rPr>
        <w:t>5.12</w:t>
      </w:r>
      <w:r>
        <w:rPr>
          <w:sz w:val="32"/>
          <w:szCs w:val="32"/>
        </w:rPr>
        <w:t>万元，与年初预算相比增加</w:t>
      </w:r>
      <w:r>
        <w:rPr>
          <w:sz w:val="32"/>
          <w:szCs w:val="32"/>
          <w:u w:val="single"/>
        </w:rPr>
        <w:t>4.50</w:t>
      </w:r>
      <w:r>
        <w:rPr>
          <w:sz w:val="32"/>
          <w:szCs w:val="32"/>
        </w:rPr>
        <w:t>万元。其中：</w:t>
      </w:r>
    </w:p>
    <w:p>
      <w:pPr>
        <w:spacing w:beforeAutospacing="1" w:afterAutospacing="1" w:line="560" w:lineRule="atLeast"/>
        <w:ind w:firstLine="640"/>
        <w:jc w:val="both"/>
        <w:rPr>
          <w:rFonts w:hint="default"/>
          <w:sz w:val="32"/>
          <w:szCs w:val="32"/>
        </w:rPr>
      </w:pPr>
      <w:r>
        <w:rPr>
          <w:sz w:val="32"/>
          <w:szCs w:val="32"/>
        </w:rPr>
        <w:t>2．行政事业单位养老支出（款）事业单位离退休（项）。年初预算</w:t>
      </w:r>
      <w:r>
        <w:rPr>
          <w:sz w:val="32"/>
          <w:szCs w:val="32"/>
          <w:u w:val="single"/>
        </w:rPr>
        <w:t>0.6178</w:t>
      </w:r>
      <w:r>
        <w:rPr>
          <w:sz w:val="32"/>
          <w:szCs w:val="32"/>
        </w:rPr>
        <w:t>万元，支出决算</w:t>
      </w:r>
      <w:r>
        <w:rPr>
          <w:sz w:val="32"/>
          <w:szCs w:val="32"/>
          <w:u w:val="single"/>
        </w:rPr>
        <w:t>3.02</w:t>
      </w:r>
      <w:r>
        <w:rPr>
          <w:sz w:val="32"/>
          <w:szCs w:val="32"/>
        </w:rPr>
        <w:t>万元，完成年初预算的</w:t>
      </w:r>
      <w:r>
        <w:rPr>
          <w:sz w:val="32"/>
          <w:szCs w:val="32"/>
          <w:u w:val="single"/>
        </w:rPr>
        <w:t>488.76</w:t>
      </w:r>
      <w:r>
        <w:rPr>
          <w:sz w:val="32"/>
          <w:szCs w:val="32"/>
        </w:rPr>
        <w:t>%。决算数与年初预算数的差异原因：年末有追加退休人员绩效奖金工资部分。</w:t>
      </w:r>
    </w:p>
    <w:p>
      <w:pPr>
        <w:spacing w:beforeAutospacing="1" w:afterAutospacing="1" w:line="560" w:lineRule="atLeast"/>
        <w:ind w:firstLine="640"/>
        <w:jc w:val="both"/>
        <w:rPr>
          <w:rFonts w:hint="default"/>
          <w:sz w:val="32"/>
          <w:szCs w:val="32"/>
        </w:rPr>
      </w:pPr>
      <w:r>
        <w:rPr>
          <w:sz w:val="32"/>
          <w:szCs w:val="32"/>
        </w:rPr>
        <w:t>3．行政事业单位养老支出（款）机关事业单位基本养老保险缴费支出（项）。年初预算</w:t>
      </w:r>
      <w:r>
        <w:rPr>
          <w:sz w:val="32"/>
          <w:szCs w:val="32"/>
          <w:u w:val="single"/>
        </w:rPr>
        <w:t>1.4</w:t>
      </w:r>
      <w:r>
        <w:rPr>
          <w:sz w:val="32"/>
          <w:szCs w:val="32"/>
        </w:rPr>
        <w:t>万元，支出决算</w:t>
      </w:r>
      <w:r>
        <w:rPr>
          <w:sz w:val="32"/>
          <w:szCs w:val="32"/>
          <w:u w:val="single"/>
        </w:rPr>
        <w:t>1.40</w:t>
      </w:r>
      <w:r>
        <w:rPr>
          <w:sz w:val="32"/>
          <w:szCs w:val="32"/>
        </w:rPr>
        <w:t>万元，完成年初预算的</w:t>
      </w:r>
      <w:r>
        <w:rPr>
          <w:sz w:val="32"/>
          <w:szCs w:val="32"/>
          <w:u w:val="single"/>
        </w:rPr>
        <w:t>100</w:t>
      </w:r>
      <w:r>
        <w:rPr>
          <w:sz w:val="32"/>
          <w:szCs w:val="32"/>
        </w:rPr>
        <w:t>%。决算数与年初预算数的差异原因：无差异。</w:t>
      </w:r>
    </w:p>
    <w:p>
      <w:pPr>
        <w:spacing w:beforeAutospacing="1" w:afterAutospacing="1" w:line="560" w:lineRule="atLeast"/>
        <w:ind w:firstLine="640"/>
        <w:jc w:val="both"/>
        <w:rPr>
          <w:sz w:val="32"/>
          <w:szCs w:val="32"/>
        </w:rPr>
      </w:pPr>
      <w:r>
        <w:rPr>
          <w:sz w:val="32"/>
          <w:szCs w:val="32"/>
        </w:rPr>
        <w:t>4．行政事业单位养老支出（款）机关事业单位职业年金缴费支出（项）。年初预算</w:t>
      </w:r>
      <w:r>
        <w:rPr>
          <w:sz w:val="32"/>
          <w:szCs w:val="32"/>
          <w:u w:val="single"/>
        </w:rPr>
        <w:t>0.7</w:t>
      </w:r>
      <w:r>
        <w:rPr>
          <w:sz w:val="32"/>
          <w:szCs w:val="32"/>
        </w:rPr>
        <w:t>万元，支出决算</w:t>
      </w:r>
      <w:r>
        <w:rPr>
          <w:sz w:val="32"/>
          <w:szCs w:val="32"/>
          <w:u w:val="single"/>
        </w:rPr>
        <w:t>0.70</w:t>
      </w:r>
      <w:r>
        <w:rPr>
          <w:sz w:val="32"/>
          <w:szCs w:val="32"/>
        </w:rPr>
        <w:t>万元，完成年初预算的</w:t>
      </w:r>
      <w:r>
        <w:rPr>
          <w:sz w:val="32"/>
          <w:szCs w:val="32"/>
          <w:u w:val="single"/>
        </w:rPr>
        <w:t>100</w:t>
      </w:r>
      <w:r>
        <w:rPr>
          <w:sz w:val="32"/>
          <w:szCs w:val="32"/>
        </w:rPr>
        <w:t>%。决算数与年初预算数的差异原因：无差异。</w:t>
      </w:r>
    </w:p>
    <w:p>
      <w:pPr>
        <w:spacing w:beforeAutospacing="1" w:afterAutospacing="1" w:line="560" w:lineRule="atLeast"/>
        <w:ind w:firstLine="640"/>
        <w:jc w:val="both"/>
        <w:rPr>
          <w:rFonts w:hint="default"/>
          <w:sz w:val="32"/>
          <w:szCs w:val="32"/>
        </w:rPr>
      </w:pPr>
      <w:r>
        <w:rPr>
          <w:b/>
          <w:bCs/>
          <w:sz w:val="32"/>
          <w:szCs w:val="32"/>
        </w:rPr>
        <w:t>（三）住房保障支出（类）</w:t>
      </w:r>
    </w:p>
    <w:p>
      <w:pPr>
        <w:spacing w:beforeAutospacing="1" w:afterAutospacing="1" w:line="560" w:lineRule="atLeast"/>
        <w:ind w:firstLine="640"/>
        <w:jc w:val="both"/>
        <w:rPr>
          <w:rFonts w:hint="default"/>
          <w:sz w:val="32"/>
          <w:szCs w:val="32"/>
        </w:rPr>
      </w:pPr>
      <w:r>
        <w:rPr>
          <w:sz w:val="32"/>
          <w:szCs w:val="32"/>
        </w:rPr>
        <w:t>住房保障支出类决算数为1.40万元，与年初预算相比增加1.40万元。其中：</w:t>
      </w:r>
    </w:p>
    <w:p>
      <w:pPr>
        <w:spacing w:beforeAutospacing="1" w:afterAutospacing="1" w:line="560" w:lineRule="atLeast"/>
        <w:ind w:firstLine="640"/>
        <w:jc w:val="both"/>
        <w:rPr>
          <w:rFonts w:hint="default"/>
          <w:sz w:val="32"/>
          <w:szCs w:val="32"/>
        </w:rPr>
      </w:pPr>
      <w:r>
        <w:rPr>
          <w:sz w:val="32"/>
          <w:szCs w:val="32"/>
        </w:rPr>
        <w:t>1．住房改革支出（款）住房公积金（项）。年初预算0万元，支出决算1.40万元，完成年初预算的100%。决算数与年初预算数的差异原因：年初预算没有细化，决算是按照实际支出填列。</w:t>
      </w:r>
    </w:p>
    <w:p>
      <w:pPr>
        <w:spacing w:beforeAutospacing="1" w:afterAutospacing="1" w:line="600" w:lineRule="atLeast"/>
        <w:ind w:firstLine="643"/>
        <w:jc w:val="both"/>
        <w:rPr>
          <w:rFonts w:hint="default"/>
          <w:sz w:val="32"/>
          <w:szCs w:val="32"/>
        </w:rPr>
      </w:pPr>
      <w:r>
        <w:rPr>
          <w:b/>
          <w:bCs/>
          <w:sz w:val="32"/>
          <w:szCs w:val="32"/>
        </w:rPr>
        <w:t>六、一般公共预算基本支出决算情况说明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内蒙古自治区特种设备检验研究院满洲里分院单位2022年度一般公共预算财政拨款基本支出决算21.60万元，其中：</w:t>
      </w:r>
    </w:p>
    <w:p>
      <w:pPr>
        <w:spacing w:beforeAutospacing="1" w:afterAutospacing="1" w:line="560" w:lineRule="atLeast"/>
        <w:ind w:firstLine="643"/>
        <w:jc w:val="both"/>
        <w:rPr>
          <w:rFonts w:hint="default"/>
          <w:sz w:val="32"/>
          <w:szCs w:val="32"/>
        </w:rPr>
      </w:pPr>
      <w:r>
        <w:rPr>
          <w:b/>
          <w:bCs/>
          <w:sz w:val="32"/>
          <w:szCs w:val="32"/>
        </w:rPr>
        <w:t>（一）人员经费21.52万元</w:t>
      </w:r>
      <w:r>
        <w:rPr>
          <w:sz w:val="32"/>
          <w:szCs w:val="32"/>
        </w:rPr>
        <w:t>。主要包括：基本工资3.83万元、津贴补贴0万元、奖金11.17万元、社会保障缴费2.1万元、伙食补助费0万元、绩效工资0万元、其他工资福利支出0万元、离休费0万元、退休费3.02万元、抚恤金0万元、生活补助0万元、医疗费0万元、奖励金0万元、住房公积金1.4万元、提租补贴0万元、其他对个人和家庭的补助支出0万元。</w:t>
      </w:r>
    </w:p>
    <w:p>
      <w:pPr>
        <w:spacing w:beforeAutospacing="1" w:afterAutospacing="1" w:line="560" w:lineRule="atLeast"/>
        <w:ind w:firstLine="643"/>
        <w:jc w:val="both"/>
        <w:rPr>
          <w:rFonts w:hint="default"/>
          <w:sz w:val="32"/>
          <w:szCs w:val="32"/>
        </w:rPr>
      </w:pPr>
      <w:r>
        <w:rPr>
          <w:b/>
          <w:bCs/>
          <w:sz w:val="32"/>
          <w:szCs w:val="32"/>
        </w:rPr>
        <w:t>（二）公用经费0.08万元</w:t>
      </w:r>
      <w:r>
        <w:rPr>
          <w:sz w:val="32"/>
          <w:szCs w:val="32"/>
        </w:rPr>
        <w:t>。主要包括：办公费0.08万元、印刷费0万元、咨询费0万元、手续费0万元、水费、电费0万元、邮电费0万元、取暖费0万元、物业管理费0万元、差旅费0万元、维修（护）费0万元、租赁费0万元、会议费0万元、培训费0万元、公务接待费0万元、专用材料费0万元、劳务费0万元、委托业务费0万元、工会经费0万元、福利费0万元、公务用车运行维护费0万元、其他交通费用0万元、其他商品和服务支出0万元、办公设备购置0万元、专用设备购置0万元、信息网络及软件购置更新0万元、其他资本性支出0万元。</w:t>
      </w:r>
    </w:p>
    <w:p>
      <w:pPr>
        <w:spacing w:beforeAutospacing="1" w:afterAutospacing="1" w:line="600" w:lineRule="atLeast"/>
        <w:ind w:firstLine="643"/>
        <w:jc w:val="both"/>
        <w:rPr>
          <w:rFonts w:hint="default"/>
          <w:sz w:val="32"/>
          <w:szCs w:val="32"/>
        </w:rPr>
      </w:pPr>
      <w:r>
        <w:rPr>
          <w:b/>
          <w:bCs/>
          <w:color w:val="000000"/>
          <w:sz w:val="32"/>
          <w:szCs w:val="32"/>
        </w:rPr>
        <w:t>七、一般公共预算项目支出决算情况说明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内蒙古自治区特种设备检验研究院满洲里分院单位2022年度一般公共预算财政拨款项目支出决算371.00万元，其中：</w:t>
      </w:r>
    </w:p>
    <w:p>
      <w:pPr>
        <w:spacing w:beforeAutospacing="1" w:afterAutospacing="1" w:line="560" w:lineRule="atLeast"/>
        <w:ind w:firstLine="643"/>
        <w:jc w:val="both"/>
        <w:rPr>
          <w:rFonts w:hint="default"/>
          <w:sz w:val="32"/>
          <w:szCs w:val="32"/>
        </w:rPr>
      </w:pPr>
      <w:r>
        <w:rPr>
          <w:b/>
          <w:bCs/>
          <w:color w:val="000000"/>
          <w:sz w:val="32"/>
          <w:szCs w:val="32"/>
        </w:rPr>
        <w:t>（一）工资福利支出248.66万元</w:t>
      </w:r>
      <w:r>
        <w:rPr>
          <w:color w:val="000000"/>
          <w:sz w:val="32"/>
          <w:szCs w:val="32"/>
        </w:rPr>
        <w:t>。主要包括：基本工资33.22万元、津贴补贴4.7万元、奖金2.8万元、伙食补助费</w:t>
      </w:r>
      <w:r>
        <w:rPr>
          <w:sz w:val="32"/>
          <w:szCs w:val="32"/>
        </w:rPr>
        <w:t>0万元</w:t>
      </w:r>
      <w:r>
        <w:rPr>
          <w:color w:val="000000"/>
          <w:sz w:val="32"/>
          <w:szCs w:val="32"/>
        </w:rPr>
        <w:t>、绩效工资13.83万元、机关事业单位基本养老保险缴费6.87万元、职业年金缴费3.80万元、职工基本医疗保险缴费7.78万元、公务员医疗补助缴费</w:t>
      </w:r>
      <w:r>
        <w:rPr>
          <w:sz w:val="32"/>
          <w:szCs w:val="32"/>
        </w:rPr>
        <w:t>0万元</w:t>
      </w:r>
      <w:r>
        <w:rPr>
          <w:color w:val="000000"/>
          <w:sz w:val="32"/>
          <w:szCs w:val="32"/>
        </w:rPr>
        <w:t>、其他社会保障缴费15.38万元、住房公积金10.69万元、医疗费</w:t>
      </w:r>
      <w:r>
        <w:rPr>
          <w:sz w:val="32"/>
          <w:szCs w:val="32"/>
        </w:rPr>
        <w:t>0万元</w:t>
      </w:r>
      <w:r>
        <w:rPr>
          <w:color w:val="000000"/>
          <w:sz w:val="32"/>
          <w:szCs w:val="32"/>
        </w:rPr>
        <w:t>、其他工资福利支出149.59万元。</w:t>
      </w:r>
    </w:p>
    <w:p>
      <w:pPr>
        <w:spacing w:beforeAutospacing="1" w:afterAutospacing="1" w:line="560" w:lineRule="atLeast"/>
        <w:ind w:firstLine="643"/>
        <w:jc w:val="both"/>
        <w:rPr>
          <w:rFonts w:hint="default"/>
          <w:sz w:val="32"/>
          <w:szCs w:val="32"/>
        </w:rPr>
      </w:pPr>
      <w:r>
        <w:rPr>
          <w:b/>
          <w:bCs/>
          <w:color w:val="000000"/>
          <w:sz w:val="32"/>
          <w:szCs w:val="32"/>
        </w:rPr>
        <w:t>（二）商品和服务支出107.34万元</w:t>
      </w:r>
      <w:r>
        <w:rPr>
          <w:color w:val="000000"/>
          <w:sz w:val="32"/>
          <w:szCs w:val="32"/>
        </w:rPr>
        <w:t>。主要包括：办公费19.21万元、印刷费2.08万元、咨询费</w:t>
      </w:r>
      <w:r>
        <w:rPr>
          <w:sz w:val="32"/>
          <w:szCs w:val="32"/>
        </w:rPr>
        <w:t>0万元</w:t>
      </w:r>
      <w:r>
        <w:rPr>
          <w:color w:val="000000"/>
          <w:sz w:val="32"/>
          <w:szCs w:val="32"/>
        </w:rPr>
        <w:t>、手续费</w:t>
      </w:r>
      <w:r>
        <w:rPr>
          <w:sz w:val="32"/>
          <w:szCs w:val="32"/>
        </w:rPr>
        <w:t>0万元</w:t>
      </w:r>
      <w:r>
        <w:rPr>
          <w:color w:val="000000"/>
          <w:sz w:val="32"/>
          <w:szCs w:val="32"/>
        </w:rPr>
        <w:t>、水费0.4万元、电费3.72万元、邮电费1.66万元、取暖费8.68万元、物业管理费</w:t>
      </w:r>
      <w:r>
        <w:rPr>
          <w:sz w:val="32"/>
          <w:szCs w:val="32"/>
        </w:rPr>
        <w:t>0万元</w:t>
      </w:r>
      <w:r>
        <w:rPr>
          <w:color w:val="000000"/>
          <w:sz w:val="32"/>
          <w:szCs w:val="32"/>
        </w:rPr>
        <w:t>、差旅费17.48万元、因公出国（境）费用</w:t>
      </w:r>
      <w:r>
        <w:rPr>
          <w:sz w:val="32"/>
          <w:szCs w:val="32"/>
        </w:rPr>
        <w:t>0万元</w:t>
      </w:r>
      <w:r>
        <w:rPr>
          <w:color w:val="000000"/>
          <w:sz w:val="32"/>
          <w:szCs w:val="32"/>
        </w:rPr>
        <w:t>、维修（护）费6.91万元、租赁费</w:t>
      </w:r>
      <w:r>
        <w:rPr>
          <w:sz w:val="32"/>
          <w:szCs w:val="32"/>
        </w:rPr>
        <w:t>0万元</w:t>
      </w:r>
      <w:r>
        <w:rPr>
          <w:color w:val="000000"/>
          <w:sz w:val="32"/>
          <w:szCs w:val="32"/>
        </w:rPr>
        <w:t>、会议费</w:t>
      </w:r>
      <w:r>
        <w:rPr>
          <w:sz w:val="32"/>
          <w:szCs w:val="32"/>
        </w:rPr>
        <w:t>0万元</w:t>
      </w:r>
      <w:r>
        <w:rPr>
          <w:color w:val="000000"/>
          <w:sz w:val="32"/>
          <w:szCs w:val="32"/>
        </w:rPr>
        <w:t>、培训费2.39万元、公务接待费</w:t>
      </w:r>
      <w:r>
        <w:rPr>
          <w:sz w:val="32"/>
          <w:szCs w:val="32"/>
        </w:rPr>
        <w:t>0万元</w:t>
      </w:r>
      <w:r>
        <w:rPr>
          <w:color w:val="000000"/>
          <w:sz w:val="32"/>
          <w:szCs w:val="32"/>
        </w:rPr>
        <w:t>、专用材料费13.05万元、被装购置费</w:t>
      </w:r>
      <w:r>
        <w:rPr>
          <w:sz w:val="32"/>
          <w:szCs w:val="32"/>
        </w:rPr>
        <w:t>0万元</w:t>
      </w:r>
      <w:r>
        <w:rPr>
          <w:color w:val="000000"/>
          <w:sz w:val="32"/>
          <w:szCs w:val="32"/>
        </w:rPr>
        <w:t>、专用燃料费</w:t>
      </w:r>
      <w:r>
        <w:rPr>
          <w:sz w:val="32"/>
          <w:szCs w:val="32"/>
        </w:rPr>
        <w:t>0万元</w:t>
      </w:r>
      <w:r>
        <w:rPr>
          <w:color w:val="000000"/>
          <w:sz w:val="32"/>
          <w:szCs w:val="32"/>
        </w:rPr>
        <w:t>、劳务费</w:t>
      </w:r>
      <w:r>
        <w:rPr>
          <w:sz w:val="32"/>
          <w:szCs w:val="32"/>
        </w:rPr>
        <w:t>0万元</w:t>
      </w:r>
      <w:r>
        <w:rPr>
          <w:color w:val="000000"/>
          <w:sz w:val="32"/>
          <w:szCs w:val="32"/>
        </w:rPr>
        <w:t>、委托业务费</w:t>
      </w:r>
      <w:r>
        <w:rPr>
          <w:sz w:val="32"/>
          <w:szCs w:val="32"/>
        </w:rPr>
        <w:t>0万元、</w:t>
      </w:r>
      <w:r>
        <w:rPr>
          <w:color w:val="000000"/>
          <w:sz w:val="32"/>
          <w:szCs w:val="32"/>
        </w:rPr>
        <w:t>工会经费</w:t>
      </w:r>
      <w:r>
        <w:rPr>
          <w:sz w:val="32"/>
          <w:szCs w:val="32"/>
        </w:rPr>
        <w:t>4.01万元</w:t>
      </w:r>
      <w:r>
        <w:rPr>
          <w:color w:val="000000"/>
          <w:sz w:val="32"/>
          <w:szCs w:val="32"/>
        </w:rPr>
        <w:t>、福利费</w:t>
      </w:r>
      <w:r>
        <w:rPr>
          <w:sz w:val="32"/>
          <w:szCs w:val="32"/>
        </w:rPr>
        <w:t>4.40万元</w:t>
      </w:r>
      <w:r>
        <w:rPr>
          <w:color w:val="000000"/>
          <w:sz w:val="32"/>
          <w:szCs w:val="32"/>
        </w:rPr>
        <w:t>、公务用车运行维护费19万元、其他交通费用</w:t>
      </w:r>
      <w:r>
        <w:rPr>
          <w:sz w:val="32"/>
          <w:szCs w:val="32"/>
        </w:rPr>
        <w:t>0万元</w:t>
      </w:r>
      <w:r>
        <w:rPr>
          <w:color w:val="000000"/>
          <w:sz w:val="32"/>
          <w:szCs w:val="32"/>
        </w:rPr>
        <w:t>、税金及附加费用</w:t>
      </w:r>
      <w:r>
        <w:rPr>
          <w:sz w:val="32"/>
          <w:szCs w:val="32"/>
        </w:rPr>
        <w:t>4.34万元</w:t>
      </w:r>
      <w:r>
        <w:rPr>
          <w:color w:val="000000"/>
          <w:sz w:val="32"/>
          <w:szCs w:val="32"/>
        </w:rPr>
        <w:t>、其他商品和服务支出</w:t>
      </w:r>
      <w:r>
        <w:rPr>
          <w:sz w:val="32"/>
          <w:szCs w:val="32"/>
        </w:rPr>
        <w:t>0万元</w:t>
      </w:r>
      <w:r>
        <w:rPr>
          <w:color w:val="000000"/>
          <w:sz w:val="32"/>
          <w:szCs w:val="32"/>
        </w:rPr>
        <w:t>。</w:t>
      </w:r>
    </w:p>
    <w:p>
      <w:pPr>
        <w:spacing w:beforeAutospacing="1" w:afterAutospacing="1" w:line="600" w:lineRule="atLeast"/>
        <w:ind w:firstLine="643"/>
        <w:jc w:val="both"/>
        <w:rPr>
          <w:rFonts w:hint="default"/>
          <w:sz w:val="32"/>
          <w:szCs w:val="32"/>
        </w:rPr>
      </w:pPr>
      <w:r>
        <w:rPr>
          <w:b/>
          <w:bCs/>
          <w:color w:val="000000"/>
          <w:sz w:val="32"/>
          <w:szCs w:val="32"/>
        </w:rPr>
        <w:t>八、</w:t>
      </w:r>
      <w:r>
        <w:rPr>
          <w:b/>
          <w:bCs/>
          <w:sz w:val="32"/>
          <w:szCs w:val="32"/>
        </w:rPr>
        <w:t>财政拨款“三公”经费支出决算情况说明</w:t>
      </w:r>
    </w:p>
    <w:p>
      <w:pPr>
        <w:keepNext/>
        <w:spacing w:beforeAutospacing="1" w:afterAutospacing="1" w:line="560" w:lineRule="atLeast"/>
        <w:ind w:firstLine="643"/>
        <w:jc w:val="both"/>
        <w:rPr>
          <w:rFonts w:hint="default"/>
          <w:sz w:val="32"/>
          <w:szCs w:val="32"/>
        </w:rPr>
      </w:pPr>
      <w:r>
        <w:rPr>
          <w:b/>
          <w:bCs/>
          <w:sz w:val="32"/>
          <w:szCs w:val="32"/>
        </w:rPr>
        <w:t>（一）财政拨款“三公”经费支出总体情况说明。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财政拨款“三公”经费预算19.00万元，支出决算19.00万元，完成预算的100.00%。其中：因公出国（境）费预算0.00万元，支出决算0.00万元，完成预算的0.00%；公务用车购置及运行维护费预算19.00万元，支出决算19.00万元，完成预算的100.00%；公务接待费预算0.00万元，支出决算0.00万元，完成预算的0.00%。2022年度财政拨款“三公”经费支出决算与预算无差异。</w:t>
      </w:r>
    </w:p>
    <w:p>
      <w:pPr>
        <w:keepNext/>
        <w:spacing w:beforeAutospacing="1" w:afterAutospacing="1" w:line="560" w:lineRule="atLeast"/>
        <w:ind w:firstLine="643"/>
        <w:jc w:val="both"/>
        <w:rPr>
          <w:rFonts w:hint="default"/>
          <w:sz w:val="32"/>
          <w:szCs w:val="32"/>
        </w:rPr>
      </w:pPr>
      <w:r>
        <w:rPr>
          <w:b/>
          <w:bCs/>
          <w:sz w:val="32"/>
          <w:szCs w:val="32"/>
        </w:rPr>
        <w:t>（二）财政拨款“三公”经费支出具体情况说明。</w:t>
      </w:r>
    </w:p>
    <w:p>
      <w:pPr>
        <w:keepNext/>
        <w:spacing w:beforeAutospacing="1" w:afterAutospacing="1" w:line="560" w:lineRule="atLeast"/>
        <w:ind w:firstLine="643"/>
        <w:jc w:val="both"/>
        <w:rPr>
          <w:rFonts w:hint="default"/>
          <w:sz w:val="32"/>
          <w:szCs w:val="32"/>
        </w:rPr>
      </w:pPr>
      <w:r>
        <w:rPr>
          <w:sz w:val="32"/>
          <w:szCs w:val="32"/>
        </w:rPr>
        <w:t>内蒙古自治区特种设备检验研究院满洲里分院单位2022年度财政拨款“三公”经费支出19.00万元。因公出国（境）费支出0.00万元，占0.00%；公务用车购置及运行维护费支出19.00万元，占100.00%；公务接待费支出0.00万元，占0.00%。其中：</w:t>
      </w:r>
    </w:p>
    <w:p>
      <w:pPr>
        <w:spacing w:beforeAutospacing="1" w:afterAutospacing="1" w:line="560" w:lineRule="atLeast"/>
        <w:ind w:firstLine="640"/>
        <w:jc w:val="both"/>
        <w:rPr>
          <w:rFonts w:hint="default"/>
          <w:sz w:val="32"/>
          <w:szCs w:val="32"/>
        </w:rPr>
      </w:pPr>
      <w:r>
        <w:rPr>
          <w:sz w:val="32"/>
          <w:szCs w:val="32"/>
        </w:rPr>
        <w:t>1.因公出国（境）费支出0.00万元，全年出国（境）团组0个，累计0人次。与上年决算相比，增加0.00万元，增长0.00%，本年度本单位无应公出国（境）。</w:t>
      </w:r>
    </w:p>
    <w:p>
      <w:pPr>
        <w:spacing w:beforeAutospacing="1" w:afterAutospacing="1" w:line="560" w:lineRule="atLeast"/>
        <w:ind w:firstLine="640"/>
        <w:jc w:val="both"/>
        <w:rPr>
          <w:rFonts w:hint="default"/>
          <w:sz w:val="32"/>
          <w:szCs w:val="32"/>
        </w:rPr>
      </w:pPr>
      <w:r>
        <w:rPr>
          <w:sz w:val="32"/>
          <w:szCs w:val="32"/>
        </w:rPr>
        <w:t>2.公务用车购置及运行维护费支出19.00万元。其中：</w:t>
      </w:r>
    </w:p>
    <w:p>
      <w:pPr>
        <w:spacing w:beforeAutospacing="1" w:afterAutospacing="1" w:line="560" w:lineRule="atLeast"/>
        <w:ind w:firstLine="640"/>
        <w:jc w:val="both"/>
        <w:rPr>
          <w:rFonts w:hint="default"/>
          <w:sz w:val="32"/>
          <w:szCs w:val="32"/>
        </w:rPr>
      </w:pPr>
      <w:r>
        <w:rPr>
          <w:sz w:val="32"/>
          <w:szCs w:val="32"/>
        </w:rPr>
        <w:t>（1）公务用车购置支出0.00万元。本年度使用财政拨款购置公务用车0辆。与上年决算相比，减少12.00万元，减少100.00%，变动原因：上一年度购置一台公务用车，有公车办批复文件。</w:t>
      </w:r>
    </w:p>
    <w:p>
      <w:pPr>
        <w:spacing w:beforeAutospacing="1" w:afterAutospacing="1" w:line="560" w:lineRule="atLeast"/>
        <w:ind w:firstLine="640"/>
        <w:jc w:val="both"/>
        <w:rPr>
          <w:rFonts w:hint="default"/>
          <w:sz w:val="32"/>
          <w:szCs w:val="32"/>
        </w:rPr>
      </w:pPr>
      <w:r>
        <w:rPr>
          <w:sz w:val="32"/>
          <w:szCs w:val="32"/>
        </w:rPr>
        <w:t>（2）公务用车运行维护费支出19.00万元。公务用车运行维护费主要用于按规定保留的公务用车的燃料费、维修费、过桥过路费、保险费、安全奖励费用等支出。截至2022年12月31日，使用财政拨款开支的公务用车保有量为5辆。与上年决算相比，增加0.00万元，增长0.00%，上下年无变动。</w:t>
      </w:r>
    </w:p>
    <w:p>
      <w:pPr>
        <w:spacing w:beforeAutospacing="1" w:afterAutospacing="1" w:line="560" w:lineRule="atLeast"/>
        <w:ind w:firstLine="640"/>
        <w:jc w:val="both"/>
        <w:rPr>
          <w:rFonts w:hint="default"/>
          <w:sz w:val="32"/>
          <w:szCs w:val="32"/>
        </w:rPr>
      </w:pPr>
      <w:r>
        <w:rPr>
          <w:sz w:val="32"/>
          <w:szCs w:val="32"/>
        </w:rPr>
        <w:t>3.公务接待费支出0.00万元。其中：国内公务接待支出0.00万元，接待0批次，0人次；国（境）外公务接待支出0.00万元，接待0批次，0人次。与上年决算相比，增加0.00万元，增长0.00%，变动原因：我单位本年度与上年度均无公务接待费。</w:t>
      </w:r>
    </w:p>
    <w:p>
      <w:pPr>
        <w:spacing w:beforeAutospacing="1" w:afterAutospacing="1" w:line="600" w:lineRule="atLeast"/>
        <w:ind w:firstLine="643"/>
        <w:jc w:val="both"/>
        <w:rPr>
          <w:rFonts w:hint="default"/>
          <w:sz w:val="32"/>
          <w:szCs w:val="32"/>
        </w:rPr>
      </w:pPr>
      <w:r>
        <w:rPr>
          <w:b/>
          <w:bCs/>
          <w:color w:val="000000"/>
          <w:sz w:val="32"/>
          <w:szCs w:val="32"/>
        </w:rPr>
        <w:t>九、</w:t>
      </w:r>
      <w:r>
        <w:rPr>
          <w:b/>
          <w:bCs/>
          <w:sz w:val="32"/>
          <w:szCs w:val="32"/>
        </w:rPr>
        <w:t>政府性基金预算财政拨款支出决算情况说明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内蒙古自治区特种设备检验研究院满洲里分院单位2022年度政府性基金支出决算0.00万元。与上年决算相比，增加0.00万元，增长0.00%，变动原因：本单位无政府性基金预算财政拨款收、支、余。</w:t>
      </w:r>
    </w:p>
    <w:p>
      <w:pPr>
        <w:spacing w:beforeAutospacing="1" w:afterAutospacing="1" w:line="600" w:lineRule="atLeast"/>
        <w:ind w:firstLine="643"/>
        <w:jc w:val="both"/>
        <w:rPr>
          <w:rFonts w:hint="default"/>
          <w:sz w:val="32"/>
          <w:szCs w:val="32"/>
        </w:rPr>
      </w:pPr>
      <w:r>
        <w:rPr>
          <w:b/>
          <w:bCs/>
          <w:color w:val="000000"/>
          <w:sz w:val="32"/>
          <w:szCs w:val="32"/>
        </w:rPr>
        <w:t>十、</w:t>
      </w:r>
      <w:r>
        <w:rPr>
          <w:b/>
          <w:bCs/>
          <w:sz w:val="32"/>
          <w:szCs w:val="32"/>
        </w:rPr>
        <w:t>国有资本经营预算财政拨款支出决算情况说明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内蒙古自治区特种设备检验研究院满洲里分院单位2022年度国有资本经营预算支出决算0.00万元。与上年决算相比，增加0.00万元，增长0.00%，变动原因：本年度无国有资本经营预算财政拨款收、支、余。</w:t>
      </w:r>
    </w:p>
    <w:p>
      <w:pPr>
        <w:keepNext/>
        <w:spacing w:beforeAutospacing="1" w:afterAutospacing="1" w:line="600" w:lineRule="atLeast"/>
        <w:ind w:firstLine="643"/>
        <w:jc w:val="both"/>
        <w:rPr>
          <w:rFonts w:hint="default"/>
          <w:sz w:val="32"/>
          <w:szCs w:val="32"/>
        </w:rPr>
      </w:pPr>
      <w:r>
        <w:rPr>
          <w:b/>
          <w:bCs/>
          <w:color w:val="000000"/>
          <w:sz w:val="32"/>
          <w:szCs w:val="32"/>
        </w:rPr>
        <w:t>十一、</w:t>
      </w:r>
      <w:r>
        <w:rPr>
          <w:b/>
          <w:bCs/>
          <w:sz w:val="32"/>
          <w:szCs w:val="32"/>
        </w:rPr>
        <w:t>项目支出决算情况说明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预算安排项目2个，实施项目2个，完成项目2个，项目支出总金额371.00万元。资金来源包括年初结转结余0.00万元，本年财政拨款金额371.00万元，本年其他资金0.00万元。</w:t>
      </w:r>
    </w:p>
    <w:p>
      <w:pPr>
        <w:spacing w:beforeAutospacing="1" w:afterAutospacing="1" w:line="600" w:lineRule="atLeast"/>
        <w:ind w:firstLine="643"/>
        <w:jc w:val="both"/>
        <w:rPr>
          <w:rFonts w:hint="default"/>
          <w:sz w:val="32"/>
          <w:szCs w:val="32"/>
        </w:rPr>
      </w:pPr>
      <w:r>
        <w:rPr>
          <w:b/>
          <w:bCs/>
          <w:color w:val="000000"/>
          <w:sz w:val="32"/>
          <w:szCs w:val="32"/>
        </w:rPr>
        <w:t>十二、</w:t>
      </w:r>
      <w:r>
        <w:rPr>
          <w:b/>
          <w:bCs/>
          <w:sz w:val="32"/>
          <w:szCs w:val="32"/>
        </w:rPr>
        <w:t>机构运行经费支出决算情况说明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内蒙古自治区特种设备检验研究院满洲里分院单位2022年度机构运行经费支出决算0.08万元。比上年决算相比，减少8.51万元，减少99.06%，变动原因：上一年度有基本支出结转由于办公费用支出，本年度没有。</w:t>
      </w:r>
    </w:p>
    <w:p>
      <w:pPr>
        <w:spacing w:beforeAutospacing="1" w:afterAutospacing="1" w:line="600" w:lineRule="atLeast"/>
        <w:ind w:firstLine="643"/>
        <w:jc w:val="both"/>
        <w:rPr>
          <w:rFonts w:hint="default"/>
          <w:sz w:val="32"/>
          <w:szCs w:val="32"/>
        </w:rPr>
      </w:pPr>
      <w:r>
        <w:rPr>
          <w:b/>
          <w:bCs/>
          <w:color w:val="000000"/>
          <w:sz w:val="32"/>
          <w:szCs w:val="32"/>
        </w:rPr>
        <w:t>十三、</w:t>
      </w:r>
      <w:r>
        <w:rPr>
          <w:b/>
          <w:bCs/>
          <w:sz w:val="32"/>
          <w:szCs w:val="32"/>
        </w:rPr>
        <w:t>政府采购支出决算情况说明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政府采购支出总额15.00万元，其中：政府采购货物支出15.00万元、政府采购工程支出0.00万元、政府采购服务支出0.00万元。授予中小企业合同金额0.00万元，占政府采购支出总额的%，其中：授予小微企业合同金额0.00万元，占授予中小企业合同金额的%；</w:t>
      </w:r>
      <w:r>
        <w:rPr>
          <w:color w:val="000000"/>
          <w:sz w:val="32"/>
          <w:szCs w:val="32"/>
        </w:rPr>
        <w:t>货物采购授予中小企业合同金额占货物支出合同金额的%，工程采购授予中小企业合同金额占工程支出合同金额的%，服务采购授予中小企业合同金额占服务支出合同金额的%。</w:t>
      </w:r>
    </w:p>
    <w:p>
      <w:pPr>
        <w:keepNext/>
        <w:spacing w:beforeAutospacing="1" w:afterAutospacing="1" w:line="600" w:lineRule="atLeast"/>
        <w:ind w:firstLine="643"/>
        <w:jc w:val="both"/>
        <w:rPr>
          <w:rFonts w:hint="default"/>
          <w:sz w:val="32"/>
          <w:szCs w:val="32"/>
        </w:rPr>
      </w:pPr>
      <w:r>
        <w:rPr>
          <w:b/>
          <w:bCs/>
          <w:color w:val="000000"/>
          <w:sz w:val="32"/>
          <w:szCs w:val="32"/>
        </w:rPr>
        <w:t>十四、</w:t>
      </w:r>
      <w:r>
        <w:rPr>
          <w:b/>
          <w:bCs/>
          <w:sz w:val="32"/>
          <w:szCs w:val="32"/>
        </w:rPr>
        <w:t>国有资产占用情况说明</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截至2022年12月31日，本单位共有车辆5辆，其中：副部（省）级及以上领导用车0辆、主要领导干部用车0辆、机要通信用车0辆、应急保障用车0辆、执法执勤用车0辆、特种专业技术用车5辆、离退休干部用车0辆，其他用车0辆；单价100万元（含）以上的设备（不含车辆）0台（套）。</w:t>
      </w:r>
    </w:p>
    <w:p>
      <w:pPr>
        <w:spacing w:beforeAutospacing="1" w:afterAutospacing="1" w:line="600" w:lineRule="atLeast"/>
        <w:ind w:firstLine="643"/>
        <w:jc w:val="both"/>
        <w:rPr>
          <w:rFonts w:hint="default"/>
          <w:sz w:val="32"/>
          <w:szCs w:val="32"/>
        </w:rPr>
      </w:pPr>
      <w:r>
        <w:rPr>
          <w:b/>
          <w:bCs/>
          <w:color w:val="000000"/>
          <w:sz w:val="32"/>
          <w:szCs w:val="32"/>
        </w:rPr>
        <w:t>十五、</w:t>
      </w:r>
      <w:r>
        <w:rPr>
          <w:b/>
          <w:bCs/>
          <w:sz w:val="32"/>
          <w:szCs w:val="32"/>
        </w:rPr>
        <w:t>预算绩效情况说明</w:t>
      </w:r>
    </w:p>
    <w:p>
      <w:pPr>
        <w:spacing w:beforeAutospacing="1" w:afterAutospacing="1"/>
        <w:ind w:firstLine="643"/>
        <w:jc w:val="both"/>
        <w:rPr>
          <w:rFonts w:hint="default"/>
          <w:sz w:val="32"/>
          <w:szCs w:val="32"/>
        </w:rPr>
      </w:pPr>
      <w:r>
        <w:rPr>
          <w:b/>
          <w:bCs/>
          <w:sz w:val="32"/>
          <w:szCs w:val="32"/>
        </w:rPr>
        <w:t>（一）预算绩效管理工作开展情况。</w:t>
      </w:r>
    </w:p>
    <w:p>
      <w:pPr>
        <w:spacing w:beforeAutospacing="1" w:afterAutospacing="1" w:line="560" w:lineRule="atLeast"/>
        <w:ind w:firstLine="640"/>
        <w:jc w:val="both"/>
        <w:rPr>
          <w:rFonts w:hint="eastAsia"/>
          <w:sz w:val="32"/>
          <w:szCs w:val="32"/>
          <w:lang w:eastAsia="zh-CN"/>
        </w:rPr>
      </w:pPr>
      <w:r>
        <w:rPr>
          <w:sz w:val="32"/>
          <w:szCs w:val="32"/>
        </w:rPr>
        <w:t>内蒙古自治区特种设备检验研究院满洲里分院单位根据预算绩效管理要求组织对2022年一般公共预算项目支出全面开展绩效自评，其中一级项目0个，二级项目2个，共涉及资金371.00万元，占一般公共预算项目支出总额的100%</w:t>
      </w:r>
      <w:r>
        <w:rPr>
          <w:rFonts w:hint="eastAsia"/>
          <w:sz w:val="32"/>
          <w:szCs w:val="32"/>
          <w:lang w:eastAsia="zh-CN"/>
        </w:rPr>
        <w:t>。</w:t>
      </w:r>
    </w:p>
    <w:p>
      <w:pPr>
        <w:spacing w:beforeAutospacing="1" w:afterAutospacing="1" w:line="560" w:lineRule="atLeast"/>
        <w:ind w:firstLine="640"/>
        <w:jc w:val="both"/>
        <w:rPr>
          <w:rFonts w:hint="default"/>
          <w:sz w:val="32"/>
          <w:szCs w:val="32"/>
        </w:rPr>
      </w:pPr>
      <w:bookmarkStart w:id="0" w:name="_GoBack"/>
      <w:bookmarkEnd w:id="0"/>
      <w:r>
        <w:rPr>
          <w:sz w:val="32"/>
          <w:szCs w:val="32"/>
        </w:rPr>
        <w:t>我院作为内蒙古自治区特种设备检验研究院分支机构，由总院进行部门评价，评价内容及结果等情况详见内蒙古自治区特种设备检验研究院决算公开。</w:t>
      </w:r>
    </w:p>
    <w:p>
      <w:pPr>
        <w:spacing w:beforeAutospacing="1" w:afterAutospacing="1"/>
        <w:ind w:firstLine="643" w:firstLineChars="200"/>
        <w:jc w:val="both"/>
        <w:rPr>
          <w:rFonts w:hint="default"/>
          <w:sz w:val="32"/>
          <w:szCs w:val="32"/>
        </w:rPr>
      </w:pPr>
      <w:r>
        <w:rPr>
          <w:b/>
          <w:bCs/>
          <w:sz w:val="32"/>
          <w:szCs w:val="32"/>
        </w:rPr>
        <w:t>（二）单位决算中项目绩效自评结果。</w:t>
      </w:r>
    </w:p>
    <w:p>
      <w:pPr>
        <w:spacing w:beforeAutospacing="1" w:afterAutospacing="1" w:line="560" w:lineRule="atLeast"/>
        <w:ind w:firstLine="640"/>
        <w:jc w:val="both"/>
        <w:rPr>
          <w:rFonts w:hint="default"/>
          <w:sz w:val="32"/>
          <w:szCs w:val="32"/>
        </w:rPr>
      </w:pPr>
      <w:r>
        <w:rPr>
          <w:sz w:val="32"/>
          <w:szCs w:val="32"/>
        </w:rPr>
        <w:t>内蒙古自治区特种设备检验研究院满洲里分院单位2022年度在决算中反映2个一般公共预算项目，以及0个政府性基金项目，共2个项目的绩效自评结果。</w:t>
      </w:r>
    </w:p>
    <w:p>
      <w:pPr>
        <w:ind w:firstLine="640" w:firstLineChars="200"/>
        <w:jc w:val="both"/>
        <w:rPr>
          <w:rFonts w:cs="宋体"/>
          <w:sz w:val="32"/>
          <w:szCs w:val="32"/>
        </w:rPr>
      </w:pPr>
      <w:r>
        <w:rPr>
          <w:rFonts w:cs="宋体"/>
          <w:sz w:val="32"/>
          <w:szCs w:val="32"/>
        </w:rPr>
        <w:t>1.锅炉压力容器与特种设备安全监管项目自评综述：根据年初设定的绩效目标，项目自评得分</w:t>
      </w:r>
      <w:r>
        <w:rPr>
          <w:rFonts w:ascii="Times New Roman" w:hAnsi="Times New Roman"/>
          <w:sz w:val="32"/>
          <w:szCs w:val="32"/>
          <w:u w:val="single"/>
        </w:rPr>
        <w:t>100</w:t>
      </w:r>
      <w:r>
        <w:rPr>
          <w:rFonts w:cs="宋体"/>
          <w:sz w:val="32"/>
          <w:szCs w:val="32"/>
        </w:rPr>
        <w:t>分。全年预算数为</w:t>
      </w:r>
      <w:r>
        <w:rPr>
          <w:rFonts w:ascii="Times New Roman" w:hAnsi="Times New Roman"/>
          <w:sz w:val="32"/>
          <w:szCs w:val="32"/>
          <w:u w:val="single"/>
        </w:rPr>
        <w:t xml:space="preserve"> </w:t>
      </w:r>
      <w:r>
        <w:rPr>
          <w:rFonts w:hint="default" w:ascii="Times New Roman" w:hAnsi="Times New Roman"/>
          <w:sz w:val="32"/>
          <w:szCs w:val="32"/>
          <w:u w:val="single"/>
        </w:rPr>
        <w:t xml:space="preserve">   </w:t>
      </w:r>
      <w:r>
        <w:rPr>
          <w:rFonts w:hint="eastAsia" w:ascii="Times New Roman" w:hAnsi="Times New Roman"/>
          <w:sz w:val="32"/>
          <w:szCs w:val="32"/>
          <w:u w:val="single"/>
          <w:lang w:val="en-US" w:eastAsia="zh-CN"/>
        </w:rPr>
        <w:t>270</w:t>
      </w:r>
      <w:r>
        <w:rPr>
          <w:rFonts w:hint="default" w:ascii="Times New Roman" w:hAnsi="Times New Roman"/>
          <w:sz w:val="32"/>
          <w:szCs w:val="32"/>
          <w:u w:val="single"/>
        </w:rPr>
        <w:t xml:space="preserve">      </w:t>
      </w:r>
      <w:r>
        <w:rPr>
          <w:rFonts w:cs="宋体"/>
          <w:sz w:val="32"/>
          <w:szCs w:val="32"/>
        </w:rPr>
        <w:t>万元，执行数为</w:t>
      </w:r>
      <w:r>
        <w:rPr>
          <w:rFonts w:hint="default" w:cs="宋体"/>
          <w:sz w:val="32"/>
          <w:szCs w:val="32"/>
        </w:rPr>
        <w:t xml:space="preserve"> </w:t>
      </w:r>
      <w:r>
        <w:rPr>
          <w:rFonts w:hint="default" w:cs="宋体"/>
          <w:sz w:val="32"/>
          <w:szCs w:val="32"/>
          <w:u w:val="single"/>
        </w:rPr>
        <w:t xml:space="preserve"> </w:t>
      </w:r>
      <w:r>
        <w:rPr>
          <w:rFonts w:hint="eastAsia" w:cs="宋体"/>
          <w:sz w:val="32"/>
          <w:szCs w:val="32"/>
          <w:u w:val="single"/>
          <w:lang w:val="en-US" w:eastAsia="zh-CN"/>
        </w:rPr>
        <w:t>270</w:t>
      </w:r>
      <w:r>
        <w:rPr>
          <w:rFonts w:hint="default" w:cs="宋体"/>
          <w:sz w:val="32"/>
          <w:szCs w:val="32"/>
          <w:u w:val="single"/>
        </w:rPr>
        <w:t xml:space="preserve">   </w:t>
      </w:r>
      <w:r>
        <w:rPr>
          <w:rFonts w:hint="default" w:cs="宋体"/>
          <w:sz w:val="32"/>
          <w:szCs w:val="32"/>
        </w:rPr>
        <w:t xml:space="preserve"> </w:t>
      </w:r>
      <w:r>
        <w:rPr>
          <w:rFonts w:cs="宋体"/>
          <w:sz w:val="32"/>
          <w:szCs w:val="32"/>
        </w:rPr>
        <w:t>万元，完成预算的</w:t>
      </w:r>
      <w:r>
        <w:rPr>
          <w:rFonts w:ascii="Times New Roman" w:hAnsi="Times New Roman"/>
          <w:sz w:val="32"/>
          <w:szCs w:val="32"/>
          <w:u w:val="single"/>
        </w:rPr>
        <w:t xml:space="preserve">100 </w:t>
      </w:r>
      <w:r>
        <w:rPr>
          <w:rFonts w:cs="宋体"/>
          <w:sz w:val="32"/>
          <w:szCs w:val="32"/>
        </w:rPr>
        <w:t>%。项目绩效目标完成情况：产出指标、效益指标、满意度指标按照规定执行评价为”优”。发现的主要问题及原因：预算申报在前，重点工作安排在后。下一步改进措施：改进考核评估办法，完善体系指标设置。使评价工作更加合理、更加有效；用事后监督促进事前管理，进一步确保资金落到实处、起到实效。</w:t>
      </w:r>
    </w:p>
    <w:p>
      <w:pPr>
        <w:spacing w:before="39" w:after="120" w:line="324" w:lineRule="auto"/>
        <w:ind w:right="534"/>
        <w:jc w:val="both"/>
        <w:rPr>
          <w:rFonts w:cs="宋体"/>
          <w:sz w:val="32"/>
          <w:szCs w:val="32"/>
        </w:rPr>
      </w:pPr>
      <w:r>
        <w:rPr>
          <w:rFonts w:cs="宋体"/>
          <w:sz w:val="32"/>
          <w:szCs w:val="32"/>
        </w:rPr>
        <w:t xml:space="preserve"> </w:t>
      </w:r>
    </w:p>
    <w:p>
      <w:pPr>
        <w:ind w:firstLine="640" w:firstLineChars="200"/>
        <w:jc w:val="both"/>
        <w:rPr>
          <w:rFonts w:cs="宋体"/>
          <w:sz w:val="32"/>
          <w:szCs w:val="32"/>
        </w:rPr>
      </w:pPr>
      <w:r>
        <w:rPr>
          <w:rFonts w:cs="宋体"/>
          <w:sz w:val="32"/>
          <w:szCs w:val="32"/>
        </w:rPr>
        <w:t>2.定项补助项目自评综述：根据年初设定的绩效目标，项目自评得分</w:t>
      </w:r>
      <w:r>
        <w:rPr>
          <w:rFonts w:ascii="Times New Roman" w:hAnsi="Times New Roman"/>
          <w:sz w:val="32"/>
          <w:szCs w:val="32"/>
          <w:u w:val="single"/>
        </w:rPr>
        <w:t>100</w:t>
      </w:r>
      <w:r>
        <w:rPr>
          <w:rFonts w:cs="宋体"/>
          <w:sz w:val="32"/>
          <w:szCs w:val="32"/>
        </w:rPr>
        <w:t>分。全年预算数为</w:t>
      </w:r>
      <w:r>
        <w:rPr>
          <w:rFonts w:ascii="Times New Roman" w:hAnsi="Times New Roman"/>
          <w:sz w:val="32"/>
          <w:szCs w:val="32"/>
          <w:u w:val="single"/>
        </w:rPr>
        <w:t xml:space="preserve"> </w:t>
      </w:r>
      <w:r>
        <w:rPr>
          <w:rFonts w:hint="default" w:ascii="Times New Roman" w:hAnsi="Times New Roman"/>
          <w:sz w:val="32"/>
          <w:szCs w:val="32"/>
          <w:u w:val="single"/>
        </w:rPr>
        <w:t xml:space="preserve"> </w:t>
      </w:r>
      <w:r>
        <w:rPr>
          <w:rFonts w:hint="eastAsia" w:ascii="Times New Roman" w:hAnsi="Times New Roman"/>
          <w:sz w:val="32"/>
          <w:szCs w:val="32"/>
          <w:u w:val="single"/>
          <w:lang w:val="en-US" w:eastAsia="zh-CN"/>
        </w:rPr>
        <w:t>101</w:t>
      </w:r>
      <w:r>
        <w:rPr>
          <w:rFonts w:hint="default" w:ascii="Times New Roman" w:hAnsi="Times New Roman"/>
          <w:sz w:val="32"/>
          <w:szCs w:val="32"/>
          <w:u w:val="single"/>
        </w:rPr>
        <w:t xml:space="preserve">  </w:t>
      </w:r>
      <w:r>
        <w:rPr>
          <w:rFonts w:cs="宋体"/>
          <w:sz w:val="32"/>
          <w:szCs w:val="32"/>
        </w:rPr>
        <w:t>万元，执行数为</w:t>
      </w:r>
      <w:r>
        <w:rPr>
          <w:rFonts w:hint="default" w:ascii="Times New Roman" w:hAnsi="Times New Roman"/>
          <w:sz w:val="32"/>
          <w:szCs w:val="32"/>
          <w:u w:val="single"/>
        </w:rPr>
        <w:t xml:space="preserve">    </w:t>
      </w:r>
      <w:r>
        <w:rPr>
          <w:rFonts w:hint="eastAsia" w:ascii="Times New Roman" w:hAnsi="Times New Roman"/>
          <w:sz w:val="32"/>
          <w:szCs w:val="32"/>
          <w:u w:val="single"/>
          <w:lang w:val="en-US" w:eastAsia="zh-CN"/>
        </w:rPr>
        <w:t>101</w:t>
      </w:r>
      <w:r>
        <w:rPr>
          <w:rFonts w:cs="宋体"/>
          <w:sz w:val="32"/>
          <w:szCs w:val="32"/>
        </w:rPr>
        <w:t>万元，完成预算的</w:t>
      </w:r>
      <w:r>
        <w:rPr>
          <w:rFonts w:ascii="Times New Roman" w:hAnsi="Times New Roman"/>
          <w:sz w:val="32"/>
          <w:szCs w:val="32"/>
          <w:u w:val="single"/>
        </w:rPr>
        <w:t xml:space="preserve">100 </w:t>
      </w:r>
      <w:r>
        <w:rPr>
          <w:rFonts w:cs="宋体"/>
          <w:sz w:val="32"/>
          <w:szCs w:val="32"/>
        </w:rPr>
        <w:t>%。项目绩效目标完成情况：产出指标、效益指标、满意度指标按照规定执行评价为”优”。发现的主要问题及原因：预算申报在前，重点工作安排在后。下一步改进措施：改进考核评估办法，完善体系指标设置。使评价工作更加合理、更加有效；用事后监督促进事前管理，进一步确保资金落到实处、起到实效。</w:t>
      </w:r>
    </w:p>
    <w:p>
      <w:pPr>
        <w:spacing w:line="620" w:lineRule="exact"/>
        <w:ind w:firstLine="604"/>
        <w:rPr>
          <w:rFonts w:hint="default"/>
          <w:sz w:val="32"/>
          <w:szCs w:val="32"/>
        </w:rPr>
      </w:pPr>
    </w:p>
    <w:p>
      <w:pPr>
        <w:spacing w:line="620" w:lineRule="exact"/>
        <w:ind w:firstLine="604"/>
        <w:rPr>
          <w:rFonts w:hint="default"/>
          <w:sz w:val="32"/>
          <w:szCs w:val="32"/>
        </w:rPr>
      </w:pPr>
    </w:p>
    <w:tbl>
      <w:tblPr>
        <w:tblStyle w:val="13"/>
        <w:tblW w:w="0" w:type="auto"/>
        <w:tblInd w:w="93" w:type="dxa"/>
        <w:tblLayout w:type="autofit"/>
        <w:tblCellMar>
          <w:top w:w="0" w:type="dxa"/>
          <w:left w:w="108" w:type="dxa"/>
          <w:bottom w:w="0" w:type="dxa"/>
          <w:right w:w="108" w:type="dxa"/>
        </w:tblCellMar>
      </w:tblPr>
      <w:tblGrid>
        <w:gridCol w:w="459"/>
        <w:gridCol w:w="479"/>
        <w:gridCol w:w="852"/>
        <w:gridCol w:w="1178"/>
        <w:gridCol w:w="567"/>
        <w:gridCol w:w="567"/>
        <w:gridCol w:w="609"/>
        <w:gridCol w:w="642"/>
        <w:gridCol w:w="790"/>
        <w:gridCol w:w="587"/>
        <w:gridCol w:w="588"/>
        <w:gridCol w:w="1120"/>
      </w:tblGrid>
      <w:tr>
        <w:trPr>
          <w:trHeight w:val="960" w:hRule="atLeast"/>
        </w:trPr>
        <w:tc>
          <w:tcPr>
            <w:tcW w:w="0" w:type="auto"/>
            <w:gridSpan w:val="1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b/>
                <w:bCs/>
                <w:color w:val="000000"/>
                <w:sz w:val="40"/>
                <w:szCs w:val="40"/>
              </w:rPr>
            </w:pPr>
            <w:r>
              <w:rPr>
                <w:b/>
                <w:bCs/>
                <w:color w:val="000000"/>
                <w:sz w:val="40"/>
                <w:szCs w:val="40"/>
              </w:rPr>
              <w:t>项目支出绩效自评表</w:t>
            </w:r>
            <w:r>
              <w:rPr>
                <w:b/>
                <w:bCs/>
                <w:color w:val="000000"/>
                <w:sz w:val="40"/>
                <w:szCs w:val="40"/>
              </w:rPr>
              <w:br w:type="textWrapping"/>
            </w:r>
            <w:r>
              <w:rPr>
                <w:b/>
                <w:bCs/>
                <w:color w:val="000000"/>
                <w:sz w:val="40"/>
                <w:szCs w:val="40"/>
              </w:rPr>
              <w:t>(2022年度）</w:t>
            </w:r>
          </w:p>
        </w:tc>
      </w:tr>
      <w:tr>
        <w:tblPrEx>
          <w:tblCellMar>
            <w:top w:w="0" w:type="dxa"/>
            <w:left w:w="108" w:type="dxa"/>
            <w:bottom w:w="0" w:type="dxa"/>
            <w:right w:w="108" w:type="dxa"/>
          </w:tblCellMar>
        </w:tblPrEx>
        <w:trPr>
          <w:trHeight w:val="379"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color w:val="000000"/>
                <w:sz w:val="18"/>
                <w:szCs w:val="18"/>
              </w:rPr>
            </w:pPr>
            <w:r>
              <w:rPr>
                <w:color w:val="000000"/>
                <w:sz w:val="18"/>
                <w:szCs w:val="18"/>
              </w:rPr>
              <w:t>项目名称</w:t>
            </w:r>
          </w:p>
        </w:tc>
        <w:tc>
          <w:tcPr>
            <w:tcW w:w="0" w:type="auto"/>
            <w:gridSpan w:val="10"/>
            <w:tcBorders>
              <w:top w:val="single" w:color="auto" w:sz="4" w:space="0"/>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定项补助</w:t>
            </w:r>
          </w:p>
        </w:tc>
      </w:tr>
      <w:tr>
        <w:tblPrEx>
          <w:tblCellMar>
            <w:top w:w="0" w:type="dxa"/>
            <w:left w:w="108" w:type="dxa"/>
            <w:bottom w:w="0" w:type="dxa"/>
            <w:right w:w="108" w:type="dxa"/>
          </w:tblCellMar>
        </w:tblPrEx>
        <w:trPr>
          <w:trHeight w:val="379"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color w:val="000000"/>
                <w:sz w:val="18"/>
                <w:szCs w:val="18"/>
              </w:rPr>
            </w:pPr>
            <w:r>
              <w:rPr>
                <w:color w:val="000000"/>
                <w:sz w:val="18"/>
                <w:szCs w:val="18"/>
              </w:rPr>
              <w:t>主管部门</w:t>
            </w: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内蒙古自治区市场监督管理局部门</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right"/>
              <w:rPr>
                <w:rFonts w:hint="default"/>
                <w:color w:val="000000"/>
                <w:sz w:val="18"/>
                <w:szCs w:val="18"/>
              </w:rPr>
            </w:pPr>
            <w:r>
              <w:rPr>
                <w:color w:val="000000"/>
                <w:sz w:val="18"/>
                <w:szCs w:val="18"/>
              </w:rPr>
              <w:t>实施单位</w:t>
            </w: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内蒙古自治区特种设备检验研究院满洲里分院</w:t>
            </w:r>
          </w:p>
        </w:tc>
      </w:tr>
      <w:tr>
        <w:tblPrEx>
          <w:tblCellMar>
            <w:top w:w="0" w:type="dxa"/>
            <w:left w:w="108" w:type="dxa"/>
            <w:bottom w:w="0" w:type="dxa"/>
            <w:right w:w="108" w:type="dxa"/>
          </w:tblCellMar>
        </w:tblPrEx>
        <w:trPr>
          <w:trHeight w:val="379" w:hRule="atLeast"/>
        </w:trPr>
        <w:tc>
          <w:tcPr>
            <w:tcW w:w="0" w:type="auto"/>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项目资金</w:t>
            </w:r>
            <w:r>
              <w:rPr>
                <w:color w:val="000000"/>
                <w:sz w:val="18"/>
                <w:szCs w:val="18"/>
              </w:rPr>
              <w:br w:type="textWrapping"/>
            </w:r>
            <w:r>
              <w:rPr>
                <w:color w:val="000000"/>
                <w:sz w:val="18"/>
                <w:szCs w:val="18"/>
              </w:rPr>
              <w:t>（万元）</w:t>
            </w: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　</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年初预算数</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全年预算数</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全年执行数</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分值</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执行率（%）</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得分</w:t>
            </w:r>
          </w:p>
        </w:tc>
      </w:tr>
      <w:tr>
        <w:tblPrEx>
          <w:tblCellMar>
            <w:top w:w="0" w:type="dxa"/>
            <w:left w:w="108" w:type="dxa"/>
            <w:bottom w:w="0" w:type="dxa"/>
            <w:right w:w="108" w:type="dxa"/>
          </w:tblCellMar>
        </w:tblPrEx>
        <w:trPr>
          <w:trHeight w:val="379" w:hRule="atLeast"/>
        </w:trPr>
        <w:tc>
          <w:tcPr>
            <w:tcW w:w="0" w:type="auto"/>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年度资金总额</w:t>
            </w: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101.00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101.00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101.00</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100.00</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r>
      <w:tr>
        <w:tblPrEx>
          <w:tblCellMar>
            <w:top w:w="0" w:type="dxa"/>
            <w:left w:w="108" w:type="dxa"/>
            <w:bottom w:w="0" w:type="dxa"/>
            <w:right w:w="108" w:type="dxa"/>
          </w:tblCellMar>
        </w:tblPrEx>
        <w:trPr>
          <w:trHeight w:val="379" w:hRule="atLeast"/>
        </w:trPr>
        <w:tc>
          <w:tcPr>
            <w:tcW w:w="0" w:type="auto"/>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其中：财政拨款</w:t>
            </w: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101.00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101.00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101.00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ascii="Arial" w:hAnsi="Arial" w:cs="Arial"/>
                <w:color w:val="222222"/>
                <w:sz w:val="20"/>
                <w:szCs w:val="20"/>
              </w:rPr>
              <w:t>——</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r>
      <w:tr>
        <w:tblPrEx>
          <w:tblCellMar>
            <w:top w:w="0" w:type="dxa"/>
            <w:left w:w="108" w:type="dxa"/>
            <w:bottom w:w="0" w:type="dxa"/>
            <w:right w:w="108" w:type="dxa"/>
          </w:tblCellMar>
        </w:tblPrEx>
        <w:trPr>
          <w:trHeight w:val="379" w:hRule="atLeast"/>
        </w:trPr>
        <w:tc>
          <w:tcPr>
            <w:tcW w:w="0" w:type="auto"/>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上年结转资金</w:t>
            </w: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0.00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r>
      <w:tr>
        <w:tblPrEx>
          <w:tblCellMar>
            <w:top w:w="0" w:type="dxa"/>
            <w:left w:w="108" w:type="dxa"/>
            <w:bottom w:w="0" w:type="dxa"/>
            <w:right w:w="108" w:type="dxa"/>
          </w:tblCellMar>
        </w:tblPrEx>
        <w:trPr>
          <w:trHeight w:val="379" w:hRule="atLeast"/>
        </w:trPr>
        <w:tc>
          <w:tcPr>
            <w:tcW w:w="0" w:type="auto"/>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其他资金</w:t>
            </w: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0.00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c>
          <w:tcPr>
            <w:tcW w:w="0" w:type="auto"/>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w:t>
            </w:r>
          </w:p>
        </w:tc>
        <w:tc>
          <w:tcPr>
            <w:tcW w:w="0" w:type="auto"/>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r>
      <w:tr>
        <w:tblPrEx>
          <w:tblCellMar>
            <w:top w:w="0" w:type="dxa"/>
            <w:left w:w="108" w:type="dxa"/>
            <w:bottom w:w="0" w:type="dxa"/>
            <w:right w:w="108" w:type="dxa"/>
          </w:tblCellMar>
        </w:tblPrEx>
        <w:trPr>
          <w:trHeight w:val="379" w:hRule="atLeast"/>
        </w:trPr>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年度总体目标</w:t>
            </w:r>
          </w:p>
        </w:tc>
        <w:tc>
          <w:tcPr>
            <w:tcW w:w="0" w:type="auto"/>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预期目标</w:t>
            </w:r>
          </w:p>
        </w:tc>
        <w:tc>
          <w:tcPr>
            <w:tcW w:w="0" w:type="auto"/>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实际完成情况</w:t>
            </w:r>
          </w:p>
        </w:tc>
      </w:tr>
      <w:tr>
        <w:tblPrEx>
          <w:tblCellMar>
            <w:top w:w="0" w:type="dxa"/>
            <w:left w:w="108" w:type="dxa"/>
            <w:bottom w:w="0" w:type="dxa"/>
            <w:right w:w="108" w:type="dxa"/>
          </w:tblCellMar>
        </w:tblPrEx>
        <w:trPr>
          <w:trHeight w:val="1122" w:hRule="atLeast"/>
        </w:trPr>
        <w:tc>
          <w:tcPr>
            <w:tcW w:w="0" w:type="auto"/>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sz w:val="20"/>
                <w:szCs w:val="20"/>
              </w:rPr>
            </w:pPr>
          </w:p>
        </w:tc>
        <w:tc>
          <w:tcPr>
            <w:tcW w:w="0" w:type="auto"/>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保障全年各单位工资支出，包括职工基本工资、津贴补贴等保障工资及津贴足额并及时发放，保障在职职工正常权益的获得，保障各业务处室各项业务可以顺利开展。</w:t>
            </w:r>
          </w:p>
        </w:tc>
        <w:tc>
          <w:tcPr>
            <w:tcW w:w="0" w:type="auto"/>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本年收入101万元，全年实际支出101万元，支出率达到100%。严格执行相关政策，保障工资及时发放、足额发放，预算编制科学合理，减少结余资金。</w:t>
            </w:r>
          </w:p>
        </w:tc>
      </w:tr>
      <w:tr>
        <w:tblPrEx>
          <w:tblCellMar>
            <w:top w:w="0" w:type="dxa"/>
            <w:left w:w="108" w:type="dxa"/>
            <w:bottom w:w="0" w:type="dxa"/>
            <w:right w:w="108" w:type="dxa"/>
          </w:tblCellMar>
        </w:tblPrEx>
        <w:trPr>
          <w:trHeight w:val="379"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绩效指标</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一级指标</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二级指标</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三级指标</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指标性质</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指标方向</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年度指标值</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实际完成值</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计量单位</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分值</w:t>
            </w:r>
          </w:p>
        </w:tc>
        <w:tc>
          <w:tcPr>
            <w:tcW w:w="0" w:type="auto"/>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得分</w:t>
            </w:r>
          </w:p>
        </w:tc>
        <w:tc>
          <w:tcPr>
            <w:tcW w:w="0" w:type="auto"/>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偏差原因分析及改进措施</w:t>
            </w:r>
          </w:p>
        </w:tc>
      </w:tr>
      <w:tr>
        <w:tblPrEx>
          <w:tblCellMar>
            <w:top w:w="0" w:type="dxa"/>
            <w:left w:w="108" w:type="dxa"/>
            <w:bottom w:w="0" w:type="dxa"/>
            <w:right w:w="108" w:type="dxa"/>
          </w:tblCellMar>
        </w:tblPrEx>
        <w:trPr>
          <w:trHeight w:val="840" w:hRule="atLeast"/>
        </w:trPr>
        <w:tc>
          <w:tcPr>
            <w:tcW w:w="0" w:type="auto"/>
            <w:vMerge w:val="restart"/>
            <w:tcBorders>
              <w:top w:val="nil"/>
              <w:left w:val="single" w:color="auto" w:sz="4" w:space="0"/>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绩效指标</w:t>
            </w:r>
          </w:p>
        </w:tc>
        <w:tc>
          <w:tcPr>
            <w:tcW w:w="0" w:type="auto"/>
            <w:vMerge w:val="restart"/>
            <w:tcBorders>
              <w:top w:val="nil"/>
              <w:left w:val="single" w:color="auto" w:sz="4" w:space="0"/>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产出指标</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数量指标</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在职职工工资足额发放率</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等于</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20</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20</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20</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20</w:t>
            </w:r>
          </w:p>
        </w:tc>
        <w:tc>
          <w:tcPr>
            <w:tcW w:w="0" w:type="auto"/>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质量指标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补助资金支出及时率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时效指标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各项补贴发放及时率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成本指标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工资发放及时率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restart"/>
            <w:tcBorders>
              <w:top w:val="single" w:color="auto" w:sz="4" w:space="0"/>
              <w:left w:val="single" w:color="auto" w:sz="4" w:space="0"/>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效益指标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经济效益</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社保等资金缴纳及时率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continue"/>
            <w:tcBorders>
              <w:top w:val="single" w:color="auto" w:sz="4" w:space="0"/>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社会效益</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人员工资发放标准</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continue"/>
            <w:tcBorders>
              <w:top w:val="single" w:color="auto" w:sz="4" w:space="0"/>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生态效益</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单位成本降低率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小于等于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vMerge w:val="continue"/>
            <w:tcBorders>
              <w:top w:val="single" w:color="auto" w:sz="4" w:space="0"/>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可持续影响</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提升所属单位财务管理</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满意度指标</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服务对象满意度</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在职职工满意度</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0" w:type="auto"/>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0" w:type="auto"/>
            <w:gridSpan w:val="9"/>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总分</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w:t>
            </w:r>
          </w:p>
        </w:tc>
        <w:tc>
          <w:tcPr>
            <w:tcW w:w="0" w:type="auto"/>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bl>
    <w:p>
      <w:pPr>
        <w:widowControl w:val="0"/>
        <w:spacing w:before="189" w:line="204" w:lineRule="auto"/>
        <w:ind w:firstLine="644" w:firstLineChars="200"/>
        <w:jc w:val="both"/>
        <w:rPr>
          <w:rFonts w:hint="default" w:cs="仿宋"/>
          <w:spacing w:val="1"/>
          <w:sz w:val="32"/>
          <w:szCs w:val="32"/>
        </w:rPr>
      </w:pPr>
    </w:p>
    <w:p>
      <w:pPr>
        <w:widowControl w:val="0"/>
        <w:spacing w:before="189" w:line="204" w:lineRule="auto"/>
        <w:ind w:firstLine="644" w:firstLineChars="200"/>
        <w:jc w:val="both"/>
        <w:rPr>
          <w:rFonts w:hint="default" w:cs="仿宋"/>
          <w:spacing w:val="1"/>
          <w:sz w:val="32"/>
          <w:szCs w:val="32"/>
        </w:rPr>
      </w:pPr>
    </w:p>
    <w:tbl>
      <w:tblPr>
        <w:tblStyle w:val="13"/>
        <w:tblW w:w="5000" w:type="pct"/>
        <w:tblInd w:w="0" w:type="dxa"/>
        <w:tblLayout w:type="autofit"/>
        <w:tblCellMar>
          <w:top w:w="0" w:type="dxa"/>
          <w:left w:w="108" w:type="dxa"/>
          <w:bottom w:w="0" w:type="dxa"/>
          <w:right w:w="108" w:type="dxa"/>
        </w:tblCellMar>
      </w:tblPr>
      <w:tblGrid>
        <w:gridCol w:w="443"/>
        <w:gridCol w:w="457"/>
        <w:gridCol w:w="775"/>
        <w:gridCol w:w="944"/>
        <w:gridCol w:w="520"/>
        <w:gridCol w:w="522"/>
        <w:gridCol w:w="549"/>
        <w:gridCol w:w="758"/>
        <w:gridCol w:w="901"/>
        <w:gridCol w:w="664"/>
        <w:gridCol w:w="664"/>
        <w:gridCol w:w="1334"/>
      </w:tblGrid>
      <w:tr>
        <w:tblPrEx>
          <w:tblCellMar>
            <w:top w:w="0" w:type="dxa"/>
            <w:left w:w="108" w:type="dxa"/>
            <w:bottom w:w="0" w:type="dxa"/>
            <w:right w:w="108" w:type="dxa"/>
          </w:tblCellMar>
        </w:tblPrEx>
        <w:trPr>
          <w:trHeight w:val="960" w:hRule="atLeast"/>
        </w:trPr>
        <w:tc>
          <w:tcPr>
            <w:tcW w:w="5000" w:type="pct"/>
            <w:gridSpan w:val="1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b/>
                <w:bCs/>
                <w:color w:val="000000"/>
                <w:sz w:val="40"/>
                <w:szCs w:val="40"/>
              </w:rPr>
            </w:pPr>
            <w:r>
              <w:rPr>
                <w:b/>
                <w:bCs/>
                <w:color w:val="000000"/>
                <w:sz w:val="40"/>
                <w:szCs w:val="40"/>
              </w:rPr>
              <w:t>项目支出绩效自评表</w:t>
            </w:r>
            <w:r>
              <w:rPr>
                <w:b/>
                <w:bCs/>
                <w:color w:val="000000"/>
                <w:sz w:val="40"/>
                <w:szCs w:val="40"/>
              </w:rPr>
              <w:br w:type="textWrapping"/>
            </w:r>
            <w:r>
              <w:rPr>
                <w:b/>
                <w:bCs/>
                <w:color w:val="000000"/>
                <w:sz w:val="40"/>
                <w:szCs w:val="40"/>
              </w:rPr>
              <w:t>(2022年度）</w:t>
            </w:r>
          </w:p>
        </w:tc>
      </w:tr>
      <w:tr>
        <w:tblPrEx>
          <w:tblCellMar>
            <w:top w:w="0" w:type="dxa"/>
            <w:left w:w="108" w:type="dxa"/>
            <w:bottom w:w="0" w:type="dxa"/>
            <w:right w:w="108" w:type="dxa"/>
          </w:tblCellMar>
        </w:tblPrEx>
        <w:trPr>
          <w:trHeight w:val="379" w:hRule="atLeast"/>
        </w:trPr>
        <w:tc>
          <w:tcPr>
            <w:tcW w:w="52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color w:val="000000"/>
                <w:sz w:val="18"/>
                <w:szCs w:val="18"/>
              </w:rPr>
            </w:pPr>
            <w:r>
              <w:rPr>
                <w:color w:val="000000"/>
                <w:sz w:val="18"/>
                <w:szCs w:val="18"/>
              </w:rPr>
              <w:t>项目名称</w:t>
            </w:r>
          </w:p>
        </w:tc>
        <w:tc>
          <w:tcPr>
            <w:tcW w:w="4473" w:type="pct"/>
            <w:gridSpan w:val="10"/>
            <w:tcBorders>
              <w:top w:val="single" w:color="auto" w:sz="4" w:space="0"/>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锅炉压力容器与特种设备安全监管</w:t>
            </w:r>
          </w:p>
        </w:tc>
      </w:tr>
      <w:tr>
        <w:tblPrEx>
          <w:tblCellMar>
            <w:top w:w="0" w:type="dxa"/>
            <w:left w:w="108" w:type="dxa"/>
            <w:bottom w:w="0" w:type="dxa"/>
            <w:right w:w="108" w:type="dxa"/>
          </w:tblCellMar>
        </w:tblPrEx>
        <w:trPr>
          <w:trHeight w:val="379" w:hRule="atLeast"/>
        </w:trPr>
        <w:tc>
          <w:tcPr>
            <w:tcW w:w="52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hint="default"/>
                <w:color w:val="000000"/>
                <w:sz w:val="18"/>
                <w:szCs w:val="18"/>
              </w:rPr>
            </w:pPr>
            <w:r>
              <w:rPr>
                <w:color w:val="000000"/>
                <w:sz w:val="18"/>
                <w:szCs w:val="18"/>
              </w:rPr>
              <w:t>主管部门</w:t>
            </w:r>
          </w:p>
        </w:tc>
        <w:tc>
          <w:tcPr>
            <w:tcW w:w="1618" w:type="pct"/>
            <w:gridSpan w:val="4"/>
            <w:tcBorders>
              <w:top w:val="single" w:color="auto" w:sz="4" w:space="0"/>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内蒙古自治区市场监督管理局部门</w:t>
            </w:r>
          </w:p>
        </w:tc>
        <w:tc>
          <w:tcPr>
            <w:tcW w:w="766" w:type="pct"/>
            <w:gridSpan w:val="2"/>
            <w:tcBorders>
              <w:top w:val="single" w:color="auto" w:sz="4" w:space="0"/>
              <w:left w:val="nil"/>
              <w:bottom w:val="single" w:color="auto" w:sz="4" w:space="0"/>
              <w:right w:val="single" w:color="auto" w:sz="4" w:space="0"/>
            </w:tcBorders>
            <w:shd w:val="clear" w:color="auto" w:fill="auto"/>
            <w:vAlign w:val="center"/>
          </w:tcPr>
          <w:p>
            <w:pPr>
              <w:jc w:val="right"/>
              <w:rPr>
                <w:rFonts w:hint="default"/>
                <w:color w:val="000000"/>
                <w:sz w:val="18"/>
                <w:szCs w:val="18"/>
              </w:rPr>
            </w:pPr>
            <w:r>
              <w:rPr>
                <w:color w:val="000000"/>
                <w:sz w:val="18"/>
                <w:szCs w:val="18"/>
              </w:rPr>
              <w:t>实施单位</w:t>
            </w:r>
          </w:p>
        </w:tc>
        <w:tc>
          <w:tcPr>
            <w:tcW w:w="2089" w:type="pct"/>
            <w:gridSpan w:val="4"/>
            <w:tcBorders>
              <w:top w:val="single" w:color="auto" w:sz="4" w:space="0"/>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内蒙古自治区特种设备检验研究院满洲里分院</w:t>
            </w:r>
          </w:p>
        </w:tc>
      </w:tr>
      <w:tr>
        <w:tblPrEx>
          <w:tblCellMar>
            <w:top w:w="0" w:type="dxa"/>
            <w:left w:w="108" w:type="dxa"/>
            <w:bottom w:w="0" w:type="dxa"/>
            <w:right w:w="108" w:type="dxa"/>
          </w:tblCellMar>
        </w:tblPrEx>
        <w:trPr>
          <w:trHeight w:val="379" w:hRule="atLeast"/>
        </w:trPr>
        <w:tc>
          <w:tcPr>
            <w:tcW w:w="527" w:type="pct"/>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项目资金</w:t>
            </w:r>
            <w:r>
              <w:rPr>
                <w:color w:val="000000"/>
                <w:sz w:val="18"/>
                <w:szCs w:val="18"/>
              </w:rPr>
              <w:br w:type="textWrapping"/>
            </w:r>
            <w:r>
              <w:rPr>
                <w:color w:val="000000"/>
                <w:sz w:val="18"/>
                <w:szCs w:val="18"/>
              </w:rPr>
              <w:t>（万元）</w:t>
            </w:r>
          </w:p>
        </w:tc>
        <w:tc>
          <w:tcPr>
            <w:tcW w:w="454"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　</w:t>
            </w:r>
          </w:p>
        </w:tc>
        <w:tc>
          <w:tcPr>
            <w:tcW w:w="553"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年初预算数</w:t>
            </w:r>
          </w:p>
        </w:tc>
        <w:tc>
          <w:tcPr>
            <w:tcW w:w="610"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全年预算数</w:t>
            </w:r>
          </w:p>
        </w:tc>
        <w:tc>
          <w:tcPr>
            <w:tcW w:w="76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全年执行数</w:t>
            </w:r>
          </w:p>
        </w:tc>
        <w:tc>
          <w:tcPr>
            <w:tcW w:w="527"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分值</w:t>
            </w:r>
          </w:p>
        </w:tc>
        <w:tc>
          <w:tcPr>
            <w:tcW w:w="77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执行率（%）</w:t>
            </w:r>
          </w:p>
        </w:tc>
        <w:tc>
          <w:tcPr>
            <w:tcW w:w="78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得分</w:t>
            </w:r>
          </w:p>
        </w:tc>
      </w:tr>
      <w:tr>
        <w:tblPrEx>
          <w:tblCellMar>
            <w:top w:w="0" w:type="dxa"/>
            <w:left w:w="108" w:type="dxa"/>
            <w:bottom w:w="0" w:type="dxa"/>
            <w:right w:w="108" w:type="dxa"/>
          </w:tblCellMar>
        </w:tblPrEx>
        <w:trPr>
          <w:trHeight w:val="379" w:hRule="atLeast"/>
        </w:trPr>
        <w:tc>
          <w:tcPr>
            <w:tcW w:w="527" w:type="pct"/>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45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年度资金总额</w:t>
            </w:r>
          </w:p>
        </w:tc>
        <w:tc>
          <w:tcPr>
            <w:tcW w:w="553"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270.00</w:t>
            </w:r>
          </w:p>
        </w:tc>
        <w:tc>
          <w:tcPr>
            <w:tcW w:w="610"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270.00</w:t>
            </w:r>
          </w:p>
        </w:tc>
        <w:tc>
          <w:tcPr>
            <w:tcW w:w="76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270.00</w:t>
            </w:r>
          </w:p>
        </w:tc>
        <w:tc>
          <w:tcPr>
            <w:tcW w:w="527"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77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100.00</w:t>
            </w:r>
          </w:p>
        </w:tc>
        <w:tc>
          <w:tcPr>
            <w:tcW w:w="78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r>
      <w:tr>
        <w:tblPrEx>
          <w:tblCellMar>
            <w:top w:w="0" w:type="dxa"/>
            <w:left w:w="108" w:type="dxa"/>
            <w:bottom w:w="0" w:type="dxa"/>
            <w:right w:w="108" w:type="dxa"/>
          </w:tblCellMar>
        </w:tblPrEx>
        <w:trPr>
          <w:trHeight w:val="379" w:hRule="atLeast"/>
        </w:trPr>
        <w:tc>
          <w:tcPr>
            <w:tcW w:w="527" w:type="pct"/>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454"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其中：财政拨款</w:t>
            </w:r>
          </w:p>
        </w:tc>
        <w:tc>
          <w:tcPr>
            <w:tcW w:w="553"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270.00</w:t>
            </w:r>
          </w:p>
        </w:tc>
        <w:tc>
          <w:tcPr>
            <w:tcW w:w="610"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270.00</w:t>
            </w:r>
          </w:p>
        </w:tc>
        <w:tc>
          <w:tcPr>
            <w:tcW w:w="76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270.00</w:t>
            </w:r>
          </w:p>
        </w:tc>
        <w:tc>
          <w:tcPr>
            <w:tcW w:w="527"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c>
          <w:tcPr>
            <w:tcW w:w="77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100.00</w:t>
            </w:r>
          </w:p>
        </w:tc>
        <w:tc>
          <w:tcPr>
            <w:tcW w:w="78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r>
      <w:tr>
        <w:tblPrEx>
          <w:tblCellMar>
            <w:top w:w="0" w:type="dxa"/>
            <w:left w:w="108" w:type="dxa"/>
            <w:bottom w:w="0" w:type="dxa"/>
            <w:right w:w="108" w:type="dxa"/>
          </w:tblCellMar>
        </w:tblPrEx>
        <w:trPr>
          <w:trHeight w:val="379" w:hRule="atLeast"/>
        </w:trPr>
        <w:tc>
          <w:tcPr>
            <w:tcW w:w="527" w:type="pct"/>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45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上年结转资金</w:t>
            </w:r>
          </w:p>
        </w:tc>
        <w:tc>
          <w:tcPr>
            <w:tcW w:w="553"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0.00</w:t>
            </w:r>
          </w:p>
        </w:tc>
        <w:tc>
          <w:tcPr>
            <w:tcW w:w="610"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76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527"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c>
          <w:tcPr>
            <w:tcW w:w="77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w:t>
            </w:r>
          </w:p>
        </w:tc>
        <w:tc>
          <w:tcPr>
            <w:tcW w:w="78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r>
      <w:tr>
        <w:tblPrEx>
          <w:tblCellMar>
            <w:top w:w="0" w:type="dxa"/>
            <w:left w:w="108" w:type="dxa"/>
            <w:bottom w:w="0" w:type="dxa"/>
            <w:right w:w="108" w:type="dxa"/>
          </w:tblCellMar>
        </w:tblPrEx>
        <w:trPr>
          <w:trHeight w:val="379" w:hRule="atLeast"/>
        </w:trPr>
        <w:tc>
          <w:tcPr>
            <w:tcW w:w="527" w:type="pct"/>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rPr>
                <w:rFonts w:hint="default" w:ascii="Times New Roman" w:hAnsi="Times New Roman"/>
                <w:sz w:val="20"/>
                <w:szCs w:val="20"/>
              </w:rPr>
            </w:pPr>
          </w:p>
        </w:tc>
        <w:tc>
          <w:tcPr>
            <w:tcW w:w="45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其他资金</w:t>
            </w:r>
          </w:p>
        </w:tc>
        <w:tc>
          <w:tcPr>
            <w:tcW w:w="553"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0.00</w:t>
            </w:r>
          </w:p>
        </w:tc>
        <w:tc>
          <w:tcPr>
            <w:tcW w:w="610"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76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0.00</w:t>
            </w:r>
          </w:p>
        </w:tc>
        <w:tc>
          <w:tcPr>
            <w:tcW w:w="527"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c>
          <w:tcPr>
            <w:tcW w:w="77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0</w:t>
            </w:r>
          </w:p>
        </w:tc>
        <w:tc>
          <w:tcPr>
            <w:tcW w:w="78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222222"/>
                <w:sz w:val="20"/>
                <w:szCs w:val="20"/>
              </w:rPr>
            </w:pPr>
            <w:r>
              <w:rPr>
                <w:rFonts w:hint="default" w:ascii="Arial" w:hAnsi="Arial" w:cs="Arial"/>
                <w:color w:val="222222"/>
                <w:sz w:val="20"/>
                <w:szCs w:val="20"/>
              </w:rPr>
              <w:t>——</w:t>
            </w:r>
          </w:p>
        </w:tc>
      </w:tr>
      <w:tr>
        <w:tblPrEx>
          <w:tblCellMar>
            <w:top w:w="0" w:type="dxa"/>
            <w:left w:w="108" w:type="dxa"/>
            <w:bottom w:w="0" w:type="dxa"/>
            <w:right w:w="108" w:type="dxa"/>
          </w:tblCellMar>
        </w:tblPrEx>
        <w:trPr>
          <w:trHeight w:val="379" w:hRule="atLeast"/>
        </w:trPr>
        <w:tc>
          <w:tcPr>
            <w:tcW w:w="527"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年度总体目标</w:t>
            </w:r>
          </w:p>
        </w:tc>
        <w:tc>
          <w:tcPr>
            <w:tcW w:w="1939" w:type="pct"/>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预期目标</w:t>
            </w:r>
          </w:p>
        </w:tc>
        <w:tc>
          <w:tcPr>
            <w:tcW w:w="2532" w:type="pct"/>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实际完成情况</w:t>
            </w:r>
          </w:p>
        </w:tc>
      </w:tr>
      <w:tr>
        <w:tblPrEx>
          <w:tblCellMar>
            <w:top w:w="0" w:type="dxa"/>
            <w:left w:w="108" w:type="dxa"/>
            <w:bottom w:w="0" w:type="dxa"/>
            <w:right w:w="108" w:type="dxa"/>
          </w:tblCellMar>
        </w:tblPrEx>
        <w:trPr>
          <w:trHeight w:val="1122" w:hRule="atLeast"/>
        </w:trPr>
        <w:tc>
          <w:tcPr>
            <w:tcW w:w="527"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sz w:val="20"/>
                <w:szCs w:val="20"/>
              </w:rPr>
            </w:pPr>
          </w:p>
        </w:tc>
        <w:tc>
          <w:tcPr>
            <w:tcW w:w="1939" w:type="pct"/>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锅炉压力容器与特种设备安全监管经费，主要用于加强单位建设，确保机构正常运转，不断提升机构的服务能力，确保特种设备检验检测工作圆满完成。</w:t>
            </w:r>
          </w:p>
        </w:tc>
        <w:tc>
          <w:tcPr>
            <w:tcW w:w="2532" w:type="pct"/>
            <w:gridSpan w:val="5"/>
            <w:tcBorders>
              <w:top w:val="single" w:color="auto" w:sz="4" w:space="0"/>
              <w:left w:val="nil"/>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累计检验各类特种设备2164台.件（锅炉131台、压力容器526台、起重机械190台、电梯1041台、厂车276台），安全附件711只，检验各类气瓶2.2万只，业务总收入670万元。检出不符合项291项；配合市局监察专项类检查52人次；提交特设整改通知书67份，确保辖区在用特种设备安全运行。</w:t>
            </w:r>
          </w:p>
        </w:tc>
      </w:tr>
      <w:tr>
        <w:tblPrEx>
          <w:tblCellMar>
            <w:top w:w="0" w:type="dxa"/>
            <w:left w:w="108" w:type="dxa"/>
            <w:bottom w:w="0" w:type="dxa"/>
            <w:right w:w="108" w:type="dxa"/>
          </w:tblCellMar>
        </w:tblPrEx>
        <w:trPr>
          <w:trHeight w:val="379" w:hRule="atLeast"/>
        </w:trPr>
        <w:tc>
          <w:tcPr>
            <w:tcW w:w="260" w:type="pct"/>
            <w:tcBorders>
              <w:top w:val="nil"/>
              <w:left w:val="single" w:color="auto" w:sz="4" w:space="0"/>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绩效指标</w:t>
            </w:r>
          </w:p>
        </w:tc>
        <w:tc>
          <w:tcPr>
            <w:tcW w:w="268"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一级指标</w:t>
            </w:r>
          </w:p>
        </w:tc>
        <w:tc>
          <w:tcPr>
            <w:tcW w:w="45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二级指标</w:t>
            </w:r>
          </w:p>
        </w:tc>
        <w:tc>
          <w:tcPr>
            <w:tcW w:w="553"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三级指标</w:t>
            </w:r>
          </w:p>
        </w:tc>
        <w:tc>
          <w:tcPr>
            <w:tcW w:w="305"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指标性质</w:t>
            </w:r>
          </w:p>
        </w:tc>
        <w:tc>
          <w:tcPr>
            <w:tcW w:w="305"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指标方向</w:t>
            </w:r>
          </w:p>
        </w:tc>
        <w:tc>
          <w:tcPr>
            <w:tcW w:w="322"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年度指标值</w:t>
            </w:r>
          </w:p>
        </w:tc>
        <w:tc>
          <w:tcPr>
            <w:tcW w:w="444"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实际完成值</w:t>
            </w:r>
          </w:p>
        </w:tc>
        <w:tc>
          <w:tcPr>
            <w:tcW w:w="527"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计量单位</w:t>
            </w:r>
          </w:p>
        </w:tc>
        <w:tc>
          <w:tcPr>
            <w:tcW w:w="389"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分值</w:t>
            </w:r>
          </w:p>
        </w:tc>
        <w:tc>
          <w:tcPr>
            <w:tcW w:w="389" w:type="pct"/>
            <w:tcBorders>
              <w:top w:val="nil"/>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得分</w:t>
            </w:r>
          </w:p>
        </w:tc>
        <w:tc>
          <w:tcPr>
            <w:tcW w:w="784" w:type="pct"/>
            <w:tcBorders>
              <w:top w:val="nil"/>
              <w:left w:val="nil"/>
              <w:bottom w:val="single" w:color="auto" w:sz="4" w:space="0"/>
              <w:right w:val="single" w:color="auto" w:sz="4" w:space="0"/>
            </w:tcBorders>
            <w:shd w:val="clear" w:color="auto" w:fill="auto"/>
            <w:vAlign w:val="center"/>
          </w:tcPr>
          <w:p>
            <w:pPr>
              <w:rPr>
                <w:rFonts w:hint="default"/>
                <w:color w:val="000000"/>
                <w:sz w:val="18"/>
                <w:szCs w:val="18"/>
              </w:rPr>
            </w:pPr>
            <w:r>
              <w:rPr>
                <w:color w:val="000000"/>
                <w:sz w:val="18"/>
                <w:szCs w:val="18"/>
              </w:rPr>
              <w:t>偏差原因分析及改进措施</w:t>
            </w:r>
          </w:p>
        </w:tc>
      </w:tr>
      <w:tr>
        <w:tblPrEx>
          <w:tblCellMar>
            <w:top w:w="0" w:type="dxa"/>
            <w:left w:w="108" w:type="dxa"/>
            <w:bottom w:w="0" w:type="dxa"/>
            <w:right w:w="108" w:type="dxa"/>
          </w:tblCellMar>
        </w:tblPrEx>
        <w:trPr>
          <w:trHeight w:val="840" w:hRule="atLeast"/>
        </w:trPr>
        <w:tc>
          <w:tcPr>
            <w:tcW w:w="260" w:type="pct"/>
            <w:vMerge w:val="restart"/>
            <w:tcBorders>
              <w:top w:val="nil"/>
              <w:left w:val="single" w:color="auto" w:sz="4" w:space="0"/>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绩效指标</w:t>
            </w:r>
          </w:p>
        </w:tc>
        <w:tc>
          <w:tcPr>
            <w:tcW w:w="268"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产出指标</w:t>
            </w:r>
          </w:p>
        </w:tc>
        <w:tc>
          <w:tcPr>
            <w:tcW w:w="454"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数量指标</w:t>
            </w:r>
          </w:p>
        </w:tc>
        <w:tc>
          <w:tcPr>
            <w:tcW w:w="553"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数量指标</w:t>
            </w:r>
          </w:p>
        </w:tc>
        <w:tc>
          <w:tcPr>
            <w:tcW w:w="305"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305"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w:t>
            </w:r>
          </w:p>
        </w:tc>
        <w:tc>
          <w:tcPr>
            <w:tcW w:w="322"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50</w:t>
            </w:r>
          </w:p>
        </w:tc>
        <w:tc>
          <w:tcPr>
            <w:tcW w:w="444"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50</w:t>
            </w:r>
          </w:p>
        </w:tc>
        <w:tc>
          <w:tcPr>
            <w:tcW w:w="527"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389"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50</w:t>
            </w:r>
          </w:p>
        </w:tc>
        <w:tc>
          <w:tcPr>
            <w:tcW w:w="389"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50</w:t>
            </w:r>
          </w:p>
        </w:tc>
        <w:tc>
          <w:tcPr>
            <w:tcW w:w="784" w:type="pct"/>
            <w:tcBorders>
              <w:top w:val="nil"/>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260" w:type="pct"/>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268"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效益指标</w:t>
            </w:r>
          </w:p>
        </w:tc>
        <w:tc>
          <w:tcPr>
            <w:tcW w:w="454"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经济效益</w:t>
            </w:r>
          </w:p>
        </w:tc>
        <w:tc>
          <w:tcPr>
            <w:tcW w:w="553"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经济效益</w:t>
            </w:r>
          </w:p>
        </w:tc>
        <w:tc>
          <w:tcPr>
            <w:tcW w:w="305"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305"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322"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30</w:t>
            </w:r>
          </w:p>
        </w:tc>
        <w:tc>
          <w:tcPr>
            <w:tcW w:w="444"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30</w:t>
            </w:r>
          </w:p>
        </w:tc>
        <w:tc>
          <w:tcPr>
            <w:tcW w:w="527"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389"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30</w:t>
            </w:r>
          </w:p>
        </w:tc>
        <w:tc>
          <w:tcPr>
            <w:tcW w:w="389"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30</w:t>
            </w:r>
          </w:p>
        </w:tc>
        <w:tc>
          <w:tcPr>
            <w:tcW w:w="784"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260" w:type="pct"/>
            <w:vMerge w:val="continue"/>
            <w:tcBorders>
              <w:top w:val="nil"/>
              <w:left w:val="single" w:color="auto" w:sz="4" w:space="0"/>
              <w:bottom w:val="nil"/>
              <w:right w:val="single" w:color="auto" w:sz="4" w:space="0"/>
            </w:tcBorders>
            <w:shd w:val="clear" w:color="auto" w:fill="auto"/>
            <w:vAlign w:val="center"/>
          </w:tcPr>
          <w:p>
            <w:pPr>
              <w:rPr>
                <w:rFonts w:hint="default" w:ascii="Times New Roman" w:hAnsi="Times New Roman"/>
                <w:sz w:val="20"/>
                <w:szCs w:val="20"/>
              </w:rPr>
            </w:pPr>
          </w:p>
        </w:tc>
        <w:tc>
          <w:tcPr>
            <w:tcW w:w="268"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满意度指标</w:t>
            </w:r>
          </w:p>
        </w:tc>
        <w:tc>
          <w:tcPr>
            <w:tcW w:w="454"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服务对象满意度</w:t>
            </w:r>
          </w:p>
        </w:tc>
        <w:tc>
          <w:tcPr>
            <w:tcW w:w="553"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服务对象满意度</w:t>
            </w:r>
          </w:p>
        </w:tc>
        <w:tc>
          <w:tcPr>
            <w:tcW w:w="305"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正向</w:t>
            </w:r>
          </w:p>
        </w:tc>
        <w:tc>
          <w:tcPr>
            <w:tcW w:w="305"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大于等于</w:t>
            </w:r>
          </w:p>
        </w:tc>
        <w:tc>
          <w:tcPr>
            <w:tcW w:w="322"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444"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527"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w:t>
            </w:r>
          </w:p>
        </w:tc>
        <w:tc>
          <w:tcPr>
            <w:tcW w:w="389"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389"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10</w:t>
            </w:r>
          </w:p>
        </w:tc>
        <w:tc>
          <w:tcPr>
            <w:tcW w:w="784" w:type="pct"/>
            <w:tcBorders>
              <w:top w:val="single" w:color="auto" w:sz="4" w:space="0"/>
              <w:left w:val="nil"/>
              <w:bottom w:val="nil"/>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r>
        <w:tblPrEx>
          <w:tblCellMar>
            <w:top w:w="0" w:type="dxa"/>
            <w:left w:w="108" w:type="dxa"/>
            <w:bottom w:w="0" w:type="dxa"/>
            <w:right w:w="108" w:type="dxa"/>
          </w:tblCellMar>
        </w:tblPrEx>
        <w:trPr>
          <w:trHeight w:val="840" w:hRule="atLeast"/>
        </w:trPr>
        <w:tc>
          <w:tcPr>
            <w:tcW w:w="3439" w:type="pct"/>
            <w:gridSpan w:val="9"/>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default"/>
                <w:color w:val="000000"/>
                <w:sz w:val="18"/>
                <w:szCs w:val="18"/>
              </w:rPr>
            </w:pPr>
            <w:r>
              <w:rPr>
                <w:color w:val="000000"/>
                <w:sz w:val="18"/>
                <w:szCs w:val="18"/>
              </w:rPr>
              <w:t>总分</w:t>
            </w:r>
          </w:p>
        </w:tc>
        <w:tc>
          <w:tcPr>
            <w:tcW w:w="389"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w:t>
            </w:r>
          </w:p>
        </w:tc>
        <w:tc>
          <w:tcPr>
            <w:tcW w:w="389"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100</w:t>
            </w:r>
          </w:p>
        </w:tc>
        <w:tc>
          <w:tcPr>
            <w:tcW w:w="784"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color w:val="000000"/>
                <w:sz w:val="18"/>
                <w:szCs w:val="18"/>
              </w:rPr>
            </w:pPr>
            <w:r>
              <w:rPr>
                <w:color w:val="000000"/>
                <w:sz w:val="18"/>
                <w:szCs w:val="18"/>
              </w:rPr>
              <w:t>　</w:t>
            </w:r>
          </w:p>
        </w:tc>
      </w:tr>
    </w:tbl>
    <w:p>
      <w:pPr>
        <w:widowControl w:val="0"/>
        <w:spacing w:before="189" w:line="204" w:lineRule="auto"/>
        <w:ind w:firstLine="644" w:firstLineChars="200"/>
        <w:jc w:val="both"/>
        <w:rPr>
          <w:rFonts w:hint="default" w:cs="仿宋"/>
          <w:spacing w:val="1"/>
          <w:sz w:val="32"/>
          <w:szCs w:val="32"/>
        </w:rPr>
      </w:pPr>
    </w:p>
    <w:p>
      <w:pPr>
        <w:spacing w:beforeAutospacing="1" w:afterAutospacing="1" w:line="560" w:lineRule="atLeast"/>
        <w:ind w:firstLine="640"/>
        <w:jc w:val="both"/>
        <w:rPr>
          <w:rFonts w:hint="default"/>
          <w:sz w:val="32"/>
          <w:szCs w:val="32"/>
        </w:rPr>
      </w:pPr>
    </w:p>
    <w:p>
      <w:pPr>
        <w:spacing w:beforeAutospacing="1" w:afterAutospacing="1"/>
        <w:ind w:firstLine="643"/>
        <w:jc w:val="both"/>
        <w:rPr>
          <w:rFonts w:hint="default"/>
          <w:sz w:val="32"/>
          <w:szCs w:val="32"/>
        </w:rPr>
      </w:pPr>
      <w:r>
        <w:rPr>
          <w:b/>
          <w:bCs/>
          <w:sz w:val="32"/>
          <w:szCs w:val="32"/>
        </w:rPr>
        <w:t>（三）单位项目绩效评价结果。</w:t>
      </w:r>
    </w:p>
    <w:p>
      <w:pPr>
        <w:spacing w:beforeAutospacing="1" w:afterAutospacing="1" w:line="560" w:lineRule="atLeast"/>
        <w:ind w:firstLine="640"/>
        <w:jc w:val="both"/>
        <w:rPr>
          <w:rFonts w:hint="default"/>
          <w:sz w:val="32"/>
          <w:szCs w:val="32"/>
        </w:rPr>
      </w:pPr>
      <w:r>
        <w:rPr>
          <w:sz w:val="32"/>
          <w:szCs w:val="32"/>
        </w:rPr>
        <w:t>我院作为内蒙古自治区特种设备检验研究院分支机构，由总院进行部门评价，评价内容及结果等情况详见内蒙古自治区特种设备检验研究院决算公开。</w:t>
      </w:r>
    </w:p>
    <w:p>
      <w:pPr>
        <w:spacing w:beforeAutospacing="1" w:afterAutospacing="1" w:line="560" w:lineRule="atLeast"/>
        <w:ind w:firstLine="640"/>
        <w:jc w:val="both"/>
        <w:rPr>
          <w:rFonts w:hint="default"/>
          <w:sz w:val="32"/>
          <w:szCs w:val="32"/>
        </w:rPr>
      </w:pPr>
    </w:p>
    <w:p>
      <w:pPr>
        <w:pStyle w:val="3"/>
        <w:keepNext/>
        <w:spacing w:line="360" w:lineRule="auto"/>
        <w:jc w:val="center"/>
        <w:rPr>
          <w:rFonts w:hint="default"/>
          <w:sz w:val="32"/>
          <w:szCs w:val="32"/>
        </w:rPr>
      </w:pPr>
      <w:r>
        <w:rPr>
          <w:sz w:val="32"/>
          <w:szCs w:val="32"/>
        </w:rPr>
        <w:t>第三部分名词解释</w:t>
      </w:r>
    </w:p>
    <w:p>
      <w:pPr>
        <w:spacing w:beforeAutospacing="1" w:afterAutospacing="1" w:line="560" w:lineRule="atLeast"/>
        <w:ind w:firstLine="643"/>
        <w:jc w:val="both"/>
        <w:rPr>
          <w:rFonts w:hint="default"/>
          <w:sz w:val="32"/>
          <w:szCs w:val="32"/>
        </w:rPr>
      </w:pPr>
      <w:r>
        <w:rPr>
          <w:b/>
          <w:bCs/>
          <w:sz w:val="32"/>
          <w:szCs w:val="32"/>
        </w:rPr>
        <w:t>一、财政拨款收入：</w:t>
      </w:r>
      <w:r>
        <w:rPr>
          <w:sz w:val="32"/>
          <w:szCs w:val="32"/>
        </w:rPr>
        <w:t>从同级财政部门取得的各类财政拨款，包括一般公共预算财政拨款、政府性基金预算财政拨款、国有资本经营预算财政拨款。</w:t>
      </w:r>
    </w:p>
    <w:p>
      <w:pPr>
        <w:spacing w:beforeAutospacing="1" w:afterAutospacing="1" w:line="560" w:lineRule="atLeast"/>
        <w:ind w:firstLine="643"/>
        <w:jc w:val="both"/>
        <w:rPr>
          <w:rFonts w:hint="default"/>
          <w:sz w:val="32"/>
          <w:szCs w:val="32"/>
        </w:rPr>
      </w:pPr>
      <w:r>
        <w:rPr>
          <w:b/>
          <w:bCs/>
          <w:sz w:val="32"/>
          <w:szCs w:val="32"/>
        </w:rPr>
        <w:t>二、上级补助收入：</w:t>
      </w:r>
      <w:r>
        <w:rPr>
          <w:sz w:val="32"/>
          <w:szCs w:val="32"/>
        </w:rPr>
        <w:t>指事业单位从主管部门和上级单位取得的非财政补助收入。</w:t>
      </w:r>
    </w:p>
    <w:p>
      <w:pPr>
        <w:spacing w:beforeAutospacing="1" w:afterAutospacing="1" w:line="560" w:lineRule="atLeast"/>
        <w:ind w:firstLine="643"/>
        <w:jc w:val="both"/>
        <w:rPr>
          <w:rFonts w:hint="default"/>
          <w:sz w:val="32"/>
          <w:szCs w:val="32"/>
        </w:rPr>
      </w:pPr>
      <w:r>
        <w:rPr>
          <w:b/>
          <w:bCs/>
          <w:sz w:val="32"/>
          <w:szCs w:val="32"/>
        </w:rPr>
        <w:t>三、财政专户管理教育收费：</w:t>
      </w:r>
      <w:r>
        <w:rPr>
          <w:sz w:val="32"/>
          <w:szCs w:val="32"/>
        </w:rPr>
        <w:t>指缴入财政专户、实行专项管理的高中以上学费、住宿费、高校委托培养费、函大、电大、夜大及短训班培训费等教育收费。</w:t>
      </w:r>
    </w:p>
    <w:p>
      <w:pPr>
        <w:spacing w:beforeAutospacing="1" w:afterAutospacing="1" w:line="560" w:lineRule="atLeast"/>
        <w:ind w:firstLine="643"/>
        <w:jc w:val="both"/>
        <w:rPr>
          <w:rFonts w:hint="default"/>
          <w:sz w:val="32"/>
          <w:szCs w:val="32"/>
        </w:rPr>
      </w:pPr>
      <w:r>
        <w:rPr>
          <w:b/>
          <w:bCs/>
          <w:sz w:val="32"/>
          <w:szCs w:val="32"/>
        </w:rPr>
        <w:t>四、事业收入：</w:t>
      </w:r>
      <w:r>
        <w:rPr>
          <w:sz w:val="32"/>
          <w:szCs w:val="32"/>
        </w:rPr>
        <w:t>指事业单位开展专业业务活动及其辅助活动取得的收入。</w:t>
      </w:r>
    </w:p>
    <w:p>
      <w:pPr>
        <w:spacing w:beforeAutospacing="1" w:afterAutospacing="1" w:line="560" w:lineRule="atLeast"/>
        <w:ind w:firstLine="643"/>
        <w:jc w:val="both"/>
        <w:rPr>
          <w:rFonts w:hint="default"/>
          <w:sz w:val="32"/>
          <w:szCs w:val="32"/>
        </w:rPr>
      </w:pPr>
      <w:r>
        <w:rPr>
          <w:b/>
          <w:bCs/>
          <w:sz w:val="32"/>
          <w:szCs w:val="32"/>
        </w:rPr>
        <w:t>五、经营收入：</w:t>
      </w:r>
      <w:r>
        <w:rPr>
          <w:sz w:val="32"/>
          <w:szCs w:val="32"/>
        </w:rPr>
        <w:t>指事业单位在专业业务活动及其辅助活动之外开展非独立核算经营活动取得的收入。</w:t>
      </w:r>
    </w:p>
    <w:p>
      <w:pPr>
        <w:spacing w:beforeAutospacing="1" w:afterAutospacing="1" w:line="560" w:lineRule="atLeast"/>
        <w:ind w:firstLine="643"/>
        <w:jc w:val="both"/>
        <w:rPr>
          <w:rFonts w:hint="default"/>
          <w:sz w:val="32"/>
          <w:szCs w:val="32"/>
        </w:rPr>
      </w:pPr>
      <w:r>
        <w:rPr>
          <w:b/>
          <w:bCs/>
          <w:sz w:val="32"/>
          <w:szCs w:val="32"/>
        </w:rPr>
        <w:t>六、附属单位上缴收入：</w:t>
      </w:r>
      <w:r>
        <w:rPr>
          <w:sz w:val="32"/>
          <w:szCs w:val="32"/>
        </w:rPr>
        <w:t>指事业单位附属独立核算单位按照有关规定上缴的收入。</w:t>
      </w:r>
    </w:p>
    <w:p>
      <w:pPr>
        <w:spacing w:beforeAutospacing="1" w:afterAutospacing="1" w:line="560" w:lineRule="atLeast"/>
        <w:ind w:firstLine="643"/>
        <w:jc w:val="both"/>
        <w:rPr>
          <w:rFonts w:hint="default"/>
          <w:sz w:val="32"/>
          <w:szCs w:val="32"/>
        </w:rPr>
      </w:pPr>
      <w:r>
        <w:rPr>
          <w:b/>
          <w:bCs/>
          <w:sz w:val="32"/>
          <w:szCs w:val="32"/>
        </w:rPr>
        <w:t>七、其他收入：</w:t>
      </w:r>
      <w:r>
        <w:rPr>
          <w:sz w:val="32"/>
          <w:szCs w:val="32"/>
        </w:rPr>
        <w:t>取得的除上述“财政拨款收入”、“上级补助收入”、“事业收入”、“经营收入”、“附属单位上缴收入”等以外的各项收入。</w:t>
      </w:r>
    </w:p>
    <w:p>
      <w:pPr>
        <w:spacing w:beforeAutospacing="1" w:afterAutospacing="1" w:line="560" w:lineRule="atLeast"/>
        <w:ind w:firstLine="643"/>
        <w:jc w:val="both"/>
        <w:rPr>
          <w:rFonts w:hint="default"/>
          <w:sz w:val="32"/>
          <w:szCs w:val="32"/>
        </w:rPr>
      </w:pPr>
      <w:r>
        <w:rPr>
          <w:b/>
          <w:bCs/>
          <w:sz w:val="32"/>
          <w:szCs w:val="32"/>
        </w:rPr>
        <w:t>八、使用非财政拨款结余：</w:t>
      </w:r>
      <w:r>
        <w:rPr>
          <w:sz w:val="32"/>
          <w:szCs w:val="32"/>
        </w:rPr>
        <w:t>指事业单位按照预算管理要求使用非财政拨款结余弥补当年收支差额的数额。</w:t>
      </w:r>
    </w:p>
    <w:p>
      <w:pPr>
        <w:spacing w:beforeAutospacing="1" w:afterAutospacing="1" w:line="560" w:lineRule="atLeast"/>
        <w:ind w:firstLine="643"/>
        <w:jc w:val="both"/>
        <w:rPr>
          <w:rFonts w:hint="default"/>
          <w:sz w:val="32"/>
          <w:szCs w:val="32"/>
        </w:rPr>
      </w:pPr>
      <w:r>
        <w:rPr>
          <w:b/>
          <w:bCs/>
          <w:sz w:val="32"/>
          <w:szCs w:val="32"/>
        </w:rPr>
        <w:t>九、年初结转和结余：</w:t>
      </w:r>
      <w:r>
        <w:rPr>
          <w:sz w:val="32"/>
          <w:szCs w:val="32"/>
        </w:rPr>
        <w:t>指单位上年结转本年使用的基本支出结转、项目支出结转和结余、经营结余。</w:t>
      </w:r>
    </w:p>
    <w:p>
      <w:pPr>
        <w:spacing w:beforeAutospacing="1" w:afterAutospacing="1" w:line="560" w:lineRule="atLeast"/>
        <w:ind w:firstLine="643"/>
        <w:jc w:val="both"/>
        <w:rPr>
          <w:rFonts w:hint="default"/>
          <w:sz w:val="32"/>
          <w:szCs w:val="32"/>
        </w:rPr>
      </w:pPr>
      <w:r>
        <w:rPr>
          <w:b/>
          <w:bCs/>
          <w:sz w:val="32"/>
          <w:szCs w:val="32"/>
        </w:rPr>
        <w:t>十、结余分配：</w:t>
      </w:r>
      <w:r>
        <w:rPr>
          <w:sz w:val="32"/>
          <w:szCs w:val="32"/>
        </w:rPr>
        <w:t>指事业单位按规定缴纳的所得税以及从非财政拨款结余中提取各类结余的情况。</w:t>
      </w:r>
    </w:p>
    <w:p>
      <w:pPr>
        <w:spacing w:beforeAutospacing="1" w:afterAutospacing="1" w:line="560" w:lineRule="atLeast"/>
        <w:ind w:firstLine="643"/>
        <w:jc w:val="both"/>
        <w:rPr>
          <w:rFonts w:hint="default"/>
          <w:sz w:val="32"/>
          <w:szCs w:val="32"/>
        </w:rPr>
      </w:pPr>
      <w:r>
        <w:rPr>
          <w:b/>
          <w:bCs/>
          <w:sz w:val="32"/>
          <w:szCs w:val="32"/>
        </w:rPr>
        <w:t>十一、年末结转和结余资金：</w:t>
      </w:r>
      <w:r>
        <w:rPr>
          <w:sz w:val="32"/>
          <w:szCs w:val="32"/>
        </w:rPr>
        <w:t>指单位结转下年的基本支出结转、项目支出结转和结余、经营结余。</w:t>
      </w:r>
    </w:p>
    <w:p>
      <w:pPr>
        <w:spacing w:beforeAutospacing="1" w:afterAutospacing="1" w:line="560" w:lineRule="atLeast"/>
        <w:ind w:firstLine="643"/>
        <w:jc w:val="both"/>
        <w:rPr>
          <w:rFonts w:hint="default"/>
          <w:sz w:val="32"/>
          <w:szCs w:val="32"/>
        </w:rPr>
      </w:pPr>
      <w:r>
        <w:rPr>
          <w:b/>
          <w:bCs/>
          <w:sz w:val="32"/>
          <w:szCs w:val="32"/>
        </w:rPr>
        <w:t>十二、基本支出：</w:t>
      </w:r>
      <w:r>
        <w:rPr>
          <w:sz w:val="32"/>
          <w:szCs w:val="32"/>
        </w:rPr>
        <w:t>指为保障机构正常运转、完成日常工作任务所发生的支出，包括人员经费和公用经费。</w:t>
      </w:r>
    </w:p>
    <w:p>
      <w:pPr>
        <w:spacing w:beforeAutospacing="1" w:afterAutospacing="1" w:line="560" w:lineRule="atLeast"/>
        <w:ind w:firstLine="643"/>
        <w:jc w:val="both"/>
        <w:rPr>
          <w:rFonts w:hint="default"/>
          <w:sz w:val="32"/>
          <w:szCs w:val="32"/>
        </w:rPr>
      </w:pPr>
      <w:r>
        <w:rPr>
          <w:b/>
          <w:bCs/>
          <w:sz w:val="32"/>
          <w:szCs w:val="32"/>
        </w:rPr>
        <w:t>十三、项目支出：</w:t>
      </w:r>
      <w:r>
        <w:rPr>
          <w:sz w:val="32"/>
          <w:szCs w:val="32"/>
        </w:rPr>
        <w:t>指在为完成特定的工作任务和事业发展目标所发生的支出。</w:t>
      </w:r>
    </w:p>
    <w:p>
      <w:pPr>
        <w:spacing w:beforeAutospacing="1" w:afterAutospacing="1" w:line="560" w:lineRule="atLeast"/>
        <w:ind w:firstLine="643"/>
        <w:jc w:val="both"/>
        <w:rPr>
          <w:rFonts w:hint="default"/>
          <w:sz w:val="32"/>
          <w:szCs w:val="32"/>
        </w:rPr>
      </w:pPr>
      <w:r>
        <w:rPr>
          <w:b/>
          <w:bCs/>
          <w:sz w:val="32"/>
          <w:szCs w:val="32"/>
        </w:rPr>
        <w:t>十四、上缴上级支出：</w:t>
      </w:r>
      <w:r>
        <w:rPr>
          <w:sz w:val="32"/>
          <w:szCs w:val="32"/>
        </w:rPr>
        <w:t>指事业单位按照财政部门和主管部门的规定上缴上级单位的支出。</w:t>
      </w:r>
    </w:p>
    <w:p>
      <w:pPr>
        <w:spacing w:beforeAutospacing="1" w:afterAutospacing="1" w:line="560" w:lineRule="atLeast"/>
        <w:ind w:firstLine="643"/>
        <w:jc w:val="both"/>
        <w:rPr>
          <w:rFonts w:hint="default"/>
          <w:sz w:val="32"/>
          <w:szCs w:val="32"/>
        </w:rPr>
      </w:pPr>
      <w:r>
        <w:rPr>
          <w:b/>
          <w:bCs/>
          <w:sz w:val="32"/>
          <w:szCs w:val="32"/>
        </w:rPr>
        <w:t>十五、经营支出：</w:t>
      </w:r>
      <w:r>
        <w:rPr>
          <w:sz w:val="32"/>
          <w:szCs w:val="32"/>
        </w:rPr>
        <w:t>指事业单位在专业业务活动及其辅助活动之外开展非独立核算经营活动发生的支出。</w:t>
      </w:r>
    </w:p>
    <w:p>
      <w:pPr>
        <w:spacing w:beforeAutospacing="1" w:afterAutospacing="1" w:line="560" w:lineRule="atLeast"/>
        <w:ind w:firstLine="643"/>
        <w:jc w:val="both"/>
        <w:rPr>
          <w:rFonts w:hint="default"/>
          <w:sz w:val="32"/>
          <w:szCs w:val="32"/>
        </w:rPr>
      </w:pPr>
      <w:r>
        <w:rPr>
          <w:b/>
          <w:bCs/>
          <w:sz w:val="32"/>
          <w:szCs w:val="32"/>
        </w:rPr>
        <w:t>十六、对附属单位补助支出：</w:t>
      </w:r>
      <w:r>
        <w:rPr>
          <w:sz w:val="32"/>
          <w:szCs w:val="32"/>
        </w:rPr>
        <w:t>指事业单位用财政拨款收入之外的收入对附属单位补助发生的支出。</w:t>
      </w:r>
    </w:p>
    <w:p>
      <w:pPr>
        <w:spacing w:beforeAutospacing="1" w:afterAutospacing="1" w:line="560" w:lineRule="atLeast"/>
        <w:ind w:firstLine="643"/>
        <w:jc w:val="both"/>
        <w:rPr>
          <w:rFonts w:hint="default"/>
          <w:sz w:val="32"/>
          <w:szCs w:val="32"/>
        </w:rPr>
      </w:pPr>
      <w:r>
        <w:rPr>
          <w:b/>
          <w:bCs/>
          <w:sz w:val="32"/>
          <w:szCs w:val="32"/>
        </w:rPr>
        <w:t>十七、“三公”经费：</w:t>
      </w:r>
      <w:r>
        <w:rPr>
          <w:sz w:val="32"/>
          <w:szCs w:val="32"/>
        </w:rPr>
        <w:t>指单位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购置支出（含车辆购置税、牌照费）以及按规定保留的公务用车燃料费、维修费、过路过桥费、保险费、安全奖励费用等支出；公务接待费反映单位按规定开支的各类公务接待（含外宾接待）费用。</w:t>
      </w:r>
    </w:p>
    <w:p>
      <w:pPr>
        <w:spacing w:beforeAutospacing="1" w:afterAutospacing="1" w:line="560" w:lineRule="atLeast"/>
        <w:ind w:firstLine="643"/>
        <w:jc w:val="both"/>
        <w:rPr>
          <w:rFonts w:hint="default"/>
          <w:sz w:val="32"/>
          <w:szCs w:val="32"/>
        </w:rPr>
      </w:pPr>
      <w:r>
        <w:rPr>
          <w:b/>
          <w:bCs/>
          <w:sz w:val="32"/>
          <w:szCs w:val="32"/>
        </w:rPr>
        <w:t>十八、机构运行经费：</w:t>
      </w:r>
      <w:r>
        <w:rPr>
          <w:sz w:val="32"/>
          <w:szCs w:val="32"/>
        </w:rPr>
        <w:t>指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pPr>
        <w:pStyle w:val="3"/>
        <w:keepNext/>
        <w:spacing w:line="360" w:lineRule="auto"/>
        <w:jc w:val="center"/>
        <w:rPr>
          <w:rFonts w:hint="default"/>
          <w:sz w:val="32"/>
          <w:szCs w:val="32"/>
        </w:rPr>
      </w:pPr>
      <w:r>
        <w:rPr>
          <w:sz w:val="32"/>
          <w:szCs w:val="32"/>
        </w:rPr>
        <w:t>第四部分决算公开联系方式及信息反馈渠道</w:t>
      </w:r>
    </w:p>
    <w:p>
      <w:pPr>
        <w:spacing w:beforeAutospacing="1" w:afterAutospacing="1" w:line="600" w:lineRule="atLeast"/>
        <w:jc w:val="both"/>
        <w:rPr>
          <w:rFonts w:hint="default"/>
          <w:sz w:val="32"/>
          <w:szCs w:val="32"/>
        </w:rPr>
      </w:pPr>
    </w:p>
    <w:p>
      <w:pPr>
        <w:spacing w:beforeAutospacing="1" w:afterAutospacing="1" w:line="600" w:lineRule="atLeast"/>
        <w:ind w:firstLine="640"/>
        <w:jc w:val="both"/>
        <w:rPr>
          <w:rFonts w:hint="default"/>
          <w:sz w:val="32"/>
          <w:szCs w:val="32"/>
        </w:rPr>
      </w:pPr>
      <w:r>
        <w:rPr>
          <w:sz w:val="32"/>
          <w:szCs w:val="32"/>
        </w:rPr>
        <w:t>本单位决算公开信息反馈和联系方式：</w:t>
      </w:r>
    </w:p>
    <w:p>
      <w:pPr>
        <w:spacing w:beforeAutospacing="1" w:afterAutospacing="1"/>
        <w:rPr>
          <w:rFonts w:hint="default"/>
          <w:sz w:val="32"/>
          <w:szCs w:val="32"/>
        </w:rPr>
      </w:pPr>
      <w:r>
        <w:rPr>
          <w:sz w:val="32"/>
          <w:szCs w:val="32"/>
        </w:rPr>
        <w:t>联系人：赵虹联系电话：0470-6219911</w:t>
      </w:r>
    </w:p>
    <w:p>
      <w:pPr>
        <w:spacing w:after="120"/>
        <w:ind w:left="420" w:firstLine="420"/>
        <w:jc w:val="both"/>
        <w:rPr>
          <w:rFonts w:hint="default"/>
          <w:sz w:val="32"/>
          <w:szCs w:val="32"/>
        </w:rPr>
      </w:pPr>
    </w:p>
    <w:p>
      <w:pPr>
        <w:pStyle w:val="3"/>
        <w:keepNext/>
        <w:spacing w:line="360" w:lineRule="auto"/>
        <w:jc w:val="center"/>
        <w:rPr>
          <w:rFonts w:hint="default"/>
          <w:sz w:val="32"/>
          <w:szCs w:val="32"/>
        </w:rPr>
      </w:pPr>
      <w:r>
        <w:rPr>
          <w:sz w:val="32"/>
          <w:szCs w:val="32"/>
        </w:rPr>
        <w:t>第五部分2022年度单位决算表</w:t>
      </w:r>
    </w:p>
    <w:p>
      <w:pPr>
        <w:spacing w:beforeAutospacing="1" w:afterAutospacing="1" w:line="600" w:lineRule="atLeast"/>
        <w:jc w:val="both"/>
        <w:rPr>
          <w:rFonts w:hint="default"/>
          <w:sz w:val="32"/>
          <w:szCs w:val="32"/>
        </w:rPr>
      </w:pPr>
    </w:p>
    <w:p>
      <w:pPr>
        <w:spacing w:beforeAutospacing="1" w:afterAutospacing="1" w:line="600" w:lineRule="atLeast"/>
        <w:ind w:firstLine="640"/>
        <w:jc w:val="both"/>
        <w:rPr>
          <w:rFonts w:hint="default"/>
          <w:sz w:val="32"/>
          <w:szCs w:val="32"/>
        </w:rPr>
      </w:pPr>
      <w:r>
        <w:rPr>
          <w:sz w:val="32"/>
          <w:szCs w:val="32"/>
        </w:rPr>
        <w:t>详见附件。</w:t>
      </w:r>
    </w:p>
    <w:p>
      <w:pPr>
        <w:spacing w:beforeAutospacing="1" w:afterAutospacing="1"/>
        <w:rPr>
          <w:rFonts w:hint="default"/>
          <w:sz w:val="32"/>
          <w:szCs w:val="32"/>
        </w:rPr>
      </w:pPr>
    </w:p>
    <w:p>
      <w:pPr>
        <w:spacing w:beforeAutospacing="1" w:afterAutospacing="1"/>
        <w:rPr>
          <w:rFonts w:hint="default"/>
          <w:sz w:val="32"/>
          <w:szCs w:val="32"/>
        </w:rPr>
      </w:pPr>
    </w:p>
    <w:p>
      <w:pPr>
        <w:spacing w:beforeAutospacing="1" w:afterAutospacing="1"/>
        <w:rPr>
          <w:rFonts w:hint="default"/>
        </w:rPr>
      </w:pPr>
    </w:p>
    <w:sectPr>
      <w:pgSz w:w="11915" w:h="16840"/>
      <w:pgMar w:top="1440" w:right="1800" w:bottom="1440" w:left="1800" w:header="851" w:footer="992" w:gutter="0"/>
      <w:cols w:space="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1"/>
  <w:drawingGridVerticalSpacing w:val="164"/>
  <w:displayHorizontalDrawingGridEvery w:val="0"/>
  <w:displayVerticalDrawingGridEvery w:val="2"/>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1NTQxODAzNDY1YTRkMTg5NTNjMjQ5NWU0OTQ0MTkifQ=="/>
  </w:docVars>
  <w:rsids>
    <w:rsidRoot w:val="00F82A0E"/>
    <w:rsid w:val="00124DBF"/>
    <w:rsid w:val="0013603C"/>
    <w:rsid w:val="00545888"/>
    <w:rsid w:val="00594107"/>
    <w:rsid w:val="005A3C1D"/>
    <w:rsid w:val="00962DC2"/>
    <w:rsid w:val="00B332C1"/>
    <w:rsid w:val="00DE285B"/>
    <w:rsid w:val="00F20A7C"/>
    <w:rsid w:val="00F82A0E"/>
    <w:rsid w:val="055A27F2"/>
    <w:rsid w:val="176B08EF"/>
    <w:rsid w:val="20385693"/>
    <w:rsid w:val="2A363E0D"/>
    <w:rsid w:val="2AD749A5"/>
    <w:rsid w:val="4211129E"/>
    <w:rsid w:val="746C2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99"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99" w:semiHidden="0" w:name="header"/>
    <w:lsdException w:qFormat="1" w:unhideWhenUsed="0" w:uiPriority="99" w:semiHidden="0" w:name="footer"/>
    <w:lsdException w:unhideWhenUsed="0" w:uiPriority="99" w:semiHidden="0" w:name="index heading"/>
    <w:lsdException w:qFormat="1" w:uiPriority="35"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unhideWhenUsed="0" w:uiPriority="99" w:semiHidden="0" w:name="Signature"/>
    <w:lsdException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11"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qFormat="1"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99"/>
    <w:rPr>
      <w:rFonts w:hint="eastAsia" w:ascii="宋体" w:hAnsi="宋体" w:eastAsia="宋体" w:cs="Times New Roman"/>
      <w:sz w:val="24"/>
      <w:szCs w:val="24"/>
      <w:lang w:val="en-US" w:eastAsia="zh-CN" w:bidi="ar-SA"/>
    </w:rPr>
  </w:style>
  <w:style w:type="paragraph" w:styleId="2">
    <w:name w:val="heading 1"/>
    <w:basedOn w:val="1"/>
    <w:next w:val="1"/>
    <w:link w:val="36"/>
    <w:qFormat/>
    <w:uiPriority w:val="9"/>
    <w:pPr>
      <w:spacing w:beforeAutospacing="1" w:afterAutospacing="1"/>
      <w:outlineLvl w:val="0"/>
    </w:pPr>
    <w:rPr>
      <w:b/>
      <w:bCs/>
      <w:kern w:val="44"/>
      <w:sz w:val="48"/>
      <w:szCs w:val="48"/>
    </w:rPr>
  </w:style>
  <w:style w:type="paragraph" w:styleId="3">
    <w:name w:val="heading 2"/>
    <w:basedOn w:val="1"/>
    <w:next w:val="1"/>
    <w:link w:val="27"/>
    <w:qFormat/>
    <w:uiPriority w:val="9"/>
    <w:pPr>
      <w:spacing w:beforeAutospacing="1" w:afterAutospacing="1"/>
      <w:outlineLvl w:val="1"/>
    </w:pPr>
    <w:rPr>
      <w:b/>
      <w:bCs/>
      <w:sz w:val="36"/>
      <w:szCs w:val="36"/>
    </w:rPr>
  </w:style>
  <w:style w:type="paragraph" w:styleId="4">
    <w:name w:val="heading 3"/>
    <w:basedOn w:val="1"/>
    <w:next w:val="1"/>
    <w:link w:val="25"/>
    <w:qFormat/>
    <w:uiPriority w:val="9"/>
    <w:pPr>
      <w:spacing w:beforeAutospacing="1" w:afterAutospacing="1"/>
      <w:outlineLvl w:val="2"/>
    </w:pPr>
    <w:rPr>
      <w:b/>
      <w:bCs/>
      <w:sz w:val="27"/>
      <w:szCs w:val="27"/>
    </w:rPr>
  </w:style>
  <w:style w:type="paragraph" w:styleId="5">
    <w:name w:val="heading 4"/>
    <w:basedOn w:val="1"/>
    <w:next w:val="1"/>
    <w:link w:val="37"/>
    <w:qFormat/>
    <w:uiPriority w:val="9"/>
    <w:pPr>
      <w:spacing w:beforeAutospacing="1" w:afterAutospacing="1"/>
      <w:outlineLvl w:val="3"/>
    </w:pPr>
    <w:rPr>
      <w:b/>
      <w:bCs/>
    </w:rPr>
  </w:style>
  <w:style w:type="paragraph" w:styleId="6">
    <w:name w:val="heading 5"/>
    <w:basedOn w:val="1"/>
    <w:next w:val="1"/>
    <w:link w:val="29"/>
    <w:qFormat/>
    <w:uiPriority w:val="9"/>
    <w:pPr>
      <w:spacing w:beforeAutospacing="1" w:afterAutospacing="1"/>
      <w:outlineLvl w:val="4"/>
    </w:pPr>
    <w:rPr>
      <w:b/>
      <w:bCs/>
      <w:sz w:val="20"/>
      <w:szCs w:val="20"/>
    </w:rPr>
  </w:style>
  <w:style w:type="paragraph" w:styleId="7">
    <w:name w:val="heading 6"/>
    <w:basedOn w:val="1"/>
    <w:next w:val="1"/>
    <w:link w:val="30"/>
    <w:qFormat/>
    <w:uiPriority w:val="9"/>
    <w:pPr>
      <w:spacing w:beforeAutospacing="1" w:afterAutospacing="1"/>
      <w:outlineLvl w:val="5"/>
    </w:pPr>
    <w:rPr>
      <w:b/>
      <w:bCs/>
      <w:sz w:val="15"/>
      <w:szCs w:val="15"/>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39"/>
    <w:qFormat/>
    <w:uiPriority w:val="99"/>
    <w:rPr>
      <w:sz w:val="18"/>
      <w:szCs w:val="18"/>
    </w:rPr>
  </w:style>
  <w:style w:type="paragraph" w:styleId="9">
    <w:name w:val="footer"/>
    <w:basedOn w:val="1"/>
    <w:link w:val="33"/>
    <w:qFormat/>
    <w:uiPriority w:val="99"/>
    <w:pPr>
      <w:snapToGrid w:val="0"/>
    </w:pPr>
    <w:rPr>
      <w:sz w:val="18"/>
      <w:szCs w:val="18"/>
    </w:rPr>
  </w:style>
  <w:style w:type="paragraph" w:styleId="10">
    <w:name w:val="header"/>
    <w:basedOn w:val="1"/>
    <w:link w:val="38"/>
    <w:qFormat/>
    <w:uiPriority w:val="99"/>
    <w:pPr>
      <w:pBdr>
        <w:bottom w:val="single" w:color="auto" w:sz="6" w:space="1"/>
      </w:pBdr>
      <w:snapToGrid w:val="0"/>
      <w:jc w:val="center"/>
    </w:pPr>
    <w:rPr>
      <w:sz w:val="18"/>
      <w:szCs w:val="18"/>
    </w:rPr>
  </w:style>
  <w:style w:type="paragraph" w:styleId="11">
    <w:name w:val="HTML Preformatted"/>
    <w:basedOn w:val="1"/>
    <w:link w:val="18"/>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default" w:ascii="Courier New" w:hAnsi="Courier New"/>
      <w:sz w:val="20"/>
      <w:szCs w:val="20"/>
    </w:rPr>
  </w:style>
  <w:style w:type="paragraph" w:styleId="12">
    <w:name w:val="Normal (Web)"/>
    <w:basedOn w:val="1"/>
    <w:qFormat/>
    <w:uiPriority w:val="99"/>
    <w:pPr>
      <w:spacing w:beforeAutospacing="1" w:afterAutospacing="1"/>
    </w:pPr>
  </w:style>
  <w:style w:type="character" w:customStyle="1" w:styleId="15">
    <w:name w:val="HTML 预设格式 字符"/>
    <w:basedOn w:val="14"/>
    <w:qFormat/>
    <w:locked/>
    <w:uiPriority w:val="0"/>
    <w:rPr>
      <w:rFonts w:ascii="Courier New" w:hAnsi="Courier New" w:eastAsia="宋体" w:cs="Courier New"/>
    </w:rPr>
  </w:style>
  <w:style w:type="character" w:customStyle="1" w:styleId="16">
    <w:name w:val="17"/>
    <w:basedOn w:val="14"/>
    <w:qFormat/>
    <w:uiPriority w:val="0"/>
    <w:rPr>
      <w:rFonts w:hint="default" w:ascii="Times New Roman" w:hAnsi="Times New Roman" w:cs="Times New Roman"/>
    </w:rPr>
  </w:style>
  <w:style w:type="character" w:customStyle="1" w:styleId="17">
    <w:name w:val="标题 2 字符1"/>
    <w:basedOn w:val="14"/>
    <w:qFormat/>
    <w:locked/>
    <w:uiPriority w:val="0"/>
    <w:rPr>
      <w:rFonts w:hint="default" w:ascii="Cambria" w:hAnsi="Cambria" w:eastAsia="宋体" w:cs="Times New Roman"/>
      <w:b/>
      <w:bCs/>
      <w:sz w:val="32"/>
      <w:szCs w:val="32"/>
    </w:rPr>
  </w:style>
  <w:style w:type="character" w:customStyle="1" w:styleId="18">
    <w:name w:val="HTML 预设格式 字符1"/>
    <w:basedOn w:val="14"/>
    <w:link w:val="11"/>
    <w:qFormat/>
    <w:locked/>
    <w:uiPriority w:val="0"/>
    <w:rPr>
      <w:rFonts w:hint="default" w:ascii="Courier New" w:hAnsi="Courier New" w:eastAsia="宋体" w:cs="Courier New"/>
    </w:rPr>
  </w:style>
  <w:style w:type="character" w:customStyle="1" w:styleId="19">
    <w:name w:val="16"/>
    <w:basedOn w:val="14"/>
    <w:qFormat/>
    <w:uiPriority w:val="0"/>
    <w:rPr>
      <w:rFonts w:hint="eastAsia" w:ascii="宋体" w:hAnsi="宋体" w:eastAsia="宋体" w:cs="宋体"/>
      <w:sz w:val="18"/>
      <w:szCs w:val="18"/>
    </w:rPr>
  </w:style>
  <w:style w:type="character" w:customStyle="1" w:styleId="20">
    <w:name w:val="标题 1 字符"/>
    <w:basedOn w:val="14"/>
    <w:qFormat/>
    <w:locked/>
    <w:uiPriority w:val="0"/>
    <w:rPr>
      <w:rFonts w:hint="eastAsia" w:ascii="宋体" w:hAnsi="宋体" w:eastAsia="宋体" w:cs="宋体"/>
      <w:b/>
      <w:bCs/>
      <w:kern w:val="44"/>
      <w:sz w:val="44"/>
      <w:szCs w:val="44"/>
    </w:rPr>
  </w:style>
  <w:style w:type="character" w:customStyle="1" w:styleId="21">
    <w:name w:val="标题 3 字符"/>
    <w:basedOn w:val="14"/>
    <w:qFormat/>
    <w:locked/>
    <w:uiPriority w:val="0"/>
    <w:rPr>
      <w:rFonts w:hint="eastAsia" w:ascii="宋体" w:hAnsi="宋体" w:eastAsia="宋体" w:cs="宋体"/>
      <w:b/>
      <w:bCs/>
      <w:sz w:val="32"/>
      <w:szCs w:val="32"/>
    </w:rPr>
  </w:style>
  <w:style w:type="character" w:customStyle="1" w:styleId="22">
    <w:name w:val="标题 5 字符1"/>
    <w:basedOn w:val="14"/>
    <w:qFormat/>
    <w:locked/>
    <w:uiPriority w:val="0"/>
    <w:rPr>
      <w:rFonts w:hint="eastAsia" w:ascii="宋体" w:hAnsi="宋体" w:eastAsia="宋体" w:cs="宋体"/>
      <w:b/>
      <w:bCs/>
      <w:sz w:val="28"/>
      <w:szCs w:val="28"/>
    </w:rPr>
  </w:style>
  <w:style w:type="character" w:customStyle="1" w:styleId="23">
    <w:name w:val="页眉 字符"/>
    <w:basedOn w:val="14"/>
    <w:qFormat/>
    <w:locked/>
    <w:uiPriority w:val="0"/>
    <w:rPr>
      <w:rFonts w:hint="eastAsia" w:ascii="宋体" w:hAnsi="宋体" w:eastAsia="宋体" w:cs="宋体"/>
      <w:sz w:val="18"/>
      <w:szCs w:val="18"/>
    </w:rPr>
  </w:style>
  <w:style w:type="character" w:customStyle="1" w:styleId="24">
    <w:name w:val="标题 4 字符"/>
    <w:basedOn w:val="14"/>
    <w:qFormat/>
    <w:locked/>
    <w:uiPriority w:val="0"/>
    <w:rPr>
      <w:rFonts w:hint="default" w:ascii="Cambria" w:hAnsi="Cambria" w:eastAsia="宋体" w:cs="Times New Roman"/>
      <w:b/>
      <w:bCs/>
      <w:sz w:val="28"/>
      <w:szCs w:val="28"/>
    </w:rPr>
  </w:style>
  <w:style w:type="character" w:customStyle="1" w:styleId="25">
    <w:name w:val="标题 3 字符1"/>
    <w:basedOn w:val="14"/>
    <w:link w:val="4"/>
    <w:qFormat/>
    <w:locked/>
    <w:uiPriority w:val="0"/>
    <w:rPr>
      <w:rFonts w:hint="eastAsia" w:ascii="宋体" w:hAnsi="宋体" w:eastAsia="宋体" w:cs="宋体"/>
      <w:b/>
      <w:bCs/>
      <w:sz w:val="32"/>
      <w:szCs w:val="32"/>
    </w:rPr>
  </w:style>
  <w:style w:type="character" w:customStyle="1" w:styleId="26">
    <w:name w:val="标题 6 字符1"/>
    <w:basedOn w:val="14"/>
    <w:qFormat/>
    <w:locked/>
    <w:uiPriority w:val="0"/>
    <w:rPr>
      <w:rFonts w:hint="default" w:ascii="Cambria" w:hAnsi="Cambria" w:eastAsia="宋体" w:cs="Times New Roman"/>
      <w:b/>
      <w:bCs/>
      <w:sz w:val="24"/>
      <w:szCs w:val="24"/>
    </w:rPr>
  </w:style>
  <w:style w:type="character" w:customStyle="1" w:styleId="27">
    <w:name w:val="标题 2 字符"/>
    <w:basedOn w:val="14"/>
    <w:link w:val="3"/>
    <w:qFormat/>
    <w:locked/>
    <w:uiPriority w:val="0"/>
    <w:rPr>
      <w:rFonts w:hint="default" w:ascii="Cambria" w:hAnsi="Cambria" w:eastAsia="宋体" w:cs="Times New Roman"/>
      <w:b/>
      <w:bCs/>
      <w:sz w:val="32"/>
      <w:szCs w:val="32"/>
    </w:rPr>
  </w:style>
  <w:style w:type="character" w:customStyle="1" w:styleId="28">
    <w:name w:val="批注框文本 字符"/>
    <w:basedOn w:val="14"/>
    <w:qFormat/>
    <w:locked/>
    <w:uiPriority w:val="0"/>
    <w:rPr>
      <w:rFonts w:hint="eastAsia" w:ascii="宋体" w:hAnsi="宋体" w:eastAsia="宋体" w:cs="宋体"/>
      <w:sz w:val="18"/>
      <w:szCs w:val="18"/>
    </w:rPr>
  </w:style>
  <w:style w:type="character" w:customStyle="1" w:styleId="29">
    <w:name w:val="标题 5 字符"/>
    <w:basedOn w:val="14"/>
    <w:link w:val="6"/>
    <w:qFormat/>
    <w:locked/>
    <w:uiPriority w:val="0"/>
    <w:rPr>
      <w:rFonts w:hint="eastAsia" w:ascii="宋体" w:hAnsi="宋体" w:eastAsia="宋体" w:cs="宋体"/>
      <w:b/>
      <w:bCs/>
      <w:sz w:val="28"/>
      <w:szCs w:val="28"/>
    </w:rPr>
  </w:style>
  <w:style w:type="character" w:customStyle="1" w:styleId="30">
    <w:name w:val="标题 6 字符"/>
    <w:basedOn w:val="14"/>
    <w:link w:val="7"/>
    <w:qFormat/>
    <w:locked/>
    <w:uiPriority w:val="0"/>
    <w:rPr>
      <w:rFonts w:hint="default" w:ascii="Cambria" w:hAnsi="Cambria" w:eastAsia="宋体" w:cs="Times New Roman"/>
      <w:b/>
      <w:bCs/>
      <w:sz w:val="24"/>
      <w:szCs w:val="24"/>
    </w:rPr>
  </w:style>
  <w:style w:type="paragraph" w:customStyle="1" w:styleId="31">
    <w:name w:val="msonormal1"/>
    <w:basedOn w:val="1"/>
    <w:qFormat/>
    <w:uiPriority w:val="0"/>
    <w:pPr>
      <w:spacing w:beforeAutospacing="1" w:afterAutospacing="1"/>
    </w:pPr>
  </w:style>
  <w:style w:type="character" w:customStyle="1" w:styleId="32">
    <w:name w:val="页脚 字符"/>
    <w:basedOn w:val="14"/>
    <w:qFormat/>
    <w:locked/>
    <w:uiPriority w:val="0"/>
    <w:rPr>
      <w:rFonts w:hint="eastAsia" w:ascii="宋体" w:hAnsi="宋体" w:eastAsia="宋体" w:cs="宋体"/>
      <w:sz w:val="18"/>
      <w:szCs w:val="18"/>
    </w:rPr>
  </w:style>
  <w:style w:type="character" w:customStyle="1" w:styleId="33">
    <w:name w:val="页脚 字符1"/>
    <w:basedOn w:val="14"/>
    <w:link w:val="9"/>
    <w:qFormat/>
    <w:locked/>
    <w:uiPriority w:val="0"/>
    <w:rPr>
      <w:rFonts w:hint="eastAsia" w:ascii="宋体" w:hAnsi="宋体" w:eastAsia="宋体" w:cs="宋体"/>
      <w:sz w:val="18"/>
      <w:szCs w:val="18"/>
    </w:rPr>
  </w:style>
  <w:style w:type="paragraph" w:customStyle="1" w:styleId="34">
    <w:name w:val="普通(网站) Char"/>
    <w:basedOn w:val="1"/>
    <w:qFormat/>
    <w:uiPriority w:val="0"/>
    <w:pPr>
      <w:spacing w:beforeAutospacing="1" w:afterAutospacing="1"/>
    </w:pPr>
  </w:style>
  <w:style w:type="paragraph" w:customStyle="1" w:styleId="35">
    <w:name w:val="HTML 预设格式 Char1"/>
    <w:basedOn w:val="1"/>
    <w:qFormat/>
    <w:uiPriority w:val="0"/>
    <w:rPr>
      <w:rFonts w:hint="default" w:ascii="Courier New" w:hAnsi="Courier New"/>
      <w:sz w:val="20"/>
      <w:szCs w:val="20"/>
    </w:rPr>
  </w:style>
  <w:style w:type="character" w:customStyle="1" w:styleId="36">
    <w:name w:val="标题 1 字符1"/>
    <w:basedOn w:val="14"/>
    <w:link w:val="2"/>
    <w:qFormat/>
    <w:locked/>
    <w:uiPriority w:val="0"/>
    <w:rPr>
      <w:rFonts w:hint="eastAsia" w:ascii="宋体" w:hAnsi="宋体" w:eastAsia="宋体" w:cs="宋体"/>
      <w:b/>
      <w:bCs/>
      <w:kern w:val="44"/>
      <w:sz w:val="44"/>
      <w:szCs w:val="44"/>
    </w:rPr>
  </w:style>
  <w:style w:type="character" w:customStyle="1" w:styleId="37">
    <w:name w:val="标题 4 字符1"/>
    <w:basedOn w:val="14"/>
    <w:link w:val="5"/>
    <w:qFormat/>
    <w:locked/>
    <w:uiPriority w:val="0"/>
    <w:rPr>
      <w:rFonts w:hint="default" w:ascii="Cambria" w:hAnsi="Cambria" w:eastAsia="宋体" w:cs="Times New Roman"/>
      <w:b/>
      <w:bCs/>
      <w:sz w:val="28"/>
      <w:szCs w:val="28"/>
    </w:rPr>
  </w:style>
  <w:style w:type="character" w:customStyle="1" w:styleId="38">
    <w:name w:val="页眉 字符1"/>
    <w:basedOn w:val="14"/>
    <w:link w:val="10"/>
    <w:qFormat/>
    <w:locked/>
    <w:uiPriority w:val="0"/>
    <w:rPr>
      <w:rFonts w:hint="eastAsia" w:ascii="宋体" w:hAnsi="宋体" w:eastAsia="宋体" w:cs="宋体"/>
      <w:sz w:val="18"/>
      <w:szCs w:val="18"/>
    </w:rPr>
  </w:style>
  <w:style w:type="character" w:customStyle="1" w:styleId="39">
    <w:name w:val="批注框文本 字符1"/>
    <w:basedOn w:val="14"/>
    <w:link w:val="8"/>
    <w:qFormat/>
    <w:locked/>
    <w:uiPriority w:val="0"/>
    <w:rPr>
      <w:rFonts w:hint="eastAsia" w:ascii="宋体" w:hAnsi="宋体" w:eastAsia="宋体" w:cs="宋体"/>
      <w:sz w:val="18"/>
      <w:szCs w:val="18"/>
    </w:rPr>
  </w:style>
  <w:style w:type="character" w:customStyle="1" w:styleId="40">
    <w:name w:val="10"/>
    <w:basedOn w:val="14"/>
    <w:qFormat/>
    <w:uiPriority w:val="0"/>
    <w:rPr>
      <w:rFonts w:hint="default" w:ascii="Times New Roman" w:hAnsi="Times New Roman" w:cs="Times New Roman"/>
    </w:rPr>
  </w:style>
  <w:style w:type="character" w:customStyle="1" w:styleId="41">
    <w:name w:val="15"/>
    <w:basedOn w:val="14"/>
    <w:qFormat/>
    <w:uiPriority w:val="0"/>
    <w:rPr>
      <w:rFonts w:hint="eastAsia" w:ascii="宋体" w:hAnsi="宋体" w:eastAsia="宋体" w:cs="宋体"/>
      <w:sz w:val="18"/>
      <w:szCs w:val="18"/>
    </w:rPr>
  </w:style>
  <w:style w:type="character" w:customStyle="1" w:styleId="42">
    <w:name w:val="18"/>
    <w:basedOn w:val="14"/>
    <w:qFormat/>
    <w:uiPriority w:val="0"/>
    <w:rPr>
      <w:rFonts w:hint="eastAsia" w:ascii="宋体" w:hAnsi="宋体" w:eastAsia="宋体" w:cs="宋体"/>
      <w:b/>
      <w:bCs/>
      <w:kern w:val="44"/>
      <w:sz w:val="44"/>
      <w:szCs w:val="44"/>
    </w:rPr>
  </w:style>
  <w:style w:type="character" w:customStyle="1" w:styleId="43">
    <w:name w:val="19"/>
    <w:basedOn w:val="14"/>
    <w:qFormat/>
    <w:uiPriority w:val="0"/>
    <w:rPr>
      <w:rFonts w:hint="default" w:ascii="Cambria" w:hAnsi="Cambria" w:eastAsia="宋体" w:cs="Times New Roman"/>
      <w:b/>
      <w:bCs/>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8673</Words>
  <Characters>9723</Characters>
  <Lines>73</Lines>
  <Paragraphs>20</Paragraphs>
  <TotalTime>2</TotalTime>
  <ScaleCrop>false</ScaleCrop>
  <LinksUpToDate>false</LinksUpToDate>
  <CharactersWithSpaces>9826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2411-12-31T16:00:00Z</dcterms:created>
  <dc:creator>86133</dc:creator>
  <cp:lastModifiedBy>Administrator</cp:lastModifiedBy>
  <dcterms:modified xsi:type="dcterms:W3CDTF">2023-09-06T03:20:27Z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CD737ACD2FAF48CC838CA57781B6FED4_13</vt:lpwstr>
  </property>
</Properties>
</file>