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rPr>
        <w:id w:val="147481478"/>
        <w:docPartObj>
          <w:docPartGallery w:val="Table of Contents"/>
          <w:docPartUnique/>
        </w:docPartObj>
      </w:sdtPr>
      <w:sdtEndPr>
        <w:rPr>
          <w:rFonts w:ascii="宋体" w:hAnsi="宋体" w:eastAsia="宋体"/>
        </w:rPr>
      </w:sdtEndPr>
      <w:sdtContent>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outlineLvl w:val="0"/>
            <w:rPr>
              <w:rFonts w:ascii="方正小标宋简体" w:hAnsi="方正小标宋简体" w:eastAsia="方正小标宋简体" w:cs="方正小标宋简体"/>
              <w:sz w:val="44"/>
              <w:szCs w:val="44"/>
              <w14:textFill>
                <w14:gradFill>
                  <w14:gsLst>
                    <w14:gs w14:pos="0">
                      <w14:srgbClr w14:val="012D86"/>
                    </w14:gs>
                    <w14:gs w14:pos="100000">
                      <w14:srgbClr w14:val="0E2557"/>
                    </w14:gs>
                  </w14:gsLst>
                  <w14:lin w14:ang="0" w14:scaled="0"/>
                </w14:gradFill>
              </w14:textFill>
            </w:rPr>
          </w:pPr>
          <w:r>
            <w:rPr>
              <w:rFonts w:hint="eastAsia" w:ascii="方正小标宋简体" w:hAnsi="方正小标宋简体" w:eastAsia="方正小标宋简体" w:cs="方正小标宋简体"/>
              <w:sz w:val="44"/>
              <w:szCs w:val="44"/>
              <w14:textFill>
                <w14:gradFill>
                  <w14:gsLst>
                    <w14:gs w14:pos="0">
                      <w14:srgbClr w14:val="012D86"/>
                    </w14:gs>
                    <w14:gs w14:pos="100000">
                      <w14:srgbClr w14:val="0E2557"/>
                    </w14:gs>
                  </w14:gsLst>
                  <w14:lin w14:ang="0" w14:scaled="0"/>
                </w14:gradFill>
              </w14:textFill>
            </w:rPr>
            <w:t>内蒙古自治区特种设备检验研究院锅炉压力容器与特种设备安全监管项目</w:t>
          </w:r>
        </w:p>
        <w:p>
          <w:pPr>
            <w:jc w:val="center"/>
            <w:outlineLvl w:val="0"/>
            <w:rPr>
              <w:rFonts w:ascii="方正小标宋简体" w:hAnsi="方正小标宋简体" w:eastAsia="方正小标宋简体" w:cs="方正小标宋简体"/>
              <w:sz w:val="44"/>
              <w:szCs w:val="44"/>
              <w14:textFill>
                <w14:gradFill>
                  <w14:gsLst>
                    <w14:gs w14:pos="0">
                      <w14:srgbClr w14:val="012D86"/>
                    </w14:gs>
                    <w14:gs w14:pos="100000">
                      <w14:srgbClr w14:val="0E2557"/>
                    </w14:gs>
                  </w14:gsLst>
                  <w14:lin w14:ang="0" w14:scaled="0"/>
                </w14:gradFill>
              </w14:textFill>
            </w:rPr>
          </w:pPr>
          <w:r>
            <w:rPr>
              <w:rFonts w:hint="eastAsia" w:ascii="方正小标宋简体" w:hAnsi="方正小标宋简体" w:eastAsia="方正小标宋简体" w:cs="方正小标宋简体"/>
              <w:sz w:val="44"/>
              <w:szCs w:val="44"/>
              <w14:textFill>
                <w14:gradFill>
                  <w14:gsLst>
                    <w14:gs w14:pos="0">
                      <w14:srgbClr w14:val="012D86"/>
                    </w14:gs>
                    <w14:gs w14:pos="100000">
                      <w14:srgbClr w14:val="0E2557"/>
                    </w14:gs>
                  </w14:gsLst>
                  <w14:lin w14:ang="0" w14:scaled="0"/>
                </w14:gradFill>
              </w14:textFill>
            </w:rPr>
            <w:t>绩效评价报告</w:t>
          </w:r>
        </w:p>
        <w:p>
          <w:pPr>
            <w:jc w:val="center"/>
            <w:rPr>
              <w:rFonts w:ascii="宋体" w:hAnsi="宋体" w:eastAsia="宋体"/>
              <w:sz w:val="44"/>
              <w:szCs w:val="44"/>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b/>
              <w:bCs/>
              <w:sz w:val="44"/>
              <w:szCs w:val="44"/>
              <w14:textFill>
                <w14:gradFill>
                  <w14:gsLst>
                    <w14:gs w14:pos="0">
                      <w14:srgbClr w14:val="012D86"/>
                    </w14:gs>
                    <w14:gs w14:pos="100000">
                      <w14:srgbClr w14:val="0E2557"/>
                    </w14:gs>
                  </w14:gsLst>
                  <w14:lin w14:ang="0" w14:scaled="0"/>
                </w14:gradFill>
              </w14:textFill>
            </w:rPr>
          </w:pPr>
          <w:r>
            <w:rPr>
              <w:rFonts w:hint="eastAsia" w:ascii="宋体" w:hAnsi="宋体" w:eastAsia="宋体"/>
              <w:b/>
              <w:bCs/>
              <w:sz w:val="44"/>
              <w:szCs w:val="44"/>
              <w14:textFill>
                <w14:gradFill>
                  <w14:gsLst>
                    <w14:gs w14:pos="0">
                      <w14:srgbClr w14:val="012D86"/>
                    </w14:gs>
                    <w14:gs w14:pos="100000">
                      <w14:srgbClr w14:val="0E2557"/>
                    </w14:gs>
                  </w14:gsLst>
                  <w14:lin w14:ang="0" w14:scaled="0"/>
                </w14:gradFill>
              </w14:textFill>
            </w:rPr>
            <w:t>2023年6月25日</w:t>
          </w: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rFonts w:ascii="宋体" w:hAnsi="宋体" w:eastAsia="宋体"/>
            </w:rPr>
          </w:pPr>
        </w:p>
        <w:p>
          <w:pPr>
            <w:jc w:val="center"/>
            <w:rPr>
              <w:b/>
              <w:bCs/>
              <w:sz w:val="36"/>
              <w:szCs w:val="36"/>
            </w:rPr>
          </w:pPr>
          <w:r>
            <w:rPr>
              <w:rFonts w:ascii="宋体" w:hAnsi="宋体" w:eastAsia="宋体"/>
              <w:b/>
              <w:bCs/>
              <w:sz w:val="36"/>
              <w:szCs w:val="36"/>
            </w:rPr>
            <w:t>目</w:t>
          </w:r>
          <w:r>
            <w:rPr>
              <w:rFonts w:hint="eastAsia" w:ascii="宋体" w:hAnsi="宋体" w:eastAsia="宋体"/>
              <w:b/>
              <w:bCs/>
              <w:sz w:val="36"/>
              <w:szCs w:val="36"/>
            </w:rPr>
            <w:t xml:space="preserve">   </w:t>
          </w:r>
          <w:r>
            <w:rPr>
              <w:rFonts w:ascii="宋体" w:hAnsi="宋体" w:eastAsia="宋体"/>
              <w:b/>
              <w:bCs/>
              <w:sz w:val="36"/>
              <w:szCs w:val="36"/>
            </w:rPr>
            <w:t>录</w:t>
          </w:r>
        </w:p>
        <w:p>
          <w:pPr>
            <w:pStyle w:val="9"/>
            <w:tabs>
              <w:tab w:val="right" w:leader="dot" w:pos="8306"/>
            </w:tabs>
            <w:rPr>
              <w:rFonts w:ascii="方正仿宋_GB2312" w:hAnsi="方正仿宋_GB2312" w:eastAsia="方正仿宋_GB2312" w:cs="方正仿宋_GB2312"/>
              <w:b/>
              <w:bCs/>
              <w:sz w:val="28"/>
              <w:szCs w:val="28"/>
            </w:rPr>
          </w:pPr>
          <w:r>
            <w:fldChar w:fldCharType="begin"/>
          </w:r>
          <w:r>
            <w:instrText xml:space="preserve">TOC \o "1-3" \h \u </w:instrText>
          </w:r>
          <w:r>
            <w:fldChar w:fldCharType="separate"/>
          </w:r>
        </w:p>
        <w:p>
          <w:pPr>
            <w:pStyle w:val="9"/>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"_Toc15985" </w:instrText>
          </w:r>
          <w:r>
            <w:fldChar w:fldCharType="separate"/>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t>一、 项目基本情况</w:t>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instrText xml:space="preserve"> PAGEREF _Toc15985 \h </w:instrText>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t>4</w:t>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b/>
              <w:bCs/>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"_Toc18783"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（一）项目实施目的</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_Toc18783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4</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"_Toc1120" </w:instrText>
          </w:r>
          <w: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（二）</w:t>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项目单位基本情况</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_Toc1120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4</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"_Toc11245"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（三）项目预决算情况</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_Toc11245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5</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"_Toc10179"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（四）项目绩效目标</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_Toc10179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7</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9"/>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"_Toc10302"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二、</w:t>
          </w:r>
          <w:r>
            <w:rPr>
              <w:rFonts w:hint="eastAsia" w:ascii="方正仿宋_GB2312" w:hAnsi="方正仿宋_GB2312" w:eastAsia="方正仿宋_GB2312" w:cs="方正仿宋_GB2312"/>
              <w:b/>
              <w:sz w:val="28"/>
              <w:szCs w:val="28"/>
              <w14:textFill>
                <w14:gradFill>
                  <w14:gsLst>
                    <w14:gs w14:pos="0">
                      <w14:srgbClr w14:val="012D86"/>
                    </w14:gs>
                    <w14:gs w14:pos="100000">
                      <w14:srgbClr w14:val="0E2557"/>
                    </w14:gs>
                  </w14:gsLst>
                  <w14:lin w14:ang="0" w14:scaled="0"/>
                </w14:gradFill>
              </w14:textFill>
            </w:rPr>
            <w:t>绩效评价工作实施程序</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_Toc10302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8</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"_Toc10378"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（一）绩效评价目的</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_Toc10378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8</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"_Toc19686"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（二）绩效评价原则、依据、指标体系以及评价方法等</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_Toc19686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8</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"_Toc28338"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（三）绩效评价现场工作过程</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_Toc28338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11</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"_Toc10456" </w:instrText>
          </w:r>
          <w: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（四）撰写评价报告</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_Toc10456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11</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9"/>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"_Toc3948"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三、</w:t>
          </w:r>
          <w:r>
            <w:rPr>
              <w:rFonts w:hint="eastAsia" w:ascii="方正仿宋_GB2312" w:hAnsi="方正仿宋_GB2312" w:eastAsia="方正仿宋_GB2312" w:cs="方正仿宋_GB2312"/>
              <w:b/>
              <w:sz w:val="28"/>
              <w:szCs w:val="28"/>
              <w14:textFill>
                <w14:gradFill>
                  <w14:gsLst>
                    <w14:gs w14:pos="0">
                      <w14:srgbClr w14:val="012D86"/>
                    </w14:gs>
                    <w14:gs w14:pos="100000">
                      <w14:srgbClr w14:val="0E2557"/>
                    </w14:gs>
                  </w14:gsLst>
                  <w14:lin w14:ang="0" w14:scaled="0"/>
                </w14:gradFill>
              </w14:textFill>
            </w:rPr>
            <w:t xml:space="preserve"> 综合评价结论</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_Toc3948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11</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9"/>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"_Toc15061"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四、</w:t>
          </w:r>
          <w:r>
            <w:rPr>
              <w:rFonts w:hint="eastAsia" w:ascii="方正仿宋_GB2312" w:hAnsi="方正仿宋_GB2312" w:eastAsia="方正仿宋_GB2312" w:cs="方正仿宋_GB2312"/>
              <w:b/>
              <w:sz w:val="28"/>
              <w:szCs w:val="28"/>
              <w14:textFill>
                <w14:gradFill>
                  <w14:gsLst>
                    <w14:gs w14:pos="0">
                      <w14:srgbClr w14:val="012D86"/>
                    </w14:gs>
                    <w14:gs w14:pos="100000">
                      <w14:srgbClr w14:val="0E2557"/>
                    </w14:gs>
                  </w14:gsLst>
                  <w14:lin w14:ang="0" w14:scaled="0"/>
                </w14:gradFill>
              </w14:textFill>
            </w:rPr>
            <w:t>绩效评价指标分析</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_Toc15061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12</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"_Toc8849"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（一）立项决策情况</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_Toc8849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12</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"_Toc8011"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（二）过程管理情况</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_Toc8011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16</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"_Toc4997"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（三）项目产出情况</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_Toc4997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21</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pPr>
          <w:r>
            <w:fldChar w:fldCharType="begin"/>
          </w:r>
          <w:r>
            <w:instrText xml:space="preserve"> HYPERLINK \l "_Toc5654"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（四）项目效益情况</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_Toc5654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23</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9"/>
            <w:tabs>
              <w:tab w:val="right" w:leader="dot" w:pos="8306"/>
            </w:tabs>
            <w:rPr>
              <w:rFonts w:ascii="方正仿宋_GB2312" w:hAnsi="方正仿宋_GB2312" w:eastAsia="方正仿宋_GB2312" w:cs="方正仿宋_GB2312"/>
              <w:sz w:val="28"/>
              <w:szCs w:val="28"/>
            </w:rPr>
          </w:pPr>
          <w:r>
            <w:fldChar w:fldCharType="begin"/>
          </w:r>
          <w:r>
            <w:instrText xml:space="preserve"> HYPERLINK \l "_Toc30464"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五、</w:t>
          </w:r>
          <w:r>
            <w:rPr>
              <w:rFonts w:hint="eastAsia" w:ascii="方正仿宋_GB2312" w:hAnsi="方正仿宋_GB2312" w:eastAsia="方正仿宋_GB2312" w:cs="方正仿宋_GB2312"/>
              <w:b/>
              <w:sz w:val="28"/>
              <w:szCs w:val="28"/>
              <w14:textFill>
                <w14:gradFill>
                  <w14:gsLst>
                    <w14:gs w14:pos="0">
                      <w14:srgbClr w14:val="012D86"/>
                    </w14:gs>
                    <w14:gs w14:pos="100000">
                      <w14:srgbClr w14:val="0E2557"/>
                    </w14:gs>
                  </w14:gsLst>
                  <w14:lin w14:ang="0" w14:scaled="0"/>
                </w14:gradFill>
              </w14:textFill>
            </w:rPr>
            <w:t>存在的问题及改进建议</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ab/>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begin"/>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instrText xml:space="preserve"> PAGEREF _Toc30464 \h </w:instrTex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26</w:t>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fldChar w:fldCharType="end"/>
          </w:r>
        </w:p>
        <w:p>
          <w:pPr>
            <w:pStyle w:val="10"/>
            <w:tabs>
              <w:tab w:val="right" w:leader="dot" w:pos="8306"/>
            </w:tabs>
            <w:rPr>
              <w:rFonts w:ascii="方正仿宋_GB2312" w:hAnsi="方正仿宋_GB2312" w:eastAsia="方正仿宋_GB2312" w:cs="方正仿宋_GB2312"/>
              <w:sz w:val="28"/>
              <w:szCs w:val="28"/>
            </w:rPr>
          </w:pPr>
          <w:r>
            <w:fldChar w:fldCharType="begin"/>
          </w:r>
          <w:r>
            <w:instrText xml:space="preserve"> HYPERLINK \l "_Toc19431" </w:instrText>
          </w:r>
          <w:r>
            <w:fldChar w:fldCharType="separate"/>
          </w:r>
          <w:r>
            <w:rPr>
              <w:rFonts w:hint="eastAsia" w:ascii="方正仿宋_GB2312" w:hAnsi="方正仿宋_GB2312" w:eastAsia="方正仿宋_GB2312" w:cs="方正仿宋_GB2312"/>
              <w:sz w:val="28"/>
              <w:szCs w:val="28"/>
              <w14:textFill>
                <w14:gradFill>
                  <w14:gsLst>
                    <w14:gs w14:pos="0">
                      <w14:srgbClr w14:val="012D86"/>
                    </w14:gs>
                    <w14:gs w14:pos="100000">
                      <w14:srgbClr w14:val="0E2557"/>
                    </w14:gs>
                  </w14:gsLst>
                  <w14:lin w14:ang="0" w14:scaled="0"/>
                </w14:gradFill>
              </w14:textFill>
            </w:rPr>
            <w:t>（一）</w:t>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存在的问题</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_Toc19431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26</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rPr>
            <w:fldChar w:fldCharType="end"/>
          </w:r>
        </w:p>
        <w:p>
          <w:pPr>
            <w:pStyle w:val="10"/>
            <w:tabs>
              <w:tab w:val="right" w:leader="dot" w:pos="8306"/>
            </w:tabs>
            <w:rPr>
              <w:sz w:val="28"/>
              <w:szCs w:val="28"/>
            </w:rPr>
          </w:pPr>
          <w:r>
            <w:fldChar w:fldCharType="begin"/>
          </w:r>
          <w:r>
            <w:instrText xml:space="preserve"> HYPERLINK \l "_Toc27913" </w:instrText>
          </w:r>
          <w:r>
            <w:fldChar w:fldCharType="separate"/>
          </w:r>
          <w:r>
            <w:rPr>
              <w:rFonts w:hint="eastAsia" w:ascii="方正仿宋_GB2312" w:hAnsi="方正仿宋_GB2312" w:eastAsia="方正仿宋_GB2312" w:cs="方正仿宋_GB2312"/>
              <w:bCs/>
              <w:sz w:val="28"/>
              <w:szCs w:val="28"/>
              <w14:textFill>
                <w14:gradFill>
                  <w14:gsLst>
                    <w14:gs w14:pos="0">
                      <w14:srgbClr w14:val="012D86"/>
                    </w14:gs>
                    <w14:gs w14:pos="100000">
                      <w14:srgbClr w14:val="0E2557"/>
                    </w14:gs>
                  </w14:gsLst>
                  <w14:lin w14:ang="0" w14:scaled="0"/>
                </w14:gradFill>
              </w14:textFill>
            </w:rPr>
            <w:t>（二）改进建议</w:t>
          </w:r>
          <w:r>
            <w:rPr>
              <w:rFonts w:hint="eastAsia" w:ascii="方正仿宋_GB2312" w:hAnsi="方正仿宋_GB2312" w:eastAsia="方正仿宋_GB2312" w:cs="方正仿宋_GB2312"/>
              <w:sz w:val="28"/>
              <w:szCs w:val="28"/>
            </w:rPr>
            <w:tab/>
          </w:r>
          <w:r>
            <w:rPr>
              <w:rFonts w:hint="eastAsia" w:ascii="方正仿宋_GB2312" w:hAnsi="方正仿宋_GB2312" w:eastAsia="方正仿宋_GB2312" w:cs="方正仿宋_GB2312"/>
              <w:sz w:val="28"/>
              <w:szCs w:val="28"/>
            </w:rPr>
            <w:fldChar w:fldCharType="begin"/>
          </w:r>
          <w:r>
            <w:rPr>
              <w:rFonts w:hint="eastAsia" w:ascii="方正仿宋_GB2312" w:hAnsi="方正仿宋_GB2312" w:eastAsia="方正仿宋_GB2312" w:cs="方正仿宋_GB2312"/>
              <w:sz w:val="28"/>
              <w:szCs w:val="28"/>
            </w:rPr>
            <w:instrText xml:space="preserve"> PAGEREF _Toc27913 \h </w:instrText>
          </w:r>
          <w:r>
            <w:rPr>
              <w:rFonts w:hint="eastAsia" w:ascii="方正仿宋_GB2312" w:hAnsi="方正仿宋_GB2312" w:eastAsia="方正仿宋_GB2312" w:cs="方正仿宋_GB2312"/>
              <w:sz w:val="28"/>
              <w:szCs w:val="28"/>
            </w:rPr>
            <w:fldChar w:fldCharType="separate"/>
          </w:r>
          <w:r>
            <w:rPr>
              <w:rFonts w:hint="eastAsia" w:ascii="方正仿宋_GB2312" w:hAnsi="方正仿宋_GB2312" w:eastAsia="方正仿宋_GB2312" w:cs="方正仿宋_GB2312"/>
              <w:sz w:val="28"/>
              <w:szCs w:val="28"/>
            </w:rPr>
            <w:t>28</w:t>
          </w:r>
          <w:r>
            <w:rPr>
              <w:rFonts w:hint="eastAsia" w:ascii="方正仿宋_GB2312" w:hAnsi="方正仿宋_GB2312" w:eastAsia="方正仿宋_GB2312" w:cs="方正仿宋_GB2312"/>
              <w:sz w:val="28"/>
              <w:szCs w:val="28"/>
            </w:rPr>
            <w:fldChar w:fldCharType="end"/>
          </w:r>
          <w:r>
            <w:rPr>
              <w:rFonts w:hint="eastAsia" w:ascii="方正仿宋_GB2312" w:hAnsi="方正仿宋_GB2312" w:eastAsia="方正仿宋_GB2312" w:cs="方正仿宋_GB2312"/>
              <w:sz w:val="28"/>
              <w:szCs w:val="28"/>
            </w:rPr>
            <w:fldChar w:fldCharType="end"/>
          </w:r>
        </w:p>
        <w:p>
          <w:pPr>
            <w:pStyle w:val="9"/>
            <w:tabs>
              <w:tab w:val="right" w:leader="dot" w:pos="8306"/>
            </w:tabs>
          </w:pPr>
        </w:p>
        <w:p/>
        <w:p>
          <w:pPr>
            <w:jc w:val="center"/>
            <w:outlineLvl w:val="0"/>
            <w:rPr>
              <w:rFonts w:ascii="方正小标宋简体" w:hAnsi="方正小标宋简体" w:eastAsia="方正小标宋简体" w:cs="方正小标宋简体"/>
              <w:sz w:val="36"/>
              <w:szCs w:val="36"/>
              <w14:textFill>
                <w14:gradFill>
                  <w14:gsLst>
                    <w14:gs w14:pos="0">
                      <w14:srgbClr w14:val="012D86"/>
                    </w14:gs>
                    <w14:gs w14:pos="100000">
                      <w14:srgbClr w14:val="0E2557"/>
                    </w14:gs>
                  </w14:gsLst>
                  <w14:lin w14:ang="0" w14:scaled="0"/>
                </w14:gradFill>
              </w14:textFill>
            </w:rPr>
          </w:pPr>
          <w:bookmarkStart w:id="0" w:name="_Toc2955"/>
          <w:r>
            <w:rPr>
              <w:rFonts w:hint="eastAsia" w:ascii="方正小标宋简体" w:hAnsi="方正小标宋简体" w:eastAsia="方正小标宋简体" w:cs="方正小标宋简体"/>
              <w:sz w:val="36"/>
              <w:szCs w:val="36"/>
              <w14:textFill>
                <w14:gradFill>
                  <w14:gsLst>
                    <w14:gs w14:pos="0">
                      <w14:srgbClr w14:val="012D86"/>
                    </w14:gs>
                    <w14:gs w14:pos="100000">
                      <w14:srgbClr w14:val="0E2557"/>
                    </w14:gs>
                  </w14:gsLst>
                  <w14:lin w14:ang="0" w14:scaled="0"/>
                </w14:gradFill>
              </w14:textFill>
            </w:rPr>
            <w:t>内蒙古自治区特种设备检验研究院锅炉压力容器与特种设备安全监管项目绩效评价</w:t>
          </w:r>
          <w:bookmarkEnd w:id="0"/>
        </w:p>
        <w:p>
          <w:pPr>
            <w:jc w:val="right"/>
            <w:rPr>
              <w:rFonts w:ascii="仿宋" w:hAnsi="仿宋" w:eastAsia="仿宋" w:cs="仿宋"/>
              <w:sz w:val="30"/>
              <w:szCs w:val="30"/>
              <w14:textFill>
                <w14:gradFill>
                  <w14:gsLst>
                    <w14:gs w14:pos="0">
                      <w14:srgbClr w14:val="012D86"/>
                    </w14:gs>
                    <w14:gs w14:pos="100000">
                      <w14:srgbClr w14:val="0E2557"/>
                    </w14:gs>
                  </w14:gsLst>
                  <w14:lin w14:ang="0" w14:scaled="0"/>
                </w14:gradFill>
              </w14:textFill>
            </w:rPr>
          </w:pPr>
          <w:r>
            <w:rPr>
              <w:rFonts w:hint="eastAsia" w:ascii="仿宋" w:hAnsi="仿宋" w:eastAsia="仿宋" w:cs="仿宋"/>
              <w:color w:val="000000"/>
              <w:sz w:val="30"/>
              <w:szCs w:val="30"/>
              <w:shd w:val="clear" w:color="auto" w:fill="FFFFFF"/>
              <w14:textFill>
                <w14:gradFill>
                  <w14:gsLst>
                    <w14:gs w14:pos="0">
                      <w14:srgbClr w14:val="012D86"/>
                    </w14:gs>
                    <w14:gs w14:pos="100000">
                      <w14:srgbClr w14:val="0E2557"/>
                    </w14:gs>
                  </w14:gsLst>
                  <w14:lin w14:ang="0" w14:scaled="0"/>
                </w14:gradFill>
              </w14:textFill>
            </w:rPr>
            <w:t>内岳绩字【2023】第 号</w:t>
          </w:r>
        </w:p>
        <w:p>
          <w:r>
            <w:fldChar w:fldCharType="end"/>
          </w:r>
        </w:p>
      </w:sdtContent>
    </w:sdt>
    <w:p>
      <w:pPr>
        <w:spacing w:line="600" w:lineRule="exact"/>
        <w:ind w:firstLine="560" w:firstLineChars="200"/>
        <w:rPr>
          <w:rFonts w:ascii="华文楷体" w:hAnsi="华文楷体" w:eastAsia="华文楷体" w:cs="华文楷体"/>
          <w:sz w:val="28"/>
          <w:szCs w:val="28"/>
          <w14:textFill>
            <w14:gradFill>
              <w14:gsLst>
                <w14:gs w14:pos="0">
                  <w14:srgbClr w14:val="012D86"/>
                </w14:gs>
                <w14:gs w14:pos="100000">
                  <w14:srgbClr w14:val="0E2557"/>
                </w14:gs>
              </w14:gsLst>
              <w14:lin w14:ang="0" w14:scaled="0"/>
            </w14:gradFill>
          </w14:textFill>
        </w:rPr>
      </w:pPr>
      <w:r>
        <w:rPr>
          <w:rFonts w:hint="eastAsia" w:ascii="华文楷体" w:hAnsi="华文楷体" w:eastAsia="华文楷体" w:cs="华文楷体"/>
          <w:sz w:val="28"/>
          <w:szCs w:val="28"/>
          <w14:textFill>
            <w14:gradFill>
              <w14:gsLst>
                <w14:gs w14:pos="0">
                  <w14:srgbClr w14:val="012D86"/>
                </w14:gs>
                <w14:gs w14:pos="100000">
                  <w14:srgbClr w14:val="0E2557"/>
                </w14:gs>
              </w14:gsLst>
              <w14:lin w14:ang="0" w14:scaled="0"/>
            </w14:gradFill>
          </w14:textFill>
        </w:rPr>
        <w:t>[</w:t>
      </w:r>
      <w:r>
        <w:rPr>
          <w:rFonts w:hint="eastAsia" w:ascii="宋体" w:hAnsi="宋体" w:eastAsia="宋体" w:cs="宋体"/>
          <w:b/>
          <w:bCs/>
          <w:sz w:val="28"/>
          <w:szCs w:val="28"/>
          <w14:textFill>
            <w14:gradFill>
              <w14:gsLst>
                <w14:gs w14:pos="0">
                  <w14:srgbClr w14:val="012D86"/>
                </w14:gs>
                <w14:gs w14:pos="100000">
                  <w14:srgbClr w14:val="0E2557"/>
                </w14:gs>
              </w14:gsLst>
              <w14:lin w14:ang="0" w14:scaled="0"/>
            </w14:gradFill>
          </w14:textFill>
        </w:rPr>
        <w:t>引言</w:t>
      </w:r>
      <w:r>
        <w:rPr>
          <w:rFonts w:hint="eastAsia" w:ascii="华文楷体" w:hAnsi="华文楷体" w:eastAsia="华文楷体" w:cs="华文楷体"/>
          <w:sz w:val="28"/>
          <w:szCs w:val="28"/>
          <w14:textFill>
            <w14:gradFill>
              <w14:gsLst>
                <w14:gs w14:pos="0">
                  <w14:srgbClr w14:val="012D86"/>
                </w14:gs>
                <w14:gs w14:pos="100000">
                  <w14:srgbClr w14:val="0E2557"/>
                </w14:gs>
              </w14:gsLst>
              <w14:lin w14:ang="0" w14:scaled="0"/>
            </w14:gradFill>
          </w14:textFill>
        </w:rPr>
        <w:t>]内蒙古岳峰会计师事务所（以下简称事务所）接受委托对内蒙古自治区特种设备检验研究院（以下简称特检院或项目单位）2022年锅炉压力容器与特种设备安全监管项目进行绩效评价，为此，事务所成立专门评价小组，依据</w:t>
      </w:r>
      <w:r>
        <w:rPr>
          <w:rFonts w:hint="eastAsia" w:ascii="华文楷体" w:hAnsi="华文楷体" w:eastAsia="华文楷体" w:cs="华文楷体"/>
          <w:spacing w:val="-5"/>
          <w:sz w:val="28"/>
          <w:szCs w:val="28"/>
          <w14:textFill>
            <w14:gradFill>
              <w14:gsLst>
                <w14:gs w14:pos="0">
                  <w14:srgbClr w14:val="012D86"/>
                </w14:gs>
                <w14:gs w14:pos="100000">
                  <w14:srgbClr w14:val="0E2557"/>
                </w14:gs>
              </w14:gsLst>
              <w14:lin w14:ang="0" w14:scaled="0"/>
            </w14:gradFill>
          </w14:textFill>
        </w:rPr>
        <w:t>《特种设备安全法》、</w:t>
      </w:r>
      <w:r>
        <w:rPr>
          <w:rFonts w:hint="eastAsia" w:ascii="华文楷体" w:hAnsi="华文楷体" w:eastAsia="华文楷体" w:cs="华文楷体"/>
          <w:sz w:val="28"/>
          <w:szCs w:val="28"/>
          <w14:textFill>
            <w14:gradFill>
              <w14:gsLst>
                <w14:gs w14:pos="0">
                  <w14:srgbClr w14:val="012D86"/>
                </w14:gs>
                <w14:gs w14:pos="100000">
                  <w14:srgbClr w14:val="0E2557"/>
                </w14:gs>
              </w14:gsLst>
              <w14:lin w14:ang="0" w14:scaled="0"/>
            </w14:gradFill>
          </w14:textFill>
        </w:rPr>
        <w:t>《中华人民共和国预算法》、《中华人民共和国预算法实施条例》、《事业单位财务规则》、</w:t>
      </w:r>
      <w:r>
        <w:rPr>
          <w:rFonts w:hint="eastAsia" w:ascii="方正楷体_GB2312" w:hAnsi="方正楷体_GB2312" w:eastAsia="方正楷体_GB2312" w:cs="方正楷体_GB2312"/>
          <w:sz w:val="28"/>
          <w:szCs w:val="28"/>
          <w14:textFill>
            <w14:gradFill>
              <w14:gsLst>
                <w14:gs w14:pos="0">
                  <w14:srgbClr w14:val="012D86"/>
                </w14:gs>
                <w14:gs w14:pos="100000">
                  <w14:srgbClr w14:val="0E2557"/>
                </w14:gs>
              </w14:gsLst>
              <w14:lin w14:ang="0" w14:scaled="0"/>
            </w14:gradFill>
          </w14:textFill>
        </w:rPr>
        <w:t>财政部《关于印发&lt;项目支出绩效评价管理办法&gt;的通知》（财预</w:t>
      </w:r>
      <w:r>
        <w:rPr>
          <w:rFonts w:ascii="Times New Roman" w:hAnsi="Times New Roman" w:eastAsia="方正楷体_GB2312" w:cs="Times New Roman"/>
          <w:sz w:val="28"/>
          <w:szCs w:val="28"/>
          <w14:textFill>
            <w14:gradFill>
              <w14:gsLst>
                <w14:gs w14:pos="0">
                  <w14:srgbClr w14:val="012D86"/>
                </w14:gs>
                <w14:gs w14:pos="100000">
                  <w14:srgbClr w14:val="0E2557"/>
                </w14:gs>
              </w14:gsLst>
              <w14:lin w14:ang="0" w14:scaled="0"/>
            </w14:gradFill>
          </w14:textFill>
        </w:rPr>
        <w:t xml:space="preserve">〔2020〕10 </w:t>
      </w:r>
      <w:r>
        <w:rPr>
          <w:rFonts w:hint="eastAsia" w:ascii="方正楷体_GB2312" w:hAnsi="方正楷体_GB2312" w:eastAsia="方正楷体_GB2312" w:cs="方正楷体_GB2312"/>
          <w:sz w:val="28"/>
          <w:szCs w:val="28"/>
          <w14:textFill>
            <w14:gradFill>
              <w14:gsLst>
                <w14:gs w14:pos="0">
                  <w14:srgbClr w14:val="012D86"/>
                </w14:gs>
                <w14:gs w14:pos="100000">
                  <w14:srgbClr w14:val="0E2557"/>
                </w14:gs>
              </w14:gsLst>
              <w14:lin w14:ang="0" w14:scaled="0"/>
            </w14:gradFill>
          </w14:textFill>
        </w:rPr>
        <w:t>号）精神、</w:t>
      </w:r>
      <w:r>
        <w:rPr>
          <w:rFonts w:hint="eastAsia" w:ascii="华文楷体" w:hAnsi="华文楷体" w:eastAsia="华文楷体" w:cs="华文楷体"/>
          <w:sz w:val="28"/>
          <w:szCs w:val="28"/>
          <w14:textFill>
            <w14:gradFill>
              <w14:gsLst>
                <w14:gs w14:pos="0">
                  <w14:srgbClr w14:val="012D86"/>
                </w14:gs>
                <w14:gs w14:pos="100000">
                  <w14:srgbClr w14:val="0E2557"/>
                </w14:gs>
              </w14:gsLst>
              <w14:lin w14:ang="0" w14:scaled="0"/>
            </w14:gradFill>
          </w14:textFill>
        </w:rPr>
        <w:t>内蒙古自治区人民政府办公厅关于印发《内蒙古自治区本级项目支出预算管理办法》的通知内政办发</w:t>
      </w:r>
      <w:r>
        <w:rPr>
          <w:rFonts w:ascii="Times New Roman" w:hAnsi="Times New Roman" w:eastAsia="华文楷体" w:cs="Times New Roman"/>
          <w:sz w:val="28"/>
          <w:szCs w:val="28"/>
          <w14:textFill>
            <w14:gradFill>
              <w14:gsLst>
                <w14:gs w14:pos="0">
                  <w14:srgbClr w14:val="012D86"/>
                </w14:gs>
                <w14:gs w14:pos="100000">
                  <w14:srgbClr w14:val="0E2557"/>
                </w14:gs>
              </w14:gsLst>
              <w14:lin w14:ang="0" w14:scaled="0"/>
            </w14:gradFill>
          </w14:textFill>
        </w:rPr>
        <w:t>〔2016〕136号、</w:t>
      </w:r>
      <w:r>
        <w:rPr>
          <w:rFonts w:hint="eastAsia" w:ascii="方正楷体_GB2312" w:hAnsi="方正楷体_GB2312" w:eastAsia="方正楷体_GB2312" w:cs="方正楷体_GB2312"/>
          <w:sz w:val="28"/>
          <w:szCs w:val="28"/>
          <w14:textFill>
            <w14:gradFill>
              <w14:gsLst>
                <w14:gs w14:pos="0">
                  <w14:srgbClr w14:val="012D86"/>
                </w14:gs>
                <w14:gs w14:pos="100000">
                  <w14:srgbClr w14:val="0E2557"/>
                </w14:gs>
              </w14:gsLst>
              <w14:lin w14:ang="0" w14:scaled="0"/>
            </w14:gradFill>
          </w14:textFill>
        </w:rPr>
        <w:t>《内蒙古自治区关于全面实施预算绩效管理的实施意见》（内财监〔2019〕1343号）、</w:t>
      </w:r>
      <w:r>
        <w:rPr>
          <w:rFonts w:ascii="Times New Roman" w:hAnsi="Times New Roman" w:eastAsia="方正楷体_GB2312" w:cs="Times New Roman"/>
          <w:sz w:val="28"/>
          <w:szCs w:val="28"/>
          <w14:textFill>
            <w14:gradFill>
              <w14:gsLst>
                <w14:gs w14:pos="0">
                  <w14:srgbClr w14:val="012D86"/>
                </w14:gs>
                <w14:gs w14:pos="100000">
                  <w14:srgbClr w14:val="0E2557"/>
                </w14:gs>
              </w14:gsLst>
              <w14:lin w14:ang="0" w14:scaled="0"/>
            </w14:gradFill>
          </w14:textFill>
        </w:rPr>
        <w:t>《内蒙古自治区项目支出绩效评价管理办法》（2021</w:t>
      </w:r>
      <w:r>
        <w:rPr>
          <w:rFonts w:hint="eastAsia" w:ascii="方正楷体_GB2312" w:hAnsi="方正楷体_GB2312" w:eastAsia="方正楷体_GB2312" w:cs="方正楷体_GB2312"/>
          <w:sz w:val="28"/>
          <w:szCs w:val="28"/>
          <w14:textFill>
            <w14:gradFill>
              <w14:gsLst>
                <w14:gs w14:pos="0">
                  <w14:srgbClr w14:val="012D86"/>
                </w14:gs>
                <w14:gs w14:pos="100000">
                  <w14:srgbClr w14:val="0E2557"/>
                </w14:gs>
              </w14:gsLst>
              <w14:lin w14:ang="0" w14:scaled="0"/>
            </w14:gradFill>
          </w14:textFill>
        </w:rPr>
        <w:t>发布）等法律法</w:t>
      </w:r>
      <w:r>
        <w:rPr>
          <w:rFonts w:hint="eastAsia" w:ascii="华文楷体" w:hAnsi="华文楷体" w:eastAsia="华文楷体" w:cs="华文楷体"/>
          <w:sz w:val="28"/>
          <w:szCs w:val="28"/>
          <w14:textFill>
            <w14:gradFill>
              <w14:gsLst>
                <w14:gs w14:pos="0">
                  <w14:srgbClr w14:val="012D86"/>
                </w14:gs>
                <w14:gs w14:pos="100000">
                  <w14:srgbClr w14:val="0E2557"/>
                </w14:gs>
              </w14:gsLst>
              <w14:lin w14:ang="0" w14:scaled="0"/>
            </w14:gradFill>
          </w14:textFill>
        </w:rPr>
        <w:t>规对该项目展开评价。评价组与项目单位业务部门和财务部门进行了沟通探讨，通过与相关人员面谈、查阅相关资料，访谈调查；分别从项目立项决策、实施管理以及产出和效益等方面进行了全方位评价，一致认为该项目立项符合国家及自治区锅炉压力容器与特种设备安全监管相关产业政策和本单位的职能定位，目标明确，项目实施组织有序，管理基本规范，基本达到绩效目标。但也存在一些不足，比如</w:t>
      </w:r>
      <w:r>
        <w:rPr>
          <w:rFonts w:hint="eastAsia" w:ascii="华文楷体" w:hAnsi="华文楷体" w:eastAsia="华文楷体" w:cs="华文楷体"/>
          <w:kern w:val="0"/>
          <w:sz w:val="28"/>
          <w:szCs w:val="28"/>
          <w:shd w:val="clear" w:color="auto" w:fill="FFFFFF"/>
          <w:lang w:bidi="ar"/>
          <w14:textFill>
            <w14:gradFill>
              <w14:gsLst>
                <w14:gs w14:pos="0">
                  <w14:srgbClr w14:val="012D86"/>
                </w14:gs>
                <w14:gs w14:pos="100000">
                  <w14:srgbClr w14:val="0E2557"/>
                </w14:gs>
              </w14:gsLst>
              <w14:lin w14:ang="0" w14:scaled="0"/>
            </w14:gradFill>
          </w14:textFill>
        </w:rPr>
        <w:t>绩效目标设定的指标量化、细化不足，项目管理制度尚不完善，项目支出边界不清，项目管理长效机制还未健全等问题。</w:t>
      </w:r>
      <w:r>
        <w:rPr>
          <w:rFonts w:hint="eastAsia" w:ascii="华文楷体" w:hAnsi="华文楷体" w:eastAsia="华文楷体" w:cs="华文楷体"/>
          <w:sz w:val="28"/>
          <w:szCs w:val="28"/>
          <w14:textFill>
            <w14:gradFill>
              <w14:gsLst>
                <w14:gs w14:pos="0">
                  <w14:srgbClr w14:val="012D86"/>
                </w14:gs>
                <w14:gs w14:pos="100000">
                  <w14:srgbClr w14:val="0E2557"/>
                </w14:gs>
              </w14:gsLst>
              <w14:lin w14:ang="0" w14:scaled="0"/>
            </w14:gradFill>
          </w14:textFill>
        </w:rPr>
        <w:t>经综合分析评估得分为90分，评价结果为优。</w:t>
      </w:r>
    </w:p>
    <w:p>
      <w:pPr>
        <w:pStyle w:val="2"/>
        <w:spacing w:line="400" w:lineRule="exact"/>
        <w:rPr>
          <w:rFonts w:ascii="黑体" w:hAnsi="黑体" w:eastAsia="黑体" w:cs="黑体"/>
          <w:b w:val="0"/>
          <w:bCs/>
          <w:sz w:val="32"/>
          <w:szCs w:val="32"/>
          <w14:textFill>
            <w14:gradFill>
              <w14:gsLst>
                <w14:gs w14:pos="0">
                  <w14:srgbClr w14:val="012D86"/>
                </w14:gs>
                <w14:gs w14:pos="100000">
                  <w14:srgbClr w14:val="0E2557"/>
                </w14:gs>
              </w14:gsLst>
              <w14:lin w14:ang="0" w14:scaled="0"/>
            </w14:gradFill>
          </w14:textFill>
        </w:rPr>
      </w:pPr>
      <w:bookmarkStart w:id="1" w:name="_Toc24975"/>
      <w:bookmarkStart w:id="2" w:name="_Toc15985"/>
      <w:r>
        <w:rPr>
          <w:rFonts w:hint="eastAsia"/>
          <w:sz w:val="32"/>
          <w:szCs w:val="32"/>
          <w14:textFill>
            <w14:gradFill>
              <w14:gsLst>
                <w14:gs w14:pos="0">
                  <w14:srgbClr w14:val="012D86"/>
                </w14:gs>
                <w14:gs w14:pos="100000">
                  <w14:srgbClr w14:val="0E2557"/>
                </w14:gs>
              </w14:gsLst>
              <w14:lin w14:ang="0" w14:scaled="0"/>
            </w14:gradFill>
          </w14:textFill>
        </w:rPr>
        <w:t xml:space="preserve">   </w:t>
      </w:r>
      <w:r>
        <w:rPr>
          <w:rFonts w:hint="eastAsia" w:ascii="黑体" w:hAnsi="黑体" w:eastAsia="黑体" w:cs="黑体"/>
          <w:b w:val="0"/>
          <w:bCs/>
          <w:sz w:val="32"/>
          <w:szCs w:val="32"/>
          <w14:textFill>
            <w14:gradFill>
              <w14:gsLst>
                <w14:gs w14:pos="0">
                  <w14:srgbClr w14:val="012D86"/>
                </w14:gs>
                <w14:gs w14:pos="100000">
                  <w14:srgbClr w14:val="0E2557"/>
                </w14:gs>
              </w14:gsLst>
              <w14:lin w14:ang="0" w14:scaled="0"/>
            </w14:gradFill>
          </w14:textFill>
        </w:rPr>
        <w:t>一、项目基本情况</w:t>
      </w:r>
      <w:bookmarkEnd w:id="1"/>
      <w:bookmarkEnd w:id="2"/>
    </w:p>
    <w:p>
      <w:pPr>
        <w:spacing w:line="400" w:lineRule="exact"/>
        <w:ind w:firstLine="643" w:firstLineChars="200"/>
        <w:outlineLvl w:val="1"/>
        <w:rPr>
          <w:rFonts w:ascii="楷体" w:hAnsi="楷体" w:eastAsia="楷体" w:cs="楷体"/>
          <w:b/>
          <w:bCs/>
          <w:sz w:val="32"/>
          <w:szCs w:val="32"/>
          <w14:textFill>
            <w14:gradFill>
              <w14:gsLst>
                <w14:gs w14:pos="0">
                  <w14:srgbClr w14:val="012D86"/>
                </w14:gs>
                <w14:gs w14:pos="100000">
                  <w14:srgbClr w14:val="0E2557"/>
                </w14:gs>
              </w14:gsLst>
              <w14:lin w14:ang="0" w14:scaled="0"/>
            </w14:gradFill>
          </w14:textFill>
        </w:rPr>
      </w:pPr>
      <w:bookmarkStart w:id="3" w:name="_Toc18783"/>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（一）项目实施目的</w:t>
      </w:r>
      <w:bookmarkEnd w:id="3"/>
    </w:p>
    <w:p>
      <w:pPr>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按照项目单位职能定位，锅炉压力容器与特种设备安全监管项目属特检院经常性</w:t>
      </w:r>
      <w:r>
        <w:rPr>
          <w:rFonts w:hint="eastAsia" w:ascii="方正仿宋_GB2312" w:hAnsi="方正仿宋_GB2312" w:eastAsia="方正仿宋_GB2312" w:cs="方正仿宋_GB2312"/>
          <w:color w:val="333333"/>
          <w:sz w:val="32"/>
          <w:szCs w:val="32"/>
          <w14:textFill>
            <w14:gradFill>
              <w14:gsLst>
                <w14:gs w14:pos="0">
                  <w14:srgbClr w14:val="012D86"/>
                </w14:gs>
                <w14:gs w14:pos="100000">
                  <w14:srgbClr w14:val="0E2557"/>
                </w14:gs>
              </w14:gsLst>
              <w14:lin w14:ang="0" w14:scaled="0"/>
            </w14:gradFill>
          </w14:textFill>
        </w:rPr>
        <w:t>专项业务</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项目。特种设备包括锅炉、压力容器、压力管道、电梯、起重机械、 客运索道、场（厂）内机动车辆、大型游乐设施等。具有高压、高温、高空、高速、易燃、易爆条件下运行的特点，对人身和财产安全有较大的危险性，一旦发生事故，除了造成事故本身的破坏外，极有可能诱发更大的灾难性事故。根据《特种设备安全法》的规定，特种设备使用单位应当按要求进行检验合格后方能使用。特种设备的安全运行，不仅关乎社会公众的生命安全，也是</w:t>
      </w:r>
      <w:r>
        <w:rPr>
          <w:rFonts w:ascii="仿宋_GB2312" w:hAnsi="仿宋_GB2312" w:eastAsia="仿宋_GB2312" w:cs="仿宋_GB2312"/>
          <w:color w:val="333333"/>
          <w:sz w:val="32"/>
          <w:szCs w:val="32"/>
          <w:shd w:val="clear" w:color="auto" w:fill="FFFFFF"/>
          <w14:textFill>
            <w14:gradFill>
              <w14:gsLst>
                <w14:gs w14:pos="0">
                  <w14:srgbClr w14:val="012D86"/>
                </w14:gs>
                <w14:gs w14:pos="100000">
                  <w14:srgbClr w14:val="0E2557"/>
                </w14:gs>
              </w14:gsLst>
              <w14:lin w14:ang="0" w14:scaled="0"/>
            </w14:gradFill>
          </w14:textFill>
        </w:rPr>
        <w:t>企业发展的“生命线”和“压舱石”</w:t>
      </w:r>
      <w:r>
        <w:rPr>
          <w:rFonts w:hint="eastAsia" w:ascii="仿宋_GB2312" w:hAnsi="仿宋_GB2312" w:eastAsia="仿宋_GB2312" w:cs="仿宋_GB2312"/>
          <w:color w:val="333333"/>
          <w:sz w:val="32"/>
          <w:szCs w:val="32"/>
          <w:shd w:val="clear" w:color="auto" w:fill="FFFFFF"/>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随着我区社会经济的发展，特种设备的检验市场需求逐年增加，对检验质量要求也逐年提高，为</w:t>
      </w:r>
      <w:r>
        <w:rPr>
          <w:rFonts w:hint="eastAsia" w:ascii="方正仿宋_GB2312" w:hAnsi="方正仿宋_GB2312" w:eastAsia="方正仿宋_GB2312" w:cs="方正仿宋_GB2312"/>
          <w:color w:val="333333"/>
          <w:sz w:val="32"/>
          <w:szCs w:val="32"/>
          <w:shd w:val="clear" w:color="auto" w:fill="FFFFFF"/>
          <w14:textFill>
            <w14:gradFill>
              <w14:gsLst>
                <w14:gs w14:pos="0">
                  <w14:srgbClr w14:val="012D86"/>
                </w14:gs>
                <w14:gs w14:pos="100000">
                  <w14:srgbClr w14:val="0E2557"/>
                </w14:gs>
              </w14:gsLst>
              <w14:lin w14:ang="0" w14:scaled="0"/>
            </w14:gradFill>
          </w14:textFill>
        </w:rPr>
        <w:t>优化营商环境服务市场主体，</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建立锅炉压力容器与特种设备安全监管项目，目的是为确保全区特种设备能够在安全状态下运行，为企业事业单位安全生产及财产安全提供保障，有效防范各种特种设备事故的发生，确保人民群众生命财产安全。</w:t>
      </w:r>
    </w:p>
    <w:p>
      <w:pPr>
        <w:spacing w:line="640" w:lineRule="exact"/>
        <w:ind w:left="630"/>
        <w:outlineLvl w:val="1"/>
        <w:rPr>
          <w:rFonts w:ascii="华文楷体" w:hAnsi="华文楷体" w:eastAsia="华文楷体" w:cs="华文楷体"/>
          <w:b/>
          <w:bCs/>
          <w:sz w:val="32"/>
          <w:szCs w:val="32"/>
          <w14:textFill>
            <w14:gradFill>
              <w14:gsLst>
                <w14:gs w14:pos="0">
                  <w14:srgbClr w14:val="012D86"/>
                </w14:gs>
                <w14:gs w14:pos="100000">
                  <w14:srgbClr w14:val="0E2557"/>
                </w14:gs>
              </w14:gsLst>
              <w14:lin w14:ang="0" w14:scaled="0"/>
            </w14:gradFill>
          </w14:textFill>
        </w:rPr>
      </w:pPr>
      <w:bookmarkStart w:id="4" w:name="_Toc1120"/>
      <w:r>
        <w:rPr>
          <w:rFonts w:hint="eastAsia" w:ascii="华文楷体" w:hAnsi="华文楷体" w:eastAsia="华文楷体" w:cs="华文楷体"/>
          <w:sz w:val="32"/>
          <w:szCs w:val="32"/>
          <w14:textFill>
            <w14:gradFill>
              <w14:gsLst>
                <w14:gs w14:pos="0">
                  <w14:srgbClr w14:val="012D86"/>
                </w14:gs>
                <w14:gs w14:pos="100000">
                  <w14:srgbClr w14:val="0E2557"/>
                </w14:gs>
              </w14:gsLst>
              <w14:lin w14:ang="0" w14:scaled="0"/>
            </w14:gradFill>
          </w14:textFill>
        </w:rPr>
        <w:t>（二）</w:t>
      </w:r>
      <w:r>
        <w:rPr>
          <w:rFonts w:hint="eastAsia" w:ascii="华文楷体" w:hAnsi="华文楷体" w:eastAsia="华文楷体" w:cs="华文楷体"/>
          <w:b/>
          <w:bCs/>
          <w:sz w:val="32"/>
          <w:szCs w:val="32"/>
          <w14:textFill>
            <w14:gradFill>
              <w14:gsLst>
                <w14:gs w14:pos="0">
                  <w14:srgbClr w14:val="012D86"/>
                </w14:gs>
                <w14:gs w14:pos="100000">
                  <w14:srgbClr w14:val="0E2557"/>
                </w14:gs>
              </w14:gsLst>
              <w14:lin w14:ang="0" w14:scaled="0"/>
            </w14:gradFill>
          </w14:textFill>
        </w:rPr>
        <w:t>项目单位基本情况</w:t>
      </w:r>
      <w:bookmarkEnd w:id="4"/>
    </w:p>
    <w:p>
      <w:pPr>
        <w:widowControl/>
        <w:spacing w:before="240" w:after="240"/>
        <w:ind w:firstLine="640" w:firstLineChars="200"/>
        <w:rPr>
          <w:rFonts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特检院</w:t>
      </w:r>
      <w:r>
        <w:rPr>
          <w:rFonts w:hint="eastAsia"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t>由原</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自治区锅炉压力容</w:t>
      </w:r>
      <w:r>
        <w:rPr>
          <w:rFonts w:hint="eastAsia"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t>器检验研究院、自治区特种设备检验院以及</w:t>
      </w:r>
      <w:r>
        <w:rPr>
          <w:rFonts w:ascii="Times New Roman" w:hAnsi="Times New Roman" w:eastAsia="仿宋" w:cs="Times New Roman"/>
          <w:color w:val="181818"/>
          <w:sz w:val="32"/>
          <w:szCs w:val="32"/>
          <w:shd w:val="clear" w:color="auto" w:fill="FFFFFF"/>
          <w14:textFill>
            <w14:gradFill>
              <w14:gsLst>
                <w14:gs w14:pos="0">
                  <w14:srgbClr w14:val="012D86"/>
                </w14:gs>
                <w14:gs w14:pos="100000">
                  <w14:srgbClr w14:val="0E2557"/>
                </w14:gs>
              </w14:gsLst>
              <w14:lin w14:ang="0" w14:scaled="0"/>
            </w14:gradFill>
          </w14:textFill>
        </w:rPr>
        <w:t>13</w:t>
      </w:r>
      <w:r>
        <w:rPr>
          <w:rFonts w:hint="eastAsia"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t>个驻盟市特种设备检验机构等单位整合组成，于</w:t>
      </w:r>
      <w:r>
        <w:rPr>
          <w:rFonts w:ascii="Times New Roman" w:hAnsi="Times New Roman" w:eastAsia="仿宋" w:cs="Times New Roman"/>
          <w:color w:val="181818"/>
          <w:sz w:val="32"/>
          <w:szCs w:val="32"/>
          <w:shd w:val="clear" w:color="auto" w:fill="FFFFFF"/>
          <w14:textFill>
            <w14:gradFill>
              <w14:gsLst>
                <w14:gs w14:pos="0">
                  <w14:srgbClr w14:val="012D86"/>
                </w14:gs>
                <w14:gs w14:pos="100000">
                  <w14:srgbClr w14:val="0E2557"/>
                </w14:gs>
              </w14:gsLst>
              <w14:lin w14:ang="0" w14:scaled="0"/>
            </w14:gradFill>
          </w14:textFill>
        </w:rPr>
        <w:t>2021</w:t>
      </w:r>
      <w:r>
        <w:rPr>
          <w:rFonts w:hint="eastAsia"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t>年</w:t>
      </w:r>
      <w:r>
        <w:rPr>
          <w:rFonts w:ascii="Times New Roman" w:hAnsi="Times New Roman" w:eastAsia="仿宋" w:cs="Times New Roman"/>
          <w:color w:val="181818"/>
          <w:sz w:val="32"/>
          <w:szCs w:val="32"/>
          <w:shd w:val="clear" w:color="auto" w:fill="FFFFFF"/>
          <w14:textFill>
            <w14:gradFill>
              <w14:gsLst>
                <w14:gs w14:pos="0">
                  <w14:srgbClr w14:val="012D86"/>
                </w14:gs>
                <w14:gs w14:pos="100000">
                  <w14:srgbClr w14:val="0E2557"/>
                </w14:gs>
              </w14:gsLst>
              <w14:lin w14:ang="0" w14:scaled="0"/>
            </w14:gradFill>
          </w14:textFill>
        </w:rPr>
        <w:t>2</w:t>
      </w:r>
      <w:r>
        <w:rPr>
          <w:rFonts w:hint="eastAsia"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t>月</w:t>
      </w:r>
      <w:r>
        <w:rPr>
          <w:rFonts w:ascii="Times New Roman" w:hAnsi="Times New Roman" w:eastAsia="仿宋" w:cs="Times New Roman"/>
          <w:color w:val="181818"/>
          <w:sz w:val="32"/>
          <w:szCs w:val="32"/>
          <w:shd w:val="clear" w:color="auto" w:fill="FFFFFF"/>
          <w14:textFill>
            <w14:gradFill>
              <w14:gsLst>
                <w14:gs w14:pos="0">
                  <w14:srgbClr w14:val="012D86"/>
                </w14:gs>
                <w14:gs w14:pos="100000">
                  <w14:srgbClr w14:val="0E2557"/>
                </w14:gs>
              </w14:gsLst>
              <w14:lin w14:ang="0" w14:scaled="0"/>
            </w14:gradFill>
          </w14:textFill>
        </w:rPr>
        <w:t>25</w:t>
      </w:r>
      <w:r>
        <w:rPr>
          <w:rFonts w:hint="eastAsia"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t>日挂牌成立，属内蒙古自治区市场监督管理局，相当于正处级公益二类事业单位。下设驻盟市副处级分院11个（内蒙古自治区特种设备检验研究院包头分院、呼伦贝尔分院、兴安分院、通辽分院、赤峰分院、锡林郭勒分院、乌兰察布分院、鄂尔多斯分院、巴彦淖尔分院、乌海分院、阿拉善分院）、正科级分院2个（满洲里分院、二连浩特分院），为总院分支机构。</w:t>
      </w:r>
    </w:p>
    <w:p>
      <w:pPr>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至2022年底特检院全院核定事业编制582名，其中总院54名，盟市分院合计527名。全院现有在职人员1396人，其中在编人员535名，编制外聘用人员861名。全院固定资产9.1亿元，办公和检验场所建筑面积19.64万平方米。</w:t>
      </w:r>
    </w:p>
    <w:p>
      <w:pPr>
        <w:widowControl/>
        <w:spacing w:before="240" w:after="240"/>
        <w:ind w:firstLine="640" w:firstLineChars="200"/>
        <w:rPr>
          <w:rFonts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kern w:val="0"/>
          <w:sz w:val="32"/>
          <w:szCs w:val="32"/>
          <w14:textFill>
            <w14:gradFill>
              <w14:gsLst>
                <w14:gs w14:pos="0">
                  <w14:srgbClr w14:val="012D86"/>
                </w14:gs>
                <w14:gs w14:pos="100000">
                  <w14:srgbClr w14:val="0E2557"/>
                </w14:gs>
              </w14:gsLst>
              <w14:lin w14:ang="0" w14:scaled="0"/>
            </w14:gradFill>
          </w14:textFill>
        </w:rPr>
        <w:t>主要职能是</w:t>
      </w:r>
      <w:r>
        <w:rPr>
          <w:rFonts w:hint="eastAsia" w:ascii="方正仿宋_GB2312" w:hAnsi="方正仿宋_GB2312" w:eastAsia="方正仿宋_GB2312" w:cs="方正仿宋_GB2312"/>
          <w:color w:val="181818"/>
          <w:sz w:val="32"/>
          <w:szCs w:val="32"/>
          <w:shd w:val="clear" w:color="auto" w:fill="FFFFFF"/>
          <w14:textFill>
            <w14:gradFill>
              <w14:gsLst>
                <w14:gs w14:pos="0">
                  <w14:srgbClr w14:val="012D86"/>
                </w14:gs>
                <w14:gs w14:pos="100000">
                  <w14:srgbClr w14:val="0E2557"/>
                </w14:gs>
              </w14:gsLst>
              <w14:lin w14:ang="0" w14:scaled="0"/>
            </w14:gradFill>
          </w14:textFill>
        </w:rPr>
        <w:t>承担自治区特种设备的检测检验以及自治区市场监督管理局交办的其他相关任务。</w:t>
      </w:r>
    </w:p>
    <w:p>
      <w:pPr>
        <w:numPr>
          <w:ilvl w:val="0"/>
          <w:numId w:val="1"/>
        </w:numPr>
        <w:ind w:firstLine="643" w:firstLineChars="200"/>
        <w:outlineLvl w:val="1"/>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bookmarkStart w:id="5" w:name="_Toc11245"/>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项目支出内容</w:t>
      </w:r>
    </w:p>
    <w:p>
      <w:pPr>
        <w:ind w:firstLine="640" w:firstLineChars="200"/>
        <w:rPr>
          <w:rFonts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项目支出主要包括为检测</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人员的工资福利津补贴支出、差旅支出、车辆支出、办公、水电、技术培训、设施维修支出等费用类支出以及实险基地场地等基础设施建设、专用设备、材料购置、信息网络建设使用等资本性支出。</w:t>
      </w:r>
    </w:p>
    <w:p>
      <w:pPr>
        <w:numPr>
          <w:ilvl w:val="0"/>
          <w:numId w:val="1"/>
        </w:numPr>
        <w:ind w:firstLine="643" w:firstLineChars="200"/>
        <w:outlineLvl w:val="1"/>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项目资金来源以及支出预决算情况</w:t>
      </w:r>
      <w:bookmarkEnd w:id="5"/>
    </w:p>
    <w:p>
      <w:pPr>
        <w:ind w:firstLine="640" w:firstLineChars="200"/>
        <w:rPr>
          <w:rFonts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项目资金来源于财政一般公共预算，主要包括项目单位本年度财政批复的预算指标、上年度结转的预算资金和以前年度结转资金。</w:t>
      </w:r>
    </w:p>
    <w:p>
      <w:pPr>
        <w:ind w:firstLine="640" w:firstLineChars="200"/>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根据</w:t>
      </w:r>
      <w:r>
        <w:rPr>
          <w:rFonts w:hint="eastAsia" w:ascii="Times New Roman" w:hAnsi="Times New Roman" w:eastAsia="仿宋_GB2312" w:cs="Times New Roman"/>
          <w:sz w:val="32"/>
          <w:szCs w:val="32"/>
          <w:lang w:val="en"/>
          <w14:textFill>
            <w14:gradFill>
              <w14:gsLst>
                <w14:gs w14:pos="0">
                  <w14:srgbClr w14:val="012D86"/>
                </w14:gs>
                <w14:gs w14:pos="100000">
                  <w14:srgbClr w14:val="0E2557"/>
                </w14:gs>
              </w14:gsLst>
              <w14:lin w14:ang="0" w14:scaled="0"/>
            </w14:gradFill>
          </w14:textFill>
        </w:rPr>
        <w:t>《内蒙古自治区财政厅关于2022年自治区本级部门的批复》（内财预〔2022〕71号）批复</w:t>
      </w: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文件，特检院（全院）</w:t>
      </w:r>
      <w:r>
        <w:rPr>
          <w:rFonts w:hint="eastAsia" w:ascii="Times New Roman" w:hAnsi="Times New Roman" w:eastAsia="仿宋_GB2312" w:cs="Times New Roman"/>
          <w:sz w:val="32"/>
          <w:szCs w:val="32"/>
          <w:lang w:val="en"/>
          <w14:textFill>
            <w14:gradFill>
              <w14:gsLst>
                <w14:gs w14:pos="0">
                  <w14:srgbClr w14:val="012D86"/>
                </w14:gs>
                <w14:gs w14:pos="100000">
                  <w14:srgbClr w14:val="0E2557"/>
                </w14:gs>
              </w14:gsLst>
              <w14:lin w14:ang="0" w14:scaled="0"/>
            </w14:gradFill>
          </w14:textFill>
        </w:rPr>
        <w:t>2022年</w:t>
      </w: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项目资金来源共计22,746.91万元，其中当年预算指标20,127.43万元、上年度结转指标1,615.32 万元，以前年度结转资金1,004.17 万元；其中财政拨款21,742.75万元。</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决算</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支出21,742.7</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5</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 xml:space="preserve"> 万元，其中财政</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资金</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21,457.68 万元</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期末结转1,307.22万元</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，其中财政拨款结转1,080.24 万元（该部分资金实际均已支付，因未结算，暂挂往来。主要包托结转资金主要是总院593.62万元和鄂尔多斯分院623.59 万元。其中总院结转资金</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因未取得发票，暂挂往来处理，主要包括</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基地建设涉诉应收款项444.16万元、燃气费借款0.48万元、水电费借款2.01万元、食堂借款10万元</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鄂尔多斯分院往来是与鄂尔多斯市场监督局往来借款挂账未处理；</w:t>
      </w:r>
    </w:p>
    <w:p>
      <w:pPr>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各院收支结转情况如下</w:t>
      </w:r>
    </w:p>
    <w:tbl>
      <w:tblPr>
        <w:tblStyle w:val="12"/>
        <w:tblW w:w="9055" w:type="dxa"/>
        <w:tblInd w:w="96" w:type="dxa"/>
        <w:tblLayout w:type="autofit"/>
        <w:tblCellMar>
          <w:top w:w="0" w:type="dxa"/>
          <w:left w:w="108" w:type="dxa"/>
          <w:bottom w:w="0" w:type="dxa"/>
          <w:right w:w="108" w:type="dxa"/>
        </w:tblCellMar>
      </w:tblPr>
      <w:tblGrid>
        <w:gridCol w:w="1296"/>
        <w:gridCol w:w="856"/>
        <w:gridCol w:w="936"/>
        <w:gridCol w:w="846"/>
        <w:gridCol w:w="936"/>
        <w:gridCol w:w="936"/>
        <w:gridCol w:w="936"/>
        <w:gridCol w:w="621"/>
        <w:gridCol w:w="846"/>
        <w:gridCol w:w="846"/>
      </w:tblGrid>
      <w:tr>
        <w:tblPrEx>
          <w:tblCellMar>
            <w:top w:w="0" w:type="dxa"/>
            <w:left w:w="108" w:type="dxa"/>
            <w:bottom w:w="0" w:type="dxa"/>
            <w:right w:w="108" w:type="dxa"/>
          </w:tblCellMar>
        </w:tblPrEx>
        <w:trPr>
          <w:trHeight w:val="760" w:hRule="atLeast"/>
        </w:trPr>
        <w:tc>
          <w:tcPr>
            <w:tcW w:w="9055" w:type="dxa"/>
            <w:gridSpan w:val="10"/>
            <w:tcBorders>
              <w:top w:val="nil"/>
              <w:left w:val="nil"/>
              <w:bottom w:val="nil"/>
              <w:right w:val="nil"/>
            </w:tcBorders>
            <w:shd w:val="clear" w:color="auto" w:fill="auto"/>
            <w:vAlign w:val="center"/>
          </w:tcPr>
          <w:p>
            <w:pPr>
              <w:widowControl/>
              <w:textAlignment w:val="center"/>
              <w:rPr>
                <w:rFonts w:ascii="宋体" w:hAnsi="宋体" w:eastAsia="宋体" w:cs="宋体"/>
                <w:b/>
                <w:bCs/>
                <w:color w:val="000000"/>
                <w:sz w:val="24"/>
              </w:rPr>
            </w:pPr>
          </w:p>
        </w:tc>
      </w:tr>
      <w:tr>
        <w:tblPrEx>
          <w:tblCellMar>
            <w:top w:w="0" w:type="dxa"/>
            <w:left w:w="108" w:type="dxa"/>
            <w:bottom w:w="0" w:type="dxa"/>
            <w:right w:w="108" w:type="dxa"/>
          </w:tblCellMar>
        </w:tblPrEx>
        <w:trPr>
          <w:trHeight w:val="300" w:hRule="atLeast"/>
        </w:trPr>
        <w:tc>
          <w:tcPr>
            <w:tcW w:w="1296" w:type="dxa"/>
            <w:tcBorders>
              <w:top w:val="nil"/>
              <w:left w:val="nil"/>
              <w:bottom w:val="nil"/>
              <w:right w:val="nil"/>
            </w:tcBorders>
            <w:shd w:val="clear" w:color="auto" w:fill="auto"/>
            <w:vAlign w:val="center"/>
          </w:tcPr>
          <w:p>
            <w:pPr>
              <w:jc w:val="center"/>
              <w:rPr>
                <w:rFonts w:ascii="宋体" w:hAnsi="宋体" w:eastAsia="宋体" w:cs="宋体"/>
                <w:b/>
                <w:bCs/>
                <w:color w:val="000000"/>
                <w:sz w:val="24"/>
              </w:rPr>
            </w:pPr>
          </w:p>
        </w:tc>
        <w:tc>
          <w:tcPr>
            <w:tcW w:w="856" w:type="dxa"/>
            <w:tcBorders>
              <w:top w:val="nil"/>
              <w:left w:val="nil"/>
              <w:bottom w:val="nil"/>
              <w:right w:val="nil"/>
            </w:tcBorders>
            <w:shd w:val="clear" w:color="auto" w:fill="auto"/>
            <w:vAlign w:val="center"/>
          </w:tcPr>
          <w:p>
            <w:pPr>
              <w:jc w:val="center"/>
              <w:rPr>
                <w:rFonts w:ascii="宋体" w:hAnsi="宋体" w:eastAsia="宋体" w:cs="宋体"/>
                <w:b/>
                <w:bCs/>
                <w:color w:val="000000"/>
                <w:sz w:val="24"/>
              </w:rPr>
            </w:pPr>
          </w:p>
        </w:tc>
        <w:tc>
          <w:tcPr>
            <w:tcW w:w="936" w:type="dxa"/>
            <w:tcBorders>
              <w:top w:val="nil"/>
              <w:left w:val="nil"/>
              <w:bottom w:val="nil"/>
              <w:right w:val="nil"/>
            </w:tcBorders>
            <w:shd w:val="clear" w:color="auto" w:fill="auto"/>
            <w:vAlign w:val="center"/>
          </w:tcPr>
          <w:p>
            <w:pPr>
              <w:jc w:val="right"/>
              <w:rPr>
                <w:rFonts w:ascii="宋体" w:hAnsi="宋体" w:eastAsia="宋体" w:cs="宋体"/>
                <w:b/>
                <w:bCs/>
                <w:color w:val="C00000"/>
                <w:sz w:val="24"/>
              </w:rPr>
            </w:pPr>
          </w:p>
        </w:tc>
        <w:tc>
          <w:tcPr>
            <w:tcW w:w="846" w:type="dxa"/>
            <w:tcBorders>
              <w:top w:val="nil"/>
              <w:left w:val="nil"/>
              <w:bottom w:val="nil"/>
              <w:right w:val="nil"/>
            </w:tcBorders>
            <w:shd w:val="clear" w:color="auto" w:fill="auto"/>
            <w:vAlign w:val="center"/>
          </w:tcPr>
          <w:p>
            <w:pPr>
              <w:jc w:val="center"/>
              <w:rPr>
                <w:rFonts w:ascii="宋体" w:hAnsi="宋体" w:eastAsia="宋体" w:cs="宋体"/>
                <w:b/>
                <w:bCs/>
                <w:color w:val="000000"/>
                <w:sz w:val="24"/>
              </w:rPr>
            </w:pPr>
          </w:p>
        </w:tc>
        <w:tc>
          <w:tcPr>
            <w:tcW w:w="936" w:type="dxa"/>
            <w:tcBorders>
              <w:top w:val="nil"/>
              <w:left w:val="nil"/>
              <w:bottom w:val="nil"/>
              <w:right w:val="nil"/>
            </w:tcBorders>
            <w:shd w:val="clear" w:color="auto" w:fill="auto"/>
            <w:vAlign w:val="center"/>
          </w:tcPr>
          <w:p>
            <w:pPr>
              <w:jc w:val="center"/>
              <w:rPr>
                <w:rFonts w:ascii="宋体" w:hAnsi="宋体" w:eastAsia="宋体" w:cs="宋体"/>
                <w:b/>
                <w:bCs/>
                <w:color w:val="000000"/>
                <w:sz w:val="24"/>
              </w:rPr>
            </w:pPr>
          </w:p>
        </w:tc>
        <w:tc>
          <w:tcPr>
            <w:tcW w:w="936" w:type="dxa"/>
            <w:tcBorders>
              <w:top w:val="nil"/>
              <w:left w:val="nil"/>
              <w:bottom w:val="single" w:color="00B050" w:sz="4" w:space="0"/>
              <w:right w:val="nil"/>
            </w:tcBorders>
            <w:shd w:val="clear" w:color="auto" w:fill="auto"/>
            <w:vAlign w:val="center"/>
          </w:tcPr>
          <w:p>
            <w:pPr>
              <w:jc w:val="center"/>
              <w:rPr>
                <w:rFonts w:ascii="宋体" w:hAnsi="宋体" w:eastAsia="宋体" w:cs="宋体"/>
                <w:b/>
                <w:bCs/>
                <w:color w:val="C00000"/>
                <w:sz w:val="24"/>
              </w:rPr>
            </w:pPr>
          </w:p>
        </w:tc>
        <w:tc>
          <w:tcPr>
            <w:tcW w:w="3249" w:type="dxa"/>
            <w:gridSpan w:val="4"/>
            <w:tcBorders>
              <w:top w:val="nil"/>
              <w:left w:val="nil"/>
              <w:bottom w:val="single" w:color="00B050" w:sz="4" w:space="0"/>
              <w:right w:val="nil"/>
            </w:tcBorders>
            <w:shd w:val="clear" w:color="auto" w:fill="auto"/>
            <w:vAlign w:val="center"/>
          </w:tcPr>
          <w:p>
            <w:pPr>
              <w:widowControl/>
              <w:jc w:val="center"/>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lang w:bidi="ar"/>
              </w:rPr>
              <w:t>单位：万元</w:t>
            </w:r>
          </w:p>
        </w:tc>
      </w:tr>
      <w:tr>
        <w:tblPrEx>
          <w:tblCellMar>
            <w:top w:w="0" w:type="dxa"/>
            <w:left w:w="108" w:type="dxa"/>
            <w:bottom w:w="0" w:type="dxa"/>
            <w:right w:w="108" w:type="dxa"/>
          </w:tblCellMar>
        </w:tblPrEx>
        <w:trPr>
          <w:trHeight w:val="780" w:hRule="atLeast"/>
        </w:trPr>
        <w:tc>
          <w:tcPr>
            <w:tcW w:w="129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等线" w:cs="Times New Roman"/>
                <w:b/>
                <w:bCs/>
                <w:color w:val="002060"/>
                <w:sz w:val="18"/>
                <w:szCs w:val="18"/>
              </w:rPr>
            </w:pPr>
            <w:r>
              <w:rPr>
                <w:rStyle w:val="32"/>
                <w:rFonts w:hint="default"/>
                <w:color w:val="002060"/>
                <w:lang w:bidi="ar"/>
              </w:rPr>
              <w:t>被审计单位</w:t>
            </w:r>
          </w:p>
        </w:tc>
        <w:tc>
          <w:tcPr>
            <w:tcW w:w="85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kern w:val="0"/>
                <w:sz w:val="18"/>
                <w:szCs w:val="18"/>
                <w:lang w:bidi="ar"/>
              </w:rPr>
            </w:pPr>
            <w:r>
              <w:rPr>
                <w:rFonts w:hint="eastAsia" w:ascii="宋体" w:hAnsi="宋体" w:eastAsia="宋体" w:cs="宋体"/>
                <w:b/>
                <w:bCs/>
                <w:color w:val="002060"/>
                <w:kern w:val="0"/>
                <w:sz w:val="18"/>
                <w:szCs w:val="18"/>
                <w:lang w:bidi="ar"/>
              </w:rPr>
              <w:t>所属</w:t>
            </w:r>
          </w:p>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年度</w:t>
            </w:r>
          </w:p>
        </w:tc>
        <w:tc>
          <w:tcPr>
            <w:tcW w:w="2718" w:type="dxa"/>
            <w:gridSpan w:val="3"/>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22"/>
                <w:szCs w:val="22"/>
              </w:rPr>
            </w:pPr>
            <w:r>
              <w:rPr>
                <w:rFonts w:hint="eastAsia" w:ascii="宋体" w:hAnsi="宋体" w:eastAsia="宋体" w:cs="宋体"/>
                <w:b/>
                <w:bCs/>
                <w:color w:val="002060"/>
                <w:kern w:val="0"/>
                <w:sz w:val="22"/>
                <w:szCs w:val="22"/>
                <w:lang w:bidi="ar"/>
              </w:rPr>
              <w:t>资金来源</w:t>
            </w:r>
          </w:p>
        </w:tc>
        <w:tc>
          <w:tcPr>
            <w:tcW w:w="2493" w:type="dxa"/>
            <w:gridSpan w:val="3"/>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22"/>
                <w:szCs w:val="22"/>
              </w:rPr>
            </w:pPr>
            <w:r>
              <w:rPr>
                <w:rFonts w:hint="eastAsia" w:ascii="宋体" w:hAnsi="宋体" w:eastAsia="宋体" w:cs="宋体"/>
                <w:b/>
                <w:bCs/>
                <w:color w:val="002060"/>
                <w:kern w:val="0"/>
                <w:sz w:val="22"/>
                <w:szCs w:val="22"/>
                <w:lang w:bidi="ar"/>
              </w:rPr>
              <w:t>支出数</w:t>
            </w:r>
          </w:p>
        </w:tc>
        <w:tc>
          <w:tcPr>
            <w:tcW w:w="1692" w:type="dxa"/>
            <w:gridSpan w:val="2"/>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年末结转和结余</w:t>
            </w:r>
          </w:p>
        </w:tc>
      </w:tr>
      <w:tr>
        <w:tblPrEx>
          <w:tblCellMar>
            <w:top w:w="0" w:type="dxa"/>
            <w:left w:w="108" w:type="dxa"/>
            <w:bottom w:w="0" w:type="dxa"/>
            <w:right w:w="108" w:type="dxa"/>
          </w:tblCellMar>
        </w:tblPrEx>
        <w:trPr>
          <w:trHeight w:val="680" w:hRule="atLeast"/>
        </w:trPr>
        <w:tc>
          <w:tcPr>
            <w:tcW w:w="129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等线" w:cs="Times New Roman"/>
                <w:b/>
                <w:bCs/>
                <w:color w:val="002060"/>
                <w:sz w:val="18"/>
                <w:szCs w:val="18"/>
              </w:rPr>
            </w:pPr>
          </w:p>
        </w:tc>
        <w:tc>
          <w:tcPr>
            <w:tcW w:w="85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宋体" w:hAnsi="宋体" w:eastAsia="宋体" w:cs="宋体"/>
                <w:b/>
                <w:bCs/>
                <w:color w:val="002060"/>
                <w:sz w:val="18"/>
                <w:szCs w:val="18"/>
              </w:rPr>
            </w:pPr>
          </w:p>
        </w:tc>
        <w:tc>
          <w:tcPr>
            <w:tcW w:w="93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合计</w:t>
            </w:r>
          </w:p>
        </w:tc>
        <w:tc>
          <w:tcPr>
            <w:tcW w:w="846" w:type="dxa"/>
            <w:vMerge w:val="restart"/>
            <w:tcBorders>
              <w:top w:val="single" w:color="00B050" w:sz="4" w:space="0"/>
              <w:left w:val="single" w:color="00B050" w:sz="4" w:space="0"/>
              <w:bottom w:val="nil"/>
              <w:right w:val="single" w:color="00B050" w:sz="4" w:space="0"/>
            </w:tcBorders>
            <w:shd w:val="clear" w:color="auto" w:fill="auto"/>
            <w:vAlign w:val="center"/>
          </w:tcPr>
          <w:p>
            <w:pPr>
              <w:widowControl/>
              <w:jc w:val="center"/>
              <w:textAlignment w:val="center"/>
              <w:rPr>
                <w:rFonts w:ascii="Times New Roman" w:hAnsi="Times New Roman" w:eastAsia="等线" w:cs="Times New Roman"/>
                <w:b/>
                <w:bCs/>
                <w:color w:val="002060"/>
                <w:sz w:val="18"/>
                <w:szCs w:val="18"/>
              </w:rPr>
            </w:pPr>
            <w:r>
              <w:rPr>
                <w:rStyle w:val="32"/>
                <w:rFonts w:hint="default"/>
                <w:color w:val="002060"/>
                <w:lang w:bidi="ar"/>
              </w:rPr>
              <w:t>年初结转和结余</w:t>
            </w:r>
          </w:p>
        </w:tc>
        <w:tc>
          <w:tcPr>
            <w:tcW w:w="936" w:type="dxa"/>
            <w:vMerge w:val="restart"/>
            <w:tcBorders>
              <w:top w:val="single" w:color="00B050" w:sz="4" w:space="0"/>
              <w:left w:val="single" w:color="00B050" w:sz="4" w:space="0"/>
              <w:bottom w:val="nil"/>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财政拨款</w:t>
            </w:r>
          </w:p>
        </w:tc>
        <w:tc>
          <w:tcPr>
            <w:tcW w:w="93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合计</w:t>
            </w:r>
          </w:p>
        </w:tc>
        <w:tc>
          <w:tcPr>
            <w:tcW w:w="93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财政拨款</w:t>
            </w:r>
          </w:p>
        </w:tc>
        <w:tc>
          <w:tcPr>
            <w:tcW w:w="621"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其他资金</w:t>
            </w:r>
          </w:p>
        </w:tc>
        <w:tc>
          <w:tcPr>
            <w:tcW w:w="84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合计</w:t>
            </w:r>
          </w:p>
        </w:tc>
        <w:tc>
          <w:tcPr>
            <w:tcW w:w="84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其中：财政拨款结转和结余（小计）</w:t>
            </w:r>
          </w:p>
        </w:tc>
      </w:tr>
      <w:tr>
        <w:tblPrEx>
          <w:tblCellMar>
            <w:top w:w="0" w:type="dxa"/>
            <w:left w:w="108" w:type="dxa"/>
            <w:bottom w:w="0" w:type="dxa"/>
            <w:right w:w="108" w:type="dxa"/>
          </w:tblCellMar>
        </w:tblPrEx>
        <w:trPr>
          <w:trHeight w:val="620" w:hRule="atLeast"/>
        </w:trPr>
        <w:tc>
          <w:tcPr>
            <w:tcW w:w="129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等线" w:cs="Times New Roman"/>
                <w:b/>
                <w:bCs/>
                <w:color w:val="002060"/>
                <w:sz w:val="18"/>
                <w:szCs w:val="18"/>
              </w:rPr>
            </w:pPr>
          </w:p>
        </w:tc>
        <w:tc>
          <w:tcPr>
            <w:tcW w:w="85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宋体" w:hAnsi="宋体" w:eastAsia="宋体" w:cs="宋体"/>
                <w:b/>
                <w:bCs/>
                <w:color w:val="002060"/>
                <w:sz w:val="18"/>
                <w:szCs w:val="18"/>
              </w:rPr>
            </w:pPr>
          </w:p>
        </w:tc>
        <w:tc>
          <w:tcPr>
            <w:tcW w:w="93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宋体" w:hAnsi="宋体" w:eastAsia="宋体" w:cs="宋体"/>
                <w:b/>
                <w:bCs/>
                <w:color w:val="002060"/>
                <w:sz w:val="18"/>
                <w:szCs w:val="18"/>
              </w:rPr>
            </w:pPr>
          </w:p>
        </w:tc>
        <w:tc>
          <w:tcPr>
            <w:tcW w:w="846" w:type="dxa"/>
            <w:vMerge w:val="continue"/>
            <w:tcBorders>
              <w:top w:val="single" w:color="00B050" w:sz="4" w:space="0"/>
              <w:left w:val="single" w:color="00B050" w:sz="4" w:space="0"/>
              <w:bottom w:val="nil"/>
              <w:right w:val="single" w:color="00B050" w:sz="4" w:space="0"/>
            </w:tcBorders>
            <w:shd w:val="clear" w:color="auto" w:fill="auto"/>
            <w:vAlign w:val="center"/>
          </w:tcPr>
          <w:p>
            <w:pPr>
              <w:jc w:val="center"/>
              <w:rPr>
                <w:rFonts w:ascii="Times New Roman" w:hAnsi="Times New Roman" w:eastAsia="等线" w:cs="Times New Roman"/>
                <w:b/>
                <w:bCs/>
                <w:color w:val="002060"/>
                <w:sz w:val="18"/>
                <w:szCs w:val="18"/>
              </w:rPr>
            </w:pPr>
          </w:p>
        </w:tc>
        <w:tc>
          <w:tcPr>
            <w:tcW w:w="936" w:type="dxa"/>
            <w:vMerge w:val="continue"/>
            <w:tcBorders>
              <w:top w:val="single" w:color="00B050" w:sz="4" w:space="0"/>
              <w:left w:val="single" w:color="00B050" w:sz="4" w:space="0"/>
              <w:bottom w:val="nil"/>
              <w:right w:val="single" w:color="00B050" w:sz="4" w:space="0"/>
            </w:tcBorders>
            <w:shd w:val="clear" w:color="auto" w:fill="auto"/>
            <w:vAlign w:val="center"/>
          </w:tcPr>
          <w:p>
            <w:pPr>
              <w:jc w:val="center"/>
              <w:rPr>
                <w:rFonts w:ascii="宋体" w:hAnsi="宋体" w:eastAsia="宋体" w:cs="宋体"/>
                <w:b/>
                <w:bCs/>
                <w:color w:val="002060"/>
                <w:sz w:val="18"/>
                <w:szCs w:val="18"/>
              </w:rPr>
            </w:pPr>
          </w:p>
        </w:tc>
        <w:tc>
          <w:tcPr>
            <w:tcW w:w="93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宋体" w:hAnsi="宋体" w:eastAsia="宋体" w:cs="宋体"/>
                <w:b/>
                <w:bCs/>
                <w:color w:val="002060"/>
                <w:sz w:val="18"/>
                <w:szCs w:val="18"/>
              </w:rPr>
            </w:pPr>
          </w:p>
        </w:tc>
        <w:tc>
          <w:tcPr>
            <w:tcW w:w="93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宋体" w:hAnsi="宋体" w:eastAsia="宋体" w:cs="宋体"/>
                <w:b/>
                <w:bCs/>
                <w:color w:val="002060"/>
                <w:sz w:val="18"/>
                <w:szCs w:val="18"/>
              </w:rPr>
            </w:pPr>
          </w:p>
        </w:tc>
        <w:tc>
          <w:tcPr>
            <w:tcW w:w="621"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宋体" w:hAnsi="宋体" w:eastAsia="宋体" w:cs="宋体"/>
                <w:b/>
                <w:bCs/>
                <w:color w:val="002060"/>
                <w:sz w:val="18"/>
                <w:szCs w:val="18"/>
              </w:rPr>
            </w:pPr>
          </w:p>
        </w:tc>
        <w:tc>
          <w:tcPr>
            <w:tcW w:w="84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宋体" w:hAnsi="宋体" w:eastAsia="宋体" w:cs="宋体"/>
                <w:b/>
                <w:bCs/>
                <w:color w:val="002060"/>
                <w:sz w:val="18"/>
                <w:szCs w:val="18"/>
              </w:rPr>
            </w:pPr>
          </w:p>
        </w:tc>
        <w:tc>
          <w:tcPr>
            <w:tcW w:w="84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宋体" w:hAnsi="宋体" w:eastAsia="宋体" w:cs="宋体"/>
                <w:b/>
                <w:bCs/>
                <w:color w:val="002060"/>
                <w:sz w:val="18"/>
                <w:szCs w:val="18"/>
              </w:rPr>
            </w:pPr>
          </w:p>
        </w:tc>
      </w:tr>
      <w:tr>
        <w:tblPrEx>
          <w:tblCellMar>
            <w:top w:w="0" w:type="dxa"/>
            <w:left w:w="108" w:type="dxa"/>
            <w:bottom w:w="0" w:type="dxa"/>
            <w:right w:w="108" w:type="dxa"/>
          </w:tblCellMar>
        </w:tblPrEx>
        <w:trPr>
          <w:trHeight w:val="4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特检院总院</w:t>
            </w:r>
          </w:p>
        </w:tc>
        <w:tc>
          <w:tcPr>
            <w:tcW w:w="85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color w:val="002060"/>
                <w:sz w:val="16"/>
                <w:szCs w:val="16"/>
              </w:rPr>
            </w:pPr>
            <w:r>
              <w:rPr>
                <w:rFonts w:hint="eastAsia" w:ascii="宋体" w:hAnsi="宋体" w:eastAsia="宋体" w:cs="宋体"/>
                <w:color w:val="002060"/>
                <w:kern w:val="0"/>
                <w:sz w:val="16"/>
                <w:szCs w:val="16"/>
                <w:lang w:bidi="ar"/>
              </w:rPr>
              <w:t>以前年度结转</w:t>
            </w:r>
          </w:p>
        </w:tc>
        <w:tc>
          <w:tcPr>
            <w:tcW w:w="93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322.53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322.53 </w:t>
            </w:r>
          </w:p>
        </w:tc>
        <w:tc>
          <w:tcPr>
            <w:tcW w:w="936"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等线" w:cs="Times New Roman"/>
                <w:b/>
                <w:bCs/>
                <w:color w:val="002060"/>
                <w:sz w:val="18"/>
                <w:szCs w:val="18"/>
              </w:rPr>
            </w:pPr>
          </w:p>
        </w:tc>
        <w:tc>
          <w:tcPr>
            <w:tcW w:w="936"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等线" w:cs="Times New Roman"/>
                <w:b/>
                <w:bCs/>
                <w:color w:val="002060"/>
                <w:sz w:val="18"/>
                <w:szCs w:val="18"/>
              </w:rPr>
            </w:pPr>
          </w:p>
        </w:tc>
        <w:tc>
          <w:tcPr>
            <w:tcW w:w="936"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等线" w:cs="Times New Roman"/>
                <w:b/>
                <w:bCs/>
                <w:color w:val="002060"/>
                <w:sz w:val="18"/>
                <w:szCs w:val="18"/>
              </w:rPr>
            </w:pPr>
          </w:p>
        </w:tc>
        <w:tc>
          <w:tcPr>
            <w:tcW w:w="621"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等线" w:cs="Times New Roman"/>
                <w:b/>
                <w:bCs/>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1,066.12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1,066.12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621.96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621.96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444.16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444.16 </w:t>
            </w: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3,969.85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kern w:val="0"/>
                <w:sz w:val="18"/>
                <w:szCs w:val="18"/>
                <w:lang w:bidi="ar"/>
              </w:rPr>
              <w:t>3969.85</w:t>
            </w:r>
            <w:r>
              <w:rPr>
                <w:rFonts w:ascii="Times New Roman" w:hAnsi="Times New Roman" w:eastAsia="等线" w:cs="Times New Roman"/>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4,142.91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4,128.94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13.97 </w:t>
            </w: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149.47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12.49 </w:t>
            </w: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阿拉善分院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16.79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16.79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16.79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16.79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749.76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749.76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749.76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749.76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二连浩特分院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right"/>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kern w:val="0"/>
                <w:sz w:val="18"/>
                <w:szCs w:val="18"/>
                <w:lang w:bidi="ar"/>
              </w:rPr>
              <w:t>56.25</w:t>
            </w:r>
            <w:r>
              <w:rPr>
                <w:rFonts w:ascii="Times New Roman" w:hAnsi="Times New Roman" w:eastAsia="等线" w:cs="Times New Roman"/>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kern w:val="0"/>
                <w:sz w:val="18"/>
                <w:szCs w:val="18"/>
                <w:lang w:bidi="ar"/>
              </w:rPr>
              <w:t>56.25</w:t>
            </w:r>
            <w:r>
              <w:rPr>
                <w:rFonts w:ascii="Times New Roman" w:hAnsi="Times New Roman" w:eastAsia="等线" w:cs="Times New Roman"/>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kern w:val="0"/>
                <w:sz w:val="18"/>
                <w:szCs w:val="18"/>
                <w:lang w:bidi="ar"/>
              </w:rPr>
              <w:t>56.25</w:t>
            </w:r>
            <w:r>
              <w:rPr>
                <w:rFonts w:ascii="Times New Roman" w:hAnsi="Times New Roman" w:eastAsia="等线" w:cs="Times New Roman"/>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kern w:val="0"/>
                <w:sz w:val="18"/>
                <w:szCs w:val="18"/>
                <w:lang w:bidi="ar"/>
              </w:rPr>
              <w:t>56.25</w:t>
            </w:r>
            <w:r>
              <w:rPr>
                <w:rFonts w:ascii="Times New Roman" w:hAnsi="Times New Roman" w:eastAsia="等线" w:cs="Times New Roman"/>
                <w:color w:val="002060"/>
                <w:kern w:val="0"/>
                <w:sz w:val="18"/>
                <w:szCs w:val="18"/>
                <w:lang w:bidi="ar"/>
              </w:rPr>
              <w:t xml:space="preserve">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锡林浩特分院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right"/>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760.00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760.00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760.00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760.00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呼伦贝尔分院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right"/>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1,198.99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1,198.99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1,198.99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1,198.99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满洲里分院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right"/>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270.00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270.00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270.00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270.00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384"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鄂尔多斯分院</w:t>
            </w:r>
          </w:p>
        </w:tc>
        <w:tc>
          <w:tcPr>
            <w:tcW w:w="85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color w:val="002060"/>
                <w:sz w:val="16"/>
                <w:szCs w:val="16"/>
              </w:rPr>
            </w:pPr>
            <w:r>
              <w:rPr>
                <w:rFonts w:hint="eastAsia" w:ascii="宋体" w:hAnsi="宋体" w:eastAsia="宋体" w:cs="宋体"/>
                <w:color w:val="002060"/>
                <w:kern w:val="0"/>
                <w:sz w:val="16"/>
                <w:szCs w:val="16"/>
                <w:lang w:bidi="ar"/>
              </w:rPr>
              <w:t>以前年度结转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623.59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623.59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623.59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623.59 </w:t>
            </w: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366.39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366.39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366.39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366.39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kern w:val="0"/>
                <w:sz w:val="18"/>
                <w:szCs w:val="18"/>
                <w:lang w:bidi="ar"/>
              </w:rPr>
              <w:t>3054.4</w:t>
            </w:r>
            <w:r>
              <w:rPr>
                <w:rFonts w:ascii="Times New Roman" w:hAnsi="Times New Roman" w:eastAsia="等线" w:cs="Times New Roman"/>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3,054.40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3,054.40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3,054.40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巴彦淖尔分院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9.68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9.68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9.68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9.68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984.59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984.59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984.59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984.59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乌兰察布分院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116.48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116.48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116.48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116.48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988.86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988.86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988.86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988.86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384"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包头分院</w:t>
            </w:r>
          </w:p>
        </w:tc>
        <w:tc>
          <w:tcPr>
            <w:tcW w:w="85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color w:val="002060"/>
                <w:sz w:val="16"/>
                <w:szCs w:val="16"/>
              </w:rPr>
            </w:pPr>
            <w:r>
              <w:rPr>
                <w:rFonts w:hint="eastAsia" w:ascii="宋体" w:hAnsi="宋体" w:eastAsia="宋体" w:cs="宋体"/>
                <w:color w:val="002060"/>
                <w:kern w:val="0"/>
                <w:sz w:val="16"/>
                <w:szCs w:val="16"/>
                <w:lang w:bidi="ar"/>
              </w:rPr>
              <w:t>以前年度结转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58.05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sz w:val="18"/>
                <w:szCs w:val="18"/>
              </w:rPr>
              <w:t>58.05</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sz w:val="18"/>
                <w:szCs w:val="18"/>
              </w:rPr>
              <w:t>58.05</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ind w:firstLine="180" w:firstLineChars="100"/>
              <w:rPr>
                <w:rFonts w:ascii="Times New Roman" w:hAnsi="Times New Roman" w:eastAsia="等线" w:cs="Times New Roman"/>
                <w:color w:val="002060"/>
                <w:sz w:val="18"/>
                <w:szCs w:val="18"/>
              </w:rPr>
            </w:pPr>
            <w:r>
              <w:rPr>
                <w:rFonts w:hint="eastAsia" w:ascii="Times New Roman" w:hAnsi="Times New Roman" w:eastAsia="等线" w:cs="Times New Roman"/>
                <w:color w:val="002060"/>
                <w:sz w:val="18"/>
                <w:szCs w:val="18"/>
              </w:rPr>
              <w:t>58.05</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2.21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hint="eastAsia" w:ascii="Times New Roman" w:hAnsi="Times New Roman" w:eastAsia="等线" w:cs="Times New Roman"/>
                <w:color w:val="002060"/>
                <w:kern w:val="0"/>
                <w:sz w:val="18"/>
                <w:szCs w:val="18"/>
                <w:lang w:bidi="ar"/>
              </w:rPr>
              <w:t>2.21</w:t>
            </w:r>
            <w:r>
              <w:rPr>
                <w:rFonts w:ascii="Times New Roman" w:hAnsi="Times New Roman" w:eastAsia="等线" w:cs="Times New Roman"/>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2.21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2.21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2,696.98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2,696.98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2,696.98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2,696.98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乌海分院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33.42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33.42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33.42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33.42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1,034.21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1,034.21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1,034.21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1,034.21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赤峰分院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right"/>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2,219.99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2,219.99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2,219.99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2,219.99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通辽分院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3.95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3.95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3.95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3.95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1,360.06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1,360.06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1,360.06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1,360.06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Times New Roman" w:hAnsi="Times New Roman" w:eastAsia="等线" w:cs="Times New Roman"/>
                <w:color w:val="002060"/>
                <w:sz w:val="18"/>
                <w:szCs w:val="18"/>
              </w:rPr>
            </w:pPr>
            <w:r>
              <w:rPr>
                <w:rStyle w:val="33"/>
                <w:rFonts w:hint="default"/>
                <w:color w:val="002060"/>
                <w:lang w:bidi="ar"/>
              </w:rPr>
              <w:t>兴安盟分院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0.00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Times New Roman" w:hAnsi="Times New Roman" w:eastAsia="等线" w:cs="Times New Roman"/>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780.00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780.00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780.00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780.00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384" w:hRule="atLeast"/>
        </w:trPr>
        <w:tc>
          <w:tcPr>
            <w:tcW w:w="0" w:type="auto"/>
            <w:vMerge w:val="restart"/>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汇总</w:t>
            </w:r>
          </w:p>
        </w:tc>
        <w:tc>
          <w:tcPr>
            <w:tcW w:w="85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color w:val="002060"/>
                <w:sz w:val="16"/>
                <w:szCs w:val="16"/>
              </w:rPr>
            </w:pPr>
            <w:r>
              <w:rPr>
                <w:rFonts w:hint="eastAsia" w:ascii="宋体" w:hAnsi="宋体" w:eastAsia="宋体" w:cs="宋体"/>
                <w:color w:val="002060"/>
                <w:kern w:val="0"/>
                <w:sz w:val="16"/>
                <w:szCs w:val="16"/>
                <w:lang w:bidi="ar"/>
              </w:rPr>
              <w:t>以前年度结转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1,004.17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90.00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宋体" w:hAnsi="宋体" w:eastAsia="宋体" w:cs="宋体"/>
                <w:color w:val="002060"/>
                <w:sz w:val="16"/>
                <w:szCs w:val="16"/>
              </w:rPr>
            </w:pPr>
            <w:r>
              <w:rPr>
                <w:rFonts w:hint="eastAsia" w:ascii="宋体" w:hAnsi="宋体" w:eastAsia="宋体" w:cs="宋体"/>
                <w:color w:val="002060"/>
                <w:kern w:val="0"/>
                <w:sz w:val="16"/>
                <w:szCs w:val="16"/>
                <w:lang w:bidi="ar"/>
              </w:rPr>
              <w:t>上年结转</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bottom"/>
          </w:tcPr>
          <w:p>
            <w:pPr>
              <w:widowControl/>
              <w:jc w:val="right"/>
              <w:textAlignment w:val="bottom"/>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1,615.05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1,615.05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1,170.89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1,170.89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444.16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444.16 </w:t>
            </w:r>
          </w:p>
        </w:tc>
      </w:tr>
      <w:tr>
        <w:tblPrEx>
          <w:tblCellMar>
            <w:top w:w="0" w:type="dxa"/>
            <w:left w:w="108" w:type="dxa"/>
            <w:bottom w:w="0" w:type="dxa"/>
            <w:right w:w="108" w:type="dxa"/>
          </w:tblCellMar>
        </w:tblPrEx>
        <w:trPr>
          <w:trHeight w:val="240" w:hRule="atLeast"/>
        </w:trPr>
        <w:tc>
          <w:tcPr>
            <w:tcW w:w="0" w:type="auto"/>
            <w:vMerge w:val="continue"/>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left"/>
              <w:textAlignment w:val="center"/>
              <w:rPr>
                <w:rFonts w:ascii="宋体" w:hAnsi="宋体" w:eastAsia="宋体" w:cs="宋体"/>
                <w:color w:val="002060"/>
                <w:sz w:val="16"/>
                <w:szCs w:val="16"/>
              </w:rPr>
            </w:pPr>
            <w:r>
              <w:rPr>
                <w:rFonts w:hint="eastAsia" w:ascii="宋体" w:hAnsi="宋体" w:eastAsia="宋体" w:cs="宋体"/>
                <w:color w:val="002060"/>
                <w:kern w:val="0"/>
                <w:sz w:val="16"/>
                <w:szCs w:val="16"/>
                <w:lang w:bidi="ar"/>
              </w:rPr>
              <w:t>本年预算</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bottom"/>
          </w:tcPr>
          <w:p>
            <w:pPr>
              <w:widowControl/>
              <w:jc w:val="right"/>
              <w:textAlignment w:val="bottom"/>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20,127.70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20,127.70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20,300.76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20,286.79 </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color w:val="002060"/>
                <w:sz w:val="18"/>
                <w:szCs w:val="18"/>
              </w:rPr>
            </w:pP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773.06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color w:val="002060"/>
                <w:sz w:val="18"/>
                <w:szCs w:val="18"/>
              </w:rPr>
            </w:pPr>
            <w:r>
              <w:rPr>
                <w:rFonts w:ascii="Times New Roman" w:hAnsi="Times New Roman" w:eastAsia="等线" w:cs="Times New Roman"/>
                <w:color w:val="002060"/>
                <w:kern w:val="0"/>
                <w:sz w:val="18"/>
                <w:szCs w:val="18"/>
                <w:lang w:bidi="ar"/>
              </w:rPr>
              <w:t xml:space="preserve">636.08 </w:t>
            </w:r>
          </w:p>
        </w:tc>
      </w:tr>
      <w:tr>
        <w:tblPrEx>
          <w:tblCellMar>
            <w:top w:w="0" w:type="dxa"/>
            <w:left w:w="108" w:type="dxa"/>
            <w:bottom w:w="0" w:type="dxa"/>
            <w:right w:w="108" w:type="dxa"/>
          </w:tblCellMar>
        </w:tblPrEx>
        <w:trPr>
          <w:trHeight w:val="480"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总计</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rPr>
                <w:rFonts w:ascii="Times New Roman" w:hAnsi="Times New Roman" w:eastAsia="等线" w:cs="Times New Roman"/>
                <w:b/>
                <w:bCs/>
                <w:color w:val="002060"/>
                <w:sz w:val="16"/>
                <w:szCs w:val="16"/>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22,7</w:t>
            </w:r>
            <w:r>
              <w:rPr>
                <w:rFonts w:hint="eastAsia" w:ascii="Times New Roman" w:hAnsi="Times New Roman" w:eastAsia="等线" w:cs="Times New Roman"/>
                <w:b/>
                <w:bCs/>
                <w:color w:val="002060"/>
                <w:kern w:val="0"/>
                <w:sz w:val="18"/>
                <w:szCs w:val="18"/>
                <w:lang w:bidi="ar"/>
              </w:rPr>
              <w:t>43.15</w:t>
            </w:r>
            <w:r>
              <w:rPr>
                <w:rFonts w:ascii="Times New Roman" w:hAnsi="Times New Roman" w:eastAsia="等线" w:cs="Times New Roman"/>
                <w:b/>
                <w:bCs/>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 xml:space="preserve">1,004.17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21,7</w:t>
            </w:r>
            <w:r>
              <w:rPr>
                <w:rFonts w:hint="eastAsia" w:ascii="Times New Roman" w:hAnsi="Times New Roman" w:eastAsia="等线" w:cs="Times New Roman"/>
                <w:b/>
                <w:bCs/>
                <w:color w:val="002060"/>
                <w:kern w:val="0"/>
                <w:sz w:val="18"/>
                <w:szCs w:val="18"/>
                <w:lang w:bidi="ar"/>
              </w:rPr>
              <w:t>38.98</w:t>
            </w:r>
            <w:r>
              <w:rPr>
                <w:rFonts w:ascii="Times New Roman" w:hAnsi="Times New Roman" w:eastAsia="等线" w:cs="Times New Roman"/>
                <w:b/>
                <w:bCs/>
                <w:color w:val="002060"/>
                <w:kern w:val="0"/>
                <w:sz w:val="18"/>
                <w:szCs w:val="18"/>
                <w:lang w:bidi="ar"/>
              </w:rPr>
              <w:t xml:space="preserve">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21,</w:t>
            </w:r>
            <w:r>
              <w:rPr>
                <w:rFonts w:hint="eastAsia" w:ascii="Times New Roman" w:hAnsi="Times New Roman" w:eastAsia="等线" w:cs="Times New Roman"/>
                <w:b/>
                <w:bCs/>
                <w:color w:val="002060"/>
                <w:kern w:val="0"/>
                <w:sz w:val="18"/>
                <w:szCs w:val="18"/>
                <w:lang w:bidi="ar"/>
              </w:rPr>
              <w:t>525.93</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21</w:t>
            </w:r>
            <w:r>
              <w:rPr>
                <w:rFonts w:hint="eastAsia" w:ascii="Times New Roman" w:hAnsi="Times New Roman" w:eastAsia="等线" w:cs="Times New Roman"/>
                <w:b/>
                <w:bCs/>
                <w:color w:val="002060"/>
                <w:kern w:val="0"/>
                <w:sz w:val="18"/>
                <w:szCs w:val="18"/>
                <w:lang w:bidi="ar"/>
              </w:rPr>
              <w:t>,511.96</w:t>
            </w:r>
          </w:p>
        </w:tc>
        <w:tc>
          <w:tcPr>
            <w:tcW w:w="621"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 xml:space="preserve">13.97 </w:t>
            </w:r>
          </w:p>
        </w:tc>
        <w:tc>
          <w:tcPr>
            <w:tcW w:w="846" w:type="dxa"/>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 xml:space="preserve">1,307.22 </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right"/>
              <w:textAlignment w:val="center"/>
              <w:rPr>
                <w:rFonts w:ascii="Times New Roman" w:hAnsi="Times New Roman" w:eastAsia="等线" w:cs="Times New Roman"/>
                <w:b/>
                <w:bCs/>
                <w:color w:val="002060"/>
                <w:sz w:val="18"/>
                <w:szCs w:val="18"/>
              </w:rPr>
            </w:pPr>
            <w:r>
              <w:rPr>
                <w:rFonts w:ascii="Times New Roman" w:hAnsi="Times New Roman" w:eastAsia="等线" w:cs="Times New Roman"/>
                <w:b/>
                <w:bCs/>
                <w:color w:val="002060"/>
                <w:kern w:val="0"/>
                <w:sz w:val="18"/>
                <w:szCs w:val="18"/>
                <w:lang w:bidi="ar"/>
              </w:rPr>
              <w:t xml:space="preserve">1,080.24 </w:t>
            </w:r>
          </w:p>
        </w:tc>
      </w:tr>
    </w:tbl>
    <w:p>
      <w:pPr>
        <w:numPr>
          <w:ilvl w:val="0"/>
          <w:numId w:val="1"/>
        </w:numPr>
        <w:ind w:firstLine="643" w:firstLineChars="200"/>
        <w:outlineLvl w:val="1"/>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bookmarkStart w:id="6" w:name="_Toc10179"/>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项目绩效目标</w:t>
      </w:r>
      <w:bookmarkEnd w:id="6"/>
    </w:p>
    <w:p>
      <w:pPr>
        <w:spacing w:line="600" w:lineRule="exact"/>
        <w:ind w:firstLine="640" w:firstLineChars="200"/>
        <w:outlineLvl w:val="0"/>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作为内蒙古特检院</w:t>
      </w:r>
      <w:r>
        <w:rPr>
          <w:rFonts w:hint="eastAsia" w:ascii="方正仿宋_GB2312" w:hAnsi="方正仿宋_GB2312" w:eastAsia="方正仿宋_GB2312" w:cs="方正仿宋_GB2312"/>
          <w:color w:val="333333"/>
          <w:sz w:val="32"/>
          <w:szCs w:val="32"/>
          <w14:textFill>
            <w14:gradFill>
              <w14:gsLst>
                <w14:gs w14:pos="0">
                  <w14:srgbClr w14:val="012D86"/>
                </w14:gs>
                <w14:gs w14:pos="100000">
                  <w14:srgbClr w14:val="0E2557"/>
                </w14:gs>
              </w14:gsLst>
              <w14:lin w14:ang="0" w14:scaled="0"/>
            </w14:gradFill>
          </w14:textFill>
        </w:rPr>
        <w:t>专项业务项目，</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锅炉压力容器与特种设备安全监管主要是对全区的特种设备进行检验检测及安全监管，</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2022</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年全院该项目绩效目标是完成全区至少57.46万台（套、部、个）</w:t>
      </w:r>
      <w:r>
        <w:rPr>
          <w:rFonts w:hint="eastAsia" w:ascii="方正仿宋_GB2312" w:hAnsi="方正仿宋_GB2312" w:eastAsia="方正仿宋_GB2312" w:cs="方正仿宋_GB2312"/>
          <w:color w:val="000000"/>
          <w:kern w:val="0"/>
          <w:sz w:val="32"/>
          <w:szCs w:val="32"/>
          <w:lang w:bidi="ar"/>
          <w14:textFill>
            <w14:gradFill>
              <w14:gsLst>
                <w14:gs w14:pos="0">
                  <w14:srgbClr w14:val="012D86"/>
                </w14:gs>
                <w14:gs w14:pos="100000">
                  <w14:srgbClr w14:val="0E2557"/>
                </w14:gs>
              </w14:gsLst>
              <w14:lin w14:ang="0" w14:scaled="0"/>
            </w14:gradFill>
          </w14:textFill>
        </w:rPr>
        <w:t>锅炉压力容器与特种设备安全情况的检验，做到区内该类设施设备应检尽检；客户满意度达100%；确保特种设备安全运行；开展对作业人员专项技术培训，为特种设备安全监察提供技术支撑，防止和减少事故发生，保障人民群众生命和财产安全，促进经济社会发展；同时保障特种设备检验基地的车间、综合实验楼的建设，促进基地建成并顺利投入使用，确保本地区特种设备安全运行</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。除此之外，各分院根据本区域的特点分别提出各自不同的绩效目标：如鄂尔多斯分院提出努力建成中国煤炭及化工设备质量监督及检验中心；如包头提出建设国家西部地区特种设备安全警示教育中心等。（详见</w:t>
      </w:r>
      <w:r>
        <w:rPr>
          <w:rFonts w:hint="eastAsia" w:ascii="方正仿宋_GB2312" w:hAnsi="方正仿宋_GB2312" w:eastAsia="方正仿宋_GB2312" w:cs="方正仿宋_GB2312"/>
          <w:color w:val="0000FF"/>
          <w:sz w:val="32"/>
          <w:szCs w:val="32"/>
          <w14:textFill>
            <w14:gradFill>
              <w14:gsLst>
                <w14:gs w14:pos="0">
                  <w14:srgbClr w14:val="012D86"/>
                </w14:gs>
                <w14:gs w14:pos="100000">
                  <w14:srgbClr w14:val="0E2557"/>
                </w14:gs>
              </w14:gsLst>
              <w14:lin w14:ang="0" w14:scaled="0"/>
            </w14:gradFill>
          </w14:textFill>
        </w:rPr>
        <w:t>附表1</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w:t>
      </w:r>
    </w:p>
    <w:p>
      <w:pPr>
        <w:spacing w:line="600" w:lineRule="exact"/>
        <w:ind w:firstLine="643" w:firstLineChars="200"/>
        <w:outlineLvl w:val="0"/>
        <w:rPr>
          <w:rFonts w:ascii="黑体" w:hAnsi="黑体" w:eastAsia="黑体" w:cs="黑体"/>
          <w:b/>
          <w:bCs/>
          <w:sz w:val="32"/>
          <w:szCs w:val="32"/>
          <w14:textFill>
            <w14:gradFill>
              <w14:gsLst>
                <w14:gs w14:pos="0">
                  <w14:srgbClr w14:val="012D86"/>
                </w14:gs>
                <w14:gs w14:pos="100000">
                  <w14:srgbClr w14:val="0E2557"/>
                </w14:gs>
              </w14:gsLst>
              <w14:lin w14:ang="0" w14:scaled="0"/>
            </w14:gradFill>
          </w14:textFill>
        </w:rPr>
      </w:pPr>
      <w:bookmarkStart w:id="7" w:name="_Toc10302"/>
      <w:bookmarkStart w:id="8" w:name="_Toc31510"/>
      <w:bookmarkStart w:id="9" w:name="_Toc5363"/>
      <w:r>
        <w:rPr>
          <w:rFonts w:hint="eastAsia" w:ascii="黑体" w:hAnsi="黑体" w:eastAsia="黑体" w:cs="黑体"/>
          <w:b/>
          <w:bCs/>
          <w:sz w:val="32"/>
          <w:szCs w:val="32"/>
          <w14:textFill>
            <w14:gradFill>
              <w14:gsLst>
                <w14:gs w14:pos="0">
                  <w14:srgbClr w14:val="012D86"/>
                </w14:gs>
                <w14:gs w14:pos="100000">
                  <w14:srgbClr w14:val="0E2557"/>
                </w14:gs>
              </w14:gsLst>
              <w14:lin w14:ang="0" w14:scaled="0"/>
            </w14:gradFill>
          </w14:textFill>
        </w:rPr>
        <w:t>二、绩效评价实施</w:t>
      </w:r>
      <w:bookmarkEnd w:id="7"/>
      <w:bookmarkEnd w:id="8"/>
      <w:bookmarkEnd w:id="9"/>
      <w:r>
        <w:rPr>
          <w:rFonts w:hint="eastAsia" w:ascii="黑体" w:hAnsi="黑体" w:eastAsia="黑体" w:cs="黑体"/>
          <w:b/>
          <w:bCs/>
          <w:sz w:val="32"/>
          <w:szCs w:val="32"/>
          <w14:textFill>
            <w14:gradFill>
              <w14:gsLst>
                <w14:gs w14:pos="0">
                  <w14:srgbClr w14:val="012D86"/>
                </w14:gs>
                <w14:gs w14:pos="100000">
                  <w14:srgbClr w14:val="0E2557"/>
                </w14:gs>
              </w14:gsLst>
              <w14:lin w14:ang="0" w14:scaled="0"/>
            </w14:gradFill>
          </w14:textFill>
        </w:rPr>
        <w:t>程序</w:t>
      </w:r>
    </w:p>
    <w:p>
      <w:pPr>
        <w:spacing w:line="600" w:lineRule="exact"/>
        <w:ind w:firstLine="643" w:firstLineChars="200"/>
        <w:outlineLvl w:val="1"/>
        <w:rPr>
          <w:rFonts w:ascii="楷体" w:hAnsi="楷体" w:eastAsia="楷体" w:cs="楷体"/>
          <w:b/>
          <w:bCs/>
          <w:sz w:val="32"/>
          <w:szCs w:val="32"/>
          <w14:textFill>
            <w14:gradFill>
              <w14:gsLst>
                <w14:gs w14:pos="0">
                  <w14:srgbClr w14:val="012D86"/>
                </w14:gs>
                <w14:gs w14:pos="100000">
                  <w14:srgbClr w14:val="0E2557"/>
                </w14:gs>
              </w14:gsLst>
              <w14:lin w14:ang="0" w14:scaled="0"/>
            </w14:gradFill>
          </w14:textFill>
        </w:rPr>
      </w:pPr>
      <w:bookmarkStart w:id="10" w:name="_Toc10378"/>
      <w:bookmarkStart w:id="11" w:name="_Toc20512"/>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（一）绩效评价目的</w:t>
      </w:r>
      <w:bookmarkEnd w:id="10"/>
      <w:bookmarkEnd w:id="11"/>
    </w:p>
    <w:p>
      <w:pPr>
        <w:spacing w:line="600" w:lineRule="exact"/>
        <w:ind w:firstLine="640" w:firstLineChars="200"/>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开展项目绩效评价，通过核实预算单位实施</w:t>
      </w:r>
      <w:r>
        <w:rPr>
          <w:rFonts w:hint="eastAsia" w:ascii="方正仿宋_GB2312" w:hAnsi="方正仿宋_GB2312" w:eastAsia="方正仿宋_GB2312" w:cs="方正仿宋_GB2312"/>
          <w:color w:val="000000"/>
          <w:kern w:val="0"/>
          <w:sz w:val="32"/>
          <w:szCs w:val="32"/>
          <w:lang w:bidi="ar"/>
          <w14:textFill>
            <w14:gradFill>
              <w14:gsLst>
                <w14:gs w14:pos="0">
                  <w14:srgbClr w14:val="012D86"/>
                </w14:gs>
                <w14:gs w14:pos="100000">
                  <w14:srgbClr w14:val="0E2557"/>
                </w14:gs>
              </w14:gsLst>
              <w14:lin w14:ang="0" w14:scaled="0"/>
            </w14:gradFill>
          </w14:textFill>
        </w:rPr>
        <w:t>项目的</w:t>
      </w:r>
      <w:r>
        <w:rPr>
          <w:rFonts w:hint="eastAsia" w:ascii="华文仿宋" w:hAnsi="华文仿宋" w:eastAsia="华文仿宋" w:cs="华文仿宋"/>
          <w:color w:val="333333"/>
          <w:sz w:val="32"/>
          <w:szCs w:val="32"/>
          <w14:textFill>
            <w14:gradFill>
              <w14:gsLst>
                <w14:gs w14:pos="0">
                  <w14:srgbClr w14:val="012D86"/>
                </w14:gs>
                <w14:gs w14:pos="100000">
                  <w14:srgbClr w14:val="0E2557"/>
                </w14:gs>
              </w14:gsLst>
              <w14:lin w14:ang="0" w14:scaled="0"/>
            </w14:gradFill>
          </w14:textFill>
        </w:rPr>
        <w:t>总体绩效目标完成情况，分析</w:t>
      </w:r>
      <w:r>
        <w:rPr>
          <w:rFonts w:hint="eastAsia" w:ascii="仿宋_GB2312" w:hAnsi="Calibri" w:eastAsia="仿宋_GB2312"/>
          <w:sz w:val="32"/>
          <w:szCs w:val="32"/>
          <w14:textFill>
            <w14:gradFill>
              <w14:gsLst>
                <w14:gs w14:pos="0">
                  <w14:srgbClr w14:val="012D86"/>
                </w14:gs>
                <w14:gs w14:pos="100000">
                  <w14:srgbClr w14:val="0E2557"/>
                </w14:gs>
              </w14:gsLst>
              <w14:lin w14:ang="0" w14:scaled="0"/>
            </w14:gradFill>
          </w14:textFill>
        </w:rPr>
        <w:t>实际绩效值与评价标准值偏离程度，</w:t>
      </w:r>
      <w:r>
        <w:rPr>
          <w:rFonts w:hint="eastAsia" w:ascii="华文仿宋" w:hAnsi="华文仿宋" w:eastAsia="华文仿宋" w:cs="华文仿宋"/>
          <w:color w:val="333333"/>
          <w:sz w:val="32"/>
          <w:szCs w:val="32"/>
          <w14:textFill>
            <w14:gradFill>
              <w14:gsLst>
                <w14:gs w14:pos="0">
                  <w14:srgbClr w14:val="012D86"/>
                </w14:gs>
                <w14:gs w14:pos="100000">
                  <w14:srgbClr w14:val="0E2557"/>
                </w14:gs>
              </w14:gsLst>
              <w14:lin w14:ang="0" w14:scaled="0"/>
            </w14:gradFill>
          </w14:textFill>
        </w:rPr>
        <w:t>研究提出改进措施；同时通过客观、</w:t>
      </w: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公正地从预算执行、产出、效益、满意度等多方面对项目综合绩效管理进行评价，总结经验，</w:t>
      </w:r>
      <w:r>
        <w:rPr>
          <w:rFonts w:hint="eastAsia" w:ascii="方正仿宋_GB2312" w:hAnsi="方正仿宋_GB2312" w:eastAsia="方正仿宋_GB2312" w:cs="方正仿宋_GB2312"/>
          <w:color w:val="000000"/>
          <w:sz w:val="32"/>
          <w:szCs w:val="32"/>
          <w:shd w:val="clear" w:color="auto" w:fill="FFFFFF"/>
          <w14:textFill>
            <w14:gradFill>
              <w14:gsLst>
                <w14:gs w14:pos="0">
                  <w14:srgbClr w14:val="012D86"/>
                </w14:gs>
                <w14:gs w14:pos="100000">
                  <w14:srgbClr w14:val="0E2557"/>
                </w14:gs>
              </w14:gsLst>
              <w14:lin w14:ang="0" w14:scaled="0"/>
            </w14:gradFill>
          </w14:textFill>
        </w:rPr>
        <w:t>提高资金使用效益，促进</w:t>
      </w:r>
      <w:r>
        <w:rPr>
          <w:rFonts w:hint="eastAsia" w:ascii="仿宋" w:hAnsi="仿宋" w:eastAsia="仿宋" w:cs="仿宋"/>
          <w:color w:val="3B3B3B"/>
          <w:sz w:val="32"/>
          <w:szCs w:val="32"/>
          <w14:textFill>
            <w14:gradFill>
              <w14:gsLst>
                <w14:gs w14:pos="0">
                  <w14:srgbClr w14:val="012D86"/>
                </w14:gs>
                <w14:gs w14:pos="100000">
                  <w14:srgbClr w14:val="0E2557"/>
                </w14:gs>
              </w14:gsLst>
              <w14:lin w14:ang="0" w14:scaled="0"/>
            </w14:gradFill>
          </w14:textFill>
        </w:rPr>
        <w:t>项目</w:t>
      </w:r>
      <w:r>
        <w:rPr>
          <w:rFonts w:hint="eastAsia" w:ascii="方正仿宋_GB2312" w:hAnsi="方正仿宋_GB2312" w:eastAsia="方正仿宋_GB2312" w:cs="方正仿宋_GB2312"/>
          <w:color w:val="333333"/>
          <w:sz w:val="32"/>
          <w:szCs w:val="32"/>
          <w:shd w:val="clear" w:color="auto" w:fill="FFFFFF"/>
          <w14:textFill>
            <w14:gradFill>
              <w14:gsLst>
                <w14:gs w14:pos="0">
                  <w14:srgbClr w14:val="012D86"/>
                </w14:gs>
                <w14:gs w14:pos="100000">
                  <w14:srgbClr w14:val="0E2557"/>
                </w14:gs>
              </w14:gsLst>
              <w14:lin w14:ang="0" w14:scaled="0"/>
            </w14:gradFill>
          </w14:textFill>
        </w:rPr>
        <w:t>预算绩效管理</w:t>
      </w:r>
      <w:r>
        <w:rPr>
          <w:rFonts w:hint="eastAsia" w:ascii="仿宋" w:hAnsi="仿宋" w:eastAsia="仿宋" w:cs="仿宋"/>
          <w:color w:val="3B3B3B"/>
          <w:sz w:val="32"/>
          <w:szCs w:val="32"/>
          <w14:textFill>
            <w14:gradFill>
              <w14:gsLst>
                <w14:gs w14:pos="0">
                  <w14:srgbClr w14:val="012D86"/>
                </w14:gs>
                <w14:gs w14:pos="100000">
                  <w14:srgbClr w14:val="0E2557"/>
                </w14:gs>
              </w14:gsLst>
              <w14:lin w14:ang="0" w14:scaled="0"/>
            </w14:gradFill>
          </w14:textFill>
        </w:rPr>
        <w:t>日趋完善</w:t>
      </w: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。此外，开展项目绩效评价也是加强财政预算绩效管理、优化资源配置、提高项目使用绩效的客观要求，对于提高服务质量和效率，实现项目资金配置科学化、管理精细化，</w:t>
      </w:r>
      <w:r>
        <w:rPr>
          <w:rFonts w:hint="eastAsia" w:ascii="方正仿宋_GB2312" w:hAnsi="方正仿宋_GB2312" w:eastAsia="方正仿宋_GB2312" w:cs="方正仿宋_GB2312"/>
          <w:color w:val="333333"/>
          <w:sz w:val="32"/>
          <w:szCs w:val="32"/>
          <w:shd w:val="clear" w:color="auto" w:fill="FFFFFF"/>
          <w14:textFill>
            <w14:gradFill>
              <w14:gsLst>
                <w14:gs w14:pos="0">
                  <w14:srgbClr w14:val="012D86"/>
                </w14:gs>
                <w14:gs w14:pos="100000">
                  <w14:srgbClr w14:val="0E2557"/>
                </w14:gs>
              </w14:gsLst>
              <w14:lin w14:ang="0" w14:scaled="0"/>
            </w14:gradFill>
          </w14:textFill>
        </w:rPr>
        <w:t>推动财政预算管理水平提升</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具有重</w:t>
      </w: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要意义。</w:t>
      </w:r>
    </w:p>
    <w:p>
      <w:pPr>
        <w:spacing w:line="600" w:lineRule="exact"/>
        <w:ind w:firstLine="643" w:firstLineChars="200"/>
        <w:outlineLvl w:val="1"/>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bookmarkStart w:id="12" w:name="_Toc19686"/>
      <w:bookmarkStart w:id="13" w:name="_Toc3545"/>
      <w:bookmarkStart w:id="14" w:name="_Toc21468"/>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（二）绩效评价原则、依据、指标体系以及评价方法等</w:t>
      </w:r>
      <w:bookmarkEnd w:id="12"/>
      <w:bookmarkEnd w:id="13"/>
      <w:bookmarkEnd w:id="14"/>
    </w:p>
    <w:p>
      <w:pPr>
        <w:spacing w:line="600" w:lineRule="exact"/>
        <w:ind w:firstLine="643" w:firstLineChars="200"/>
        <w:jc w:val="left"/>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原则</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：本着</w:t>
      </w:r>
      <w:r>
        <w:rPr>
          <w:rFonts w:hint="eastAsia" w:ascii="方正仿宋_GB2312" w:hAnsi="方正仿宋_GB2312" w:eastAsia="方正仿宋_GB2312" w:cs="方正仿宋_GB2312"/>
          <w:color w:val="333333"/>
          <w:sz w:val="32"/>
          <w:szCs w:val="32"/>
          <w14:textFill>
            <w14:gradFill>
              <w14:gsLst>
                <w14:gs w14:pos="0">
                  <w14:srgbClr w14:val="012D86"/>
                </w14:gs>
                <w14:gs w14:pos="100000">
                  <w14:srgbClr w14:val="0E2557"/>
                </w14:gs>
              </w14:gsLst>
              <w14:lin w14:ang="0" w14:scaled="0"/>
            </w14:gradFill>
          </w14:textFill>
        </w:rPr>
        <w:t>科学公正</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color w:val="333333"/>
          <w:sz w:val="32"/>
          <w:szCs w:val="32"/>
          <w14:textFill>
            <w14:gradFill>
              <w14:gsLst>
                <w14:gs w14:pos="0">
                  <w14:srgbClr w14:val="012D86"/>
                </w14:gs>
                <w14:gs w14:pos="100000">
                  <w14:srgbClr w14:val="0E2557"/>
                </w14:gs>
              </w14:gsLst>
              <w14:lin w14:ang="0" w14:scaled="0"/>
            </w14:gradFill>
          </w14:textFill>
        </w:rPr>
        <w:t>统筹兼顾</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color w:val="333333"/>
          <w:sz w:val="32"/>
          <w:szCs w:val="32"/>
          <w14:textFill>
            <w14:gradFill>
              <w14:gsLst>
                <w14:gs w14:pos="0">
                  <w14:srgbClr w14:val="012D86"/>
                </w14:gs>
                <w14:gs w14:pos="100000">
                  <w14:srgbClr w14:val="0E2557"/>
                </w14:gs>
              </w14:gsLst>
              <w14:lin w14:ang="0" w14:scaled="0"/>
            </w14:gradFill>
          </w14:textFill>
        </w:rPr>
        <w:t>激励约束、公开透明</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的原则开展评价工作。</w:t>
      </w:r>
    </w:p>
    <w:p>
      <w:pPr>
        <w:spacing w:line="600" w:lineRule="exact"/>
        <w:ind w:firstLine="643"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依据</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本次评价工作主要依据国家相关法律、法规和规章制度：《中华人民共和国预算法》、《中华人民共和国预算法实施条例》、参照内蒙古自治区人民政府办公厅关于印发《内蒙古自治区本级项目支出预算管理办法》的通知内政办发〔2016〕136号、《内蒙古自治区项目支出绩效评价管理办法》（2021发布）、《政府会计制度》、《</w:t>
      </w:r>
      <w:r>
        <w:rPr>
          <w:rFonts w:hint="eastAsia" w:ascii="方正仿宋_GB2312" w:hAnsi="方正仿宋_GB2312" w:eastAsia="方正仿宋_GB2312" w:cs="方正仿宋_GB2312"/>
          <w:color w:val="333333"/>
          <w:sz w:val="32"/>
          <w:szCs w:val="32"/>
          <w:shd w:val="clear" w:color="auto" w:fill="FFFFFF"/>
          <w14:textFill>
            <w14:gradFill>
              <w14:gsLst>
                <w14:gs w14:pos="0">
                  <w14:srgbClr w14:val="012D86"/>
                </w14:gs>
                <w14:gs w14:pos="100000">
                  <w14:srgbClr w14:val="0E2557"/>
                </w14:gs>
              </w14:gsLst>
              <w14:lin w14:ang="0" w14:scaled="0"/>
            </w14:gradFill>
          </w14:textFill>
        </w:rPr>
        <w:t>事业单位财务规则</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》和</w:t>
      </w:r>
      <w:r>
        <w:rPr>
          <w:rFonts w:ascii="方正楷体_GBK" w:hAnsi="方正楷体_GBK" w:eastAsia="方正楷体_GBK" w:cs="方正楷体_GBK"/>
          <w:color w:val="0000FF"/>
          <w:sz w:val="30"/>
          <w:szCs w:val="30"/>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color w:val="0000FF"/>
          <w:sz w:val="32"/>
          <w:szCs w:val="32"/>
          <w14:textFill>
            <w14:gradFill>
              <w14:gsLst>
                <w14:gs w14:pos="0">
                  <w14:srgbClr w14:val="012D86"/>
                </w14:gs>
                <w14:gs w14:pos="100000">
                  <w14:srgbClr w14:val="0E2557"/>
                </w14:gs>
              </w14:gsLst>
              <w14:lin w14:ang="0" w14:scaled="0"/>
            </w14:gradFill>
          </w14:textFill>
        </w:rPr>
        <w:t>内蒙古自治区特种设备安全监察条例》</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以及项目相关规定等。</w:t>
      </w:r>
    </w:p>
    <w:p>
      <w:pPr>
        <w:spacing w:line="600" w:lineRule="exact"/>
        <w:ind w:firstLine="643"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指标体系</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为确保建设项目绩效评价的结果接近真实水平，达到科学、规范、合理和实事求是的要求，在国家、自治区制定的相关绩效评价制度和评价指标体系基础上，结合项目的特殊性，对指标进行了调整，形成了本次评价指标体系。</w:t>
      </w:r>
    </w:p>
    <w:p>
      <w:pPr>
        <w:spacing w:line="600" w:lineRule="exact"/>
        <w:ind w:firstLine="643"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一级指标</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主要从项目立项决策、过程管理、产出和效率等维度进行评价。其中，立项决策指标评价权重为20%，主要评价项目立项决策程序的规范性以及项目建设的必要性和合理性；过程管理指标权重为20%，主要评价项目实施过程中组织管理水平，比如组织机构职责分工，主体责任是否明确，制度是否建立健全，执行是否有力，过程管理是否规范；项目产出和效益指标权重为60%。</w:t>
      </w:r>
    </w:p>
    <w:p>
      <w:pPr>
        <w:spacing w:line="600" w:lineRule="exact"/>
        <w:ind w:firstLine="643"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二级指标</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主要设定了13个，其中，项目立项主要从立项依据、绩效目标和资金分配等三个维度进行评估，下设6个</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三级指标</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；过程管理项下主要从资金管理和组织实施两个维度进行评估，下设4个</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三级指标</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；产出和绩效项下主要从产出的数量、质量、成本、时效、经济效益、社会效益、生态效益、可持续性和满意度等八个维度进行评价，其中下设9个</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三级指标</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。旨在通过以上指标体系设计，能够比较客观、公允的完成好本次评价工作。（指标详见附表</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p>
    <w:p>
      <w:pPr>
        <w:tabs>
          <w:tab w:val="center" w:pos="4153"/>
        </w:tabs>
        <w:spacing w:line="600" w:lineRule="exact"/>
        <w:ind w:firstLine="643"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评价方法</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：本次评价采取了调查法、分析法和</w:t>
      </w:r>
      <w:r>
        <w:rPr>
          <w:rFonts w:ascii="Times New Roman" w:hAnsi="Times New Roman" w:eastAsia="方正仿宋_GB2312" w:cs="Times New Roman"/>
          <w:color w:val="333333"/>
          <w:sz w:val="32"/>
          <w:szCs w:val="32"/>
          <w14:textFill>
            <w14:gradFill>
              <w14:gsLst>
                <w14:gs w14:pos="0">
                  <w14:srgbClr w14:val="012D86"/>
                </w14:gs>
                <w14:gs w14:pos="100000">
                  <w14:srgbClr w14:val="0E2557"/>
                </w14:gs>
              </w14:gsLst>
              <w14:lin w14:ang="0" w14:scaled="0"/>
            </w14:gradFill>
          </w14:textFill>
        </w:rPr>
        <w:t>公众评判</w:t>
      </w:r>
      <w:r>
        <w:rPr>
          <w:rFonts w:hint="eastAsia" w:ascii="Times New Roman" w:hAnsi="Times New Roman" w:eastAsia="方正仿宋_GB2312" w:cs="Times New Roman"/>
          <w:color w:val="333333"/>
          <w:sz w:val="32"/>
          <w:szCs w:val="32"/>
          <w14:textFill>
            <w14:gradFill>
              <w14:gsLst>
                <w14:gs w14:pos="0">
                  <w14:srgbClr w14:val="012D86"/>
                </w14:gs>
                <w14:gs w14:pos="100000">
                  <w14:srgbClr w14:val="0E2557"/>
                </w14:gs>
              </w14:gsLst>
              <w14:lin w14:ang="0" w14:scaled="0"/>
            </w14:gradFill>
          </w14:textFill>
        </w:rPr>
        <w:t>，</w:t>
      </w:r>
      <w:r>
        <w:rPr>
          <w:rFonts w:hint="eastAsia" w:ascii="仿宋_GB2312" w:hAnsi="Calibri" w:eastAsia="仿宋_GB2312"/>
          <w:sz w:val="32"/>
          <w:szCs w:val="32"/>
          <w14:textFill>
            <w14:gradFill>
              <w14:gsLst>
                <w14:gs w14:pos="0">
                  <w14:srgbClr w14:val="012D86"/>
                </w14:gs>
                <w14:gs w14:pos="100000">
                  <w14:srgbClr w14:val="0E2557"/>
                </w14:gs>
              </w14:gsLst>
              <w14:lin w14:ang="0" w14:scaled="0"/>
            </w14:gradFill>
          </w14:textFill>
        </w:rPr>
        <w:t>采用定量与定性分析相结合的方法</w:t>
      </w:r>
      <w:r>
        <w:rPr>
          <w:rFonts w:ascii="Times New Roman" w:hAnsi="Times New Roman" w:eastAsia="方正仿宋_GB2312" w:cs="Times New Roman"/>
          <w:color w:val="333333"/>
          <w:sz w:val="32"/>
          <w:szCs w:val="32"/>
          <w14:textFill>
            <w14:gradFill>
              <w14:gsLst>
                <w14:gs w14:pos="0">
                  <w14:srgbClr w14:val="012D86"/>
                </w14:gs>
                <w14:gs w14:pos="100000">
                  <w14:srgbClr w14:val="0E2557"/>
                </w14:gs>
              </w14:gsLst>
              <w14:lin w14:ang="0" w14:scaled="0"/>
            </w14:gradFill>
          </w14:textFill>
        </w:rPr>
        <w:t>。</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通过进入项目单位查阅有关资料、会计凭证，面谈，调查，回访客户等，对收集的信息资料进行复核整理、汇总分析，按照设立的评价指标、标准、权重、方法及程序实施评价，形成评价基本结论，</w:t>
      </w:r>
      <w:r>
        <w:rPr>
          <w:rFonts w:ascii="Times New Roman" w:hAnsi="Times New Roman" w:eastAsia="方正仿宋_GB2312" w:cs="Times New Roman"/>
          <w:bCs/>
          <w:sz w:val="32"/>
          <w:szCs w:val="32"/>
          <w14:textFill>
            <w14:gradFill>
              <w14:gsLst>
                <w14:gs w14:pos="0">
                  <w14:srgbClr w14:val="012D86"/>
                </w14:gs>
                <w14:gs w14:pos="100000">
                  <w14:srgbClr w14:val="0E2557"/>
                </w14:gs>
              </w14:gsLst>
              <w14:lin w14:ang="0" w14:scaled="0"/>
            </w14:gradFill>
          </w14:textFill>
        </w:rPr>
        <w:t>撰写评价报告。</w:t>
      </w:r>
    </w:p>
    <w:p>
      <w:pPr>
        <w:ind w:firstLine="640" w:firstLineChars="200"/>
        <w:jc w:val="left"/>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评价标准主要依据绩效目标的可实现程度进行分析，经评价组打分确定。</w:t>
      </w:r>
    </w:p>
    <w:p>
      <w:pPr>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1.评估得分。采用定性评价与定量评价相结合方法，对定性评价指标采用分析打分，对定量评价指标采用量化打分，总分按百分制计算各指标项目得分。</w:t>
      </w:r>
    </w:p>
    <w:p>
      <w:pPr>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2.绩效评价等级。评价结果分为优、良、中、差四个档次，根据评估分值，确定评价对象对应的档次。具体分值与档次见下表：</w:t>
      </w:r>
    </w:p>
    <w:p>
      <w:pPr>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p>
    <w:tbl>
      <w:tblPr>
        <w:tblStyle w:val="12"/>
        <w:tblpPr w:leftFromText="180" w:rightFromText="180" w:vertAnchor="text" w:horzAnchor="page" w:tblpX="2345" w:tblpY="258"/>
        <w:tblOverlap w:val="never"/>
        <w:tblW w:w="0" w:type="auto"/>
        <w:tblInd w:w="0" w:type="dxa"/>
        <w:tblLayout w:type="fixed"/>
        <w:tblCellMar>
          <w:top w:w="0" w:type="dxa"/>
          <w:left w:w="108" w:type="dxa"/>
          <w:bottom w:w="0" w:type="dxa"/>
          <w:right w:w="108" w:type="dxa"/>
        </w:tblCellMar>
      </w:tblPr>
      <w:tblGrid>
        <w:gridCol w:w="1488"/>
        <w:gridCol w:w="1704"/>
        <w:gridCol w:w="1704"/>
        <w:gridCol w:w="1705"/>
        <w:gridCol w:w="1705"/>
      </w:tblGrid>
      <w:tr>
        <w:tblPrEx>
          <w:tblCellMar>
            <w:top w:w="0" w:type="dxa"/>
            <w:left w:w="108" w:type="dxa"/>
            <w:bottom w:w="0" w:type="dxa"/>
            <w:right w:w="108" w:type="dxa"/>
          </w:tblCellMar>
        </w:tblPrEx>
        <w:trPr>
          <w:trHeight w:val="90" w:hRule="atLeast"/>
        </w:trPr>
        <w:tc>
          <w:tcPr>
            <w:tcW w:w="148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等级</w:t>
            </w:r>
          </w:p>
        </w:tc>
        <w:tc>
          <w:tcPr>
            <w:tcW w:w="17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优</w:t>
            </w:r>
          </w:p>
        </w:tc>
        <w:tc>
          <w:tcPr>
            <w:tcW w:w="17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良</w:t>
            </w:r>
          </w:p>
        </w:tc>
        <w:tc>
          <w:tcPr>
            <w:tcW w:w="170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中</w:t>
            </w:r>
          </w:p>
        </w:tc>
        <w:tc>
          <w:tcPr>
            <w:tcW w:w="170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差</w:t>
            </w:r>
          </w:p>
        </w:tc>
      </w:tr>
      <w:tr>
        <w:tblPrEx>
          <w:tblCellMar>
            <w:top w:w="0" w:type="dxa"/>
            <w:left w:w="108" w:type="dxa"/>
            <w:bottom w:w="0" w:type="dxa"/>
            <w:right w:w="108" w:type="dxa"/>
          </w:tblCellMar>
        </w:tblPrEx>
        <w:trPr>
          <w:trHeight w:val="540" w:hRule="atLeast"/>
        </w:trPr>
        <w:tc>
          <w:tcPr>
            <w:tcW w:w="1488"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分值</w:t>
            </w:r>
          </w:p>
        </w:tc>
        <w:tc>
          <w:tcPr>
            <w:tcW w:w="17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≥90</w:t>
            </w:r>
          </w:p>
        </w:tc>
        <w:tc>
          <w:tcPr>
            <w:tcW w:w="170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w:t>
            </w: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80</w:t>
            </w: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w:t>
            </w: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89</w:t>
            </w:r>
          </w:p>
        </w:tc>
        <w:tc>
          <w:tcPr>
            <w:tcW w:w="170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≥60，＜</w:t>
            </w: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79</w:t>
            </w:r>
          </w:p>
        </w:tc>
        <w:tc>
          <w:tcPr>
            <w:tcW w:w="170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80" w:lineRule="auto"/>
              <w:jc w:val="center"/>
              <w:rPr>
                <w:rFonts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lang w:val="zh-CN"/>
                <w14:textFill>
                  <w14:gradFill>
                    <w14:gsLst>
                      <w14:gs w14:pos="0">
                        <w14:srgbClr w14:val="012D86"/>
                      </w14:gs>
                      <w14:gs w14:pos="100000">
                        <w14:srgbClr w14:val="0E2557"/>
                      </w14:gs>
                    </w14:gsLst>
                    <w14:lin w14:ang="0" w14:scaled="0"/>
                  </w14:gradFill>
                </w14:textFill>
              </w:rPr>
              <w:t>＜60</w:t>
            </w:r>
          </w:p>
        </w:tc>
      </w:tr>
    </w:tbl>
    <w:p>
      <w:pPr>
        <w:ind w:firstLine="643" w:firstLineChars="200"/>
        <w:outlineLvl w:val="1"/>
        <w:rPr>
          <w:rFonts w:ascii="楷体" w:hAnsi="楷体" w:eastAsia="楷体" w:cs="楷体"/>
          <w:b/>
          <w:bCs/>
          <w:sz w:val="32"/>
          <w:szCs w:val="32"/>
          <w14:textFill>
            <w14:gradFill>
              <w14:gsLst>
                <w14:gs w14:pos="0">
                  <w14:srgbClr w14:val="012D86"/>
                </w14:gs>
                <w14:gs w14:pos="100000">
                  <w14:srgbClr w14:val="0E2557"/>
                </w14:gs>
              </w14:gsLst>
              <w14:lin w14:ang="0" w14:scaled="0"/>
            </w14:gradFill>
          </w14:textFill>
        </w:rPr>
      </w:pPr>
      <w:bookmarkStart w:id="15" w:name="_Toc28338"/>
      <w:bookmarkStart w:id="16" w:name="_Toc31247"/>
      <w:bookmarkStart w:id="17" w:name="_Toc444"/>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（三）绩效评价现场工作过程</w:t>
      </w:r>
      <w:bookmarkEnd w:id="15"/>
      <w:bookmarkEnd w:id="16"/>
      <w:bookmarkEnd w:id="17"/>
    </w:p>
    <w:p>
      <w:pPr>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2023年</w:t>
      </w:r>
      <w:r>
        <w:rPr>
          <w:rFonts w:hint="eastAsia"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6</w:t>
      </w:r>
      <w:r>
        <w:rPr>
          <w:rFonts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月</w:t>
      </w:r>
      <w:r>
        <w:rPr>
          <w:rFonts w:hint="eastAsia"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2</w:t>
      </w:r>
      <w:r>
        <w:rPr>
          <w:rFonts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日事务所人员组成绩效评价项目组，2023年</w:t>
      </w:r>
      <w:r>
        <w:rPr>
          <w:rFonts w:hint="eastAsia"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6</w:t>
      </w:r>
      <w:r>
        <w:rPr>
          <w:rFonts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月7日-</w:t>
      </w:r>
      <w:r>
        <w:rPr>
          <w:rFonts w:hint="eastAsia"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13</w:t>
      </w:r>
      <w:r>
        <w:rPr>
          <w:rFonts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日进项目单位开始外</w:t>
      </w:r>
      <w:bookmarkStart w:id="18" w:name="_Toc13043"/>
      <w:r>
        <w:rPr>
          <w:rFonts w:ascii="Times New Roman" w:hAnsi="Times New Roman" w:eastAsia="方正仿宋_GB2312" w:cs="Times New Roman"/>
          <w:sz w:val="32"/>
          <w:szCs w:val="32"/>
          <w:lang w:bidi="ar"/>
          <w14:textFill>
            <w14:gradFill>
              <w14:gsLst>
                <w14:gs w14:pos="0">
                  <w14:srgbClr w14:val="012D86"/>
                </w14:gs>
                <w14:gs w14:pos="100000">
                  <w14:srgbClr w14:val="0E2557"/>
                </w14:gs>
              </w14:gsLst>
              <w14:lin w14:ang="0" w14:scaled="0"/>
            </w14:gradFill>
          </w14:textFill>
        </w:rPr>
        <w:t>业工作。</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期间查阅了项目单位绩效目标的设定情况、项目申报批复申报、财务核算、预算执行、决算结果、业务部门检验工作量（台/套数）以及出具的报告，相关招投标文件、合同文件，对项目单位组织管理体系、项目管理制度建设及执行情况进行全面了解，并与财务、业务部门有关人员进行充分沟通。同时对公众满意度进行了回访调查，并调取了相关数据资料及其他信息。</w:t>
      </w:r>
    </w:p>
    <w:p>
      <w:pPr>
        <w:tabs>
          <w:tab w:val="center" w:pos="4153"/>
        </w:tabs>
        <w:spacing w:line="600" w:lineRule="exact"/>
        <w:ind w:firstLine="643" w:firstLineChars="200"/>
        <w:outlineLvl w:val="1"/>
        <w:rPr>
          <w:rFonts w:ascii="楷体" w:hAnsi="楷体" w:eastAsia="楷体" w:cs="楷体"/>
          <w:b/>
          <w:sz w:val="32"/>
          <w:szCs w:val="32"/>
          <w14:textFill>
            <w14:gradFill>
              <w14:gsLst>
                <w14:gs w14:pos="0">
                  <w14:srgbClr w14:val="012D86"/>
                </w14:gs>
                <w14:gs w14:pos="100000">
                  <w14:srgbClr w14:val="0E2557"/>
                </w14:gs>
              </w14:gsLst>
              <w14:lin w14:ang="0" w14:scaled="0"/>
            </w14:gradFill>
          </w14:textFill>
        </w:rPr>
      </w:pPr>
      <w:bookmarkStart w:id="19" w:name="_Toc1621"/>
      <w:bookmarkStart w:id="20" w:name="_Toc10456"/>
      <w:bookmarkStart w:id="21" w:name="_Toc12234"/>
      <w:r>
        <w:rPr>
          <w:rFonts w:hint="eastAsia" w:ascii="楷体" w:hAnsi="楷体" w:eastAsia="楷体" w:cs="楷体"/>
          <w:b/>
          <w:sz w:val="32"/>
          <w:szCs w:val="32"/>
          <w14:textFill>
            <w14:gradFill>
              <w14:gsLst>
                <w14:gs w14:pos="0">
                  <w14:srgbClr w14:val="012D86"/>
                </w14:gs>
                <w14:gs w14:pos="100000">
                  <w14:srgbClr w14:val="0E2557"/>
                </w14:gs>
              </w14:gsLst>
              <w14:lin w14:ang="0" w14:scaled="0"/>
            </w14:gradFill>
          </w14:textFill>
        </w:rPr>
        <w:t>（四）撰写评价报告</w:t>
      </w:r>
      <w:bookmarkEnd w:id="19"/>
      <w:bookmarkEnd w:id="20"/>
      <w:bookmarkEnd w:id="21"/>
    </w:p>
    <w:p>
      <w:pPr>
        <w:spacing w:line="600" w:lineRule="exact"/>
        <w:ind w:firstLine="640" w:firstLineChars="200"/>
        <w:outlineLvl w:val="1"/>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bookmarkStart w:id="22" w:name="_Toc28083"/>
      <w:bookmarkStart w:id="23" w:name="_Toc30416"/>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基于收集资料及外业调查情况，组织项目评价小组通过整理、分析材料，经讨论后集中意见，综合各类情况，得出评价初步建议稿并与项目单位及相关方充分沟通后，形成评价报告正式稿。</w:t>
      </w:r>
      <w:bookmarkEnd w:id="22"/>
      <w:bookmarkEnd w:id="23"/>
    </w:p>
    <w:p>
      <w:pPr>
        <w:numPr>
          <w:ilvl w:val="0"/>
          <w:numId w:val="2"/>
        </w:numPr>
        <w:spacing w:line="600" w:lineRule="exact"/>
        <w:ind w:firstLine="643"/>
        <w:outlineLvl w:val="0"/>
        <w:rPr>
          <w:rFonts w:ascii="黑体" w:hAnsi="黑体" w:eastAsia="黑体" w:cs="黑体"/>
          <w:b/>
          <w:bCs/>
          <w:sz w:val="32"/>
          <w:szCs w:val="32"/>
          <w14:textFill>
            <w14:gradFill>
              <w14:gsLst>
                <w14:gs w14:pos="0">
                  <w14:srgbClr w14:val="012D86"/>
                </w14:gs>
                <w14:gs w14:pos="100000">
                  <w14:srgbClr w14:val="0E2557"/>
                </w14:gs>
              </w14:gsLst>
              <w14:lin w14:ang="0" w14:scaled="0"/>
            </w14:gradFill>
          </w14:textFill>
        </w:rPr>
      </w:pPr>
      <w:bookmarkStart w:id="24" w:name="_Toc3948"/>
      <w:bookmarkStart w:id="25" w:name="_Toc14668"/>
      <w:r>
        <w:rPr>
          <w:rFonts w:hint="eastAsia" w:ascii="黑体" w:hAnsi="黑体" w:eastAsia="黑体" w:cs="黑体"/>
          <w:b/>
          <w:bCs/>
          <w:sz w:val="32"/>
          <w:szCs w:val="32"/>
          <w14:textFill>
            <w14:gradFill>
              <w14:gsLst>
                <w14:gs w14:pos="0">
                  <w14:srgbClr w14:val="012D86"/>
                </w14:gs>
                <w14:gs w14:pos="100000">
                  <w14:srgbClr w14:val="0E2557"/>
                </w14:gs>
              </w14:gsLst>
              <w14:lin w14:ang="0" w14:scaled="0"/>
            </w14:gradFill>
          </w14:textFill>
        </w:rPr>
        <w:t>综合评价结论</w:t>
      </w:r>
      <w:bookmarkEnd w:id="18"/>
      <w:bookmarkEnd w:id="24"/>
      <w:bookmarkEnd w:id="25"/>
    </w:p>
    <w:p>
      <w:pPr>
        <w:spacing w:line="600" w:lineRule="exact"/>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通过执行上述评价程序，</w:t>
      </w:r>
      <w:r>
        <w:rPr>
          <w:rFonts w:hint="eastAsia" w:ascii="方正仿宋_GB2312" w:hAnsi="方正仿宋_GB2312" w:eastAsia="方正仿宋_GB2312" w:cs="方正仿宋_GB2312"/>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综合分析各种因素，评价组认为</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特检院</w:t>
      </w:r>
      <w:r>
        <w:rPr>
          <w:rFonts w:hint="eastAsia" w:ascii="方正仿宋_GB2312" w:hAnsi="方正仿宋_GB2312" w:eastAsia="方正仿宋_GB2312" w:cs="方正仿宋_GB2312"/>
          <w:sz w:val="32"/>
          <w:szCs w:val="32"/>
          <w:lang w:bidi="en-US"/>
          <w14:textFill>
            <w14:gradFill>
              <w14:gsLst>
                <w14:gs w14:pos="0">
                  <w14:srgbClr w14:val="012D86"/>
                </w14:gs>
                <w14:gs w14:pos="100000">
                  <w14:srgbClr w14:val="0E2557"/>
                </w14:gs>
              </w14:gsLst>
              <w14:lin w14:ang="0" w14:scaled="0"/>
            </w14:gradFill>
          </w14:textFill>
        </w:rPr>
        <w:t>在项目立项决策、过程、产出及效益方面均履行了必要的审批程序，实施过程基本规范，产出和效益方面基本达到绩效目标，</w:t>
      </w:r>
      <w:r>
        <w:rPr>
          <w:rFonts w:hint="eastAsia" w:ascii="方正仿宋_GB2312" w:hAnsi="方正仿宋_GB2312" w:eastAsia="方正仿宋_GB2312" w:cs="方正仿宋_GB2312"/>
          <w:color w:val="000000"/>
          <w:sz w:val="32"/>
          <w:szCs w:val="32"/>
          <w14:textFill>
            <w14:gradFill>
              <w14:gsLst>
                <w14:gs w14:pos="0">
                  <w14:srgbClr w14:val="012D86"/>
                </w14:gs>
                <w14:gs w14:pos="100000">
                  <w14:srgbClr w14:val="0E2557"/>
                </w14:gs>
              </w14:gsLst>
              <w14:lin w14:ang="0" w14:scaled="0"/>
            </w14:gradFill>
          </w14:textFill>
        </w:rPr>
        <w:t>并有效地服务于我区在特种设备检验监管方面地方经济社会发展的需要</w:t>
      </w:r>
      <w:r>
        <w:rPr>
          <w:rFonts w:hint="eastAsia" w:ascii="方正仿宋_GB2312" w:hAnsi="方正仿宋_GB2312" w:eastAsia="方正仿宋_GB2312" w:cs="方正仿宋_GB2312"/>
          <w:sz w:val="32"/>
          <w:szCs w:val="32"/>
          <w:lang w:bidi="en-US"/>
          <w14:textFill>
            <w14:gradFill>
              <w14:gsLst>
                <w14:gs w14:pos="0">
                  <w14:srgbClr w14:val="012D86"/>
                </w14:gs>
                <w14:gs w14:pos="100000">
                  <w14:srgbClr w14:val="0E2557"/>
                </w14:gs>
              </w14:gsLst>
              <w14:lin w14:ang="0" w14:scaled="0"/>
            </w14:gradFill>
          </w14:textFill>
        </w:rPr>
        <w:t>。但项目实施过程中</w:t>
      </w:r>
      <w:r>
        <w:rPr>
          <w:rFonts w:hint="eastAsia" w:ascii="方正仿宋_GB2312" w:hAnsi="方正仿宋_GB2312" w:eastAsia="方正仿宋_GB2312" w:cs="方正仿宋_GB2312"/>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也存在一些不尽完善的地方，比如：绩效目标设定的指标量化不够、细化不足，项目核算支出边界不清，项目管理制度尚不完善，项目管理长效机制还未健全，总院对各分院的统筹管理体系尚未形成等问题，综合管理水平有待进一步加强。</w:t>
      </w:r>
    </w:p>
    <w:p>
      <w:pPr>
        <w:spacing w:line="600" w:lineRule="exact"/>
        <w:ind w:firstLine="640" w:firstLineChars="200"/>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综合分析，按照评价指标体系及评分标准，对该建设项目进行客观评价，最终评分结果为：总得分为</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90</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分，属于“</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优</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”。其中项目立项决策类指标权重为20</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，得分为</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16.5</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分，得分率为</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82.5</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%；项目实施管理类指标权重为20</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，得分为</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16</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分，得分率为</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80</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%；项目产出指标权重</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为</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30%，得分为29.5分，得分率为98</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.4</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%；效益类指标权重为30%，得分为</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28</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分，得分率为</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93.33</w:t>
      </w:r>
      <w:r>
        <w:rPr>
          <w:rFonts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kern w:val="0"/>
          <w:sz w:val="32"/>
          <w:szCs w:val="32"/>
          <w:shd w:val="clear" w:color="auto" w:fill="FFFFFF"/>
          <w:lang w:bidi="ar"/>
          <w14:textFill>
            <w14:gradFill>
              <w14:gsLst>
                <w14:gs w14:pos="0">
                  <w14:srgbClr w14:val="012D86"/>
                </w14:gs>
                <w14:gs w14:pos="100000">
                  <w14:srgbClr w14:val="0E2557"/>
                </w14:gs>
              </w14:gsLst>
              <w14:lin w14:ang="0" w14:scaled="0"/>
            </w14:gradFill>
          </w14:textFill>
        </w:rPr>
        <w:t>具体得分情况如下：</w:t>
      </w:r>
    </w:p>
    <w:p>
      <w:pPr>
        <w:jc w:val="left"/>
        <w:rPr>
          <w:rFonts w:ascii="仿宋" w:hAnsi="仿宋" w:eastAsia="仿宋" w:cs="仿宋"/>
          <w:b/>
          <w:bCs/>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sz w:val="28"/>
          <w:szCs w:val="28"/>
          <w14:textFill>
            <w14:gradFill>
              <w14:gsLst>
                <w14:gs w14:pos="0">
                  <w14:srgbClr w14:val="012D86"/>
                </w14:gs>
                <w14:gs w14:pos="100000">
                  <w14:srgbClr w14:val="0E2557"/>
                </w14:gs>
              </w14:gsLst>
              <w14:lin w14:ang="0" w14:scaled="0"/>
            </w14:gradFill>
          </w14:textFill>
        </w:rPr>
        <w:t xml:space="preserve">  </w:t>
      </w:r>
      <w:r>
        <w:rPr>
          <w:rFonts w:hint="eastAsia" w:ascii="仿宋" w:hAnsi="仿宋" w:eastAsia="仿宋" w:cs="仿宋"/>
          <w:b/>
          <w:bCs/>
          <w:sz w:val="32"/>
          <w:szCs w:val="32"/>
          <w14:textFill>
            <w14:gradFill>
              <w14:gsLst>
                <w14:gs w14:pos="0">
                  <w14:srgbClr w14:val="012D86"/>
                </w14:gs>
                <w14:gs w14:pos="100000">
                  <w14:srgbClr w14:val="0E2557"/>
                </w14:gs>
              </w14:gsLst>
              <w14:lin w14:ang="0" w14:scaled="0"/>
            </w14:gradFill>
          </w14:textFill>
        </w:rPr>
        <w:t xml:space="preserve">                  综合得分情况表</w:t>
      </w:r>
    </w:p>
    <w:tbl>
      <w:tblPr>
        <w:tblStyle w:val="12"/>
        <w:tblW w:w="85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6"/>
        <w:gridCol w:w="1222"/>
        <w:gridCol w:w="1464"/>
        <w:gridCol w:w="1248"/>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5" w:type="dxa"/>
            <w:shd w:val="clear" w:color="000000" w:fill="A6A6A6"/>
            <w:vAlign w:val="center"/>
          </w:tcPr>
          <w:p>
            <w:pPr>
              <w:widowControl/>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指标</w:t>
            </w:r>
          </w:p>
        </w:tc>
        <w:tc>
          <w:tcPr>
            <w:tcW w:w="1706" w:type="dxa"/>
            <w:shd w:val="clear" w:color="000000" w:fill="A6A6A6"/>
            <w:vAlign w:val="center"/>
          </w:tcPr>
          <w:p>
            <w:pPr>
              <w:widowControl/>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项目立项决策</w:t>
            </w:r>
          </w:p>
        </w:tc>
        <w:tc>
          <w:tcPr>
            <w:tcW w:w="1222" w:type="dxa"/>
            <w:shd w:val="clear" w:color="000000" w:fill="A6A6A6"/>
            <w:vAlign w:val="center"/>
          </w:tcPr>
          <w:p>
            <w:pPr>
              <w:widowControl/>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项目管理</w:t>
            </w:r>
          </w:p>
        </w:tc>
        <w:tc>
          <w:tcPr>
            <w:tcW w:w="1464" w:type="dxa"/>
            <w:shd w:val="clear" w:color="000000" w:fill="A6A6A6"/>
            <w:vAlign w:val="center"/>
          </w:tcPr>
          <w:p>
            <w:pPr>
              <w:widowControl/>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项目产出</w:t>
            </w:r>
          </w:p>
        </w:tc>
        <w:tc>
          <w:tcPr>
            <w:tcW w:w="1248" w:type="dxa"/>
            <w:shd w:val="clear" w:color="000000" w:fill="A6A6A6"/>
            <w:vAlign w:val="center"/>
          </w:tcPr>
          <w:p>
            <w:pPr>
              <w:widowControl/>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项目效益</w:t>
            </w:r>
          </w:p>
        </w:tc>
        <w:tc>
          <w:tcPr>
            <w:tcW w:w="1248" w:type="dxa"/>
            <w:shd w:val="clear" w:color="000000" w:fill="A6A6A6"/>
            <w:vAlign w:val="center"/>
          </w:tcPr>
          <w:p>
            <w:pPr>
              <w:widowControl/>
              <w:jc w:val="center"/>
              <w:rPr>
                <w:rFonts w:ascii="仿宋" w:hAnsi="仿宋" w:eastAsia="仿宋" w:cs="仿宋"/>
                <w:b/>
                <w:bCs/>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b/>
                <w:bCs/>
                <w:kern w:val="0"/>
                <w:sz w:val="24"/>
                <w14:textFill>
                  <w14:gradFill>
                    <w14:gsLst>
                      <w14:gs w14:pos="0">
                        <w14:srgbClr w14:val="012D86"/>
                      </w14:gs>
                      <w14:gs w14:pos="100000">
                        <w14:srgbClr w14:val="0E2557"/>
                      </w14:gs>
                    </w14:gsLst>
                    <w14:lin w14:ang="0" w14:scaled="0"/>
                  </w14:gra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705"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权重</w:t>
            </w:r>
          </w:p>
        </w:tc>
        <w:tc>
          <w:tcPr>
            <w:tcW w:w="1706"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20%</w:t>
            </w:r>
          </w:p>
        </w:tc>
        <w:tc>
          <w:tcPr>
            <w:tcW w:w="1222"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20%</w:t>
            </w:r>
          </w:p>
        </w:tc>
        <w:tc>
          <w:tcPr>
            <w:tcW w:w="1464"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30%</w:t>
            </w:r>
          </w:p>
        </w:tc>
        <w:tc>
          <w:tcPr>
            <w:tcW w:w="1248"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30%</w:t>
            </w:r>
          </w:p>
        </w:tc>
        <w:tc>
          <w:tcPr>
            <w:tcW w:w="1248"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5"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得分</w:t>
            </w:r>
          </w:p>
        </w:tc>
        <w:tc>
          <w:tcPr>
            <w:tcW w:w="1706"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16.5</w:t>
            </w:r>
          </w:p>
        </w:tc>
        <w:tc>
          <w:tcPr>
            <w:tcW w:w="1222"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16</w:t>
            </w:r>
          </w:p>
        </w:tc>
        <w:tc>
          <w:tcPr>
            <w:tcW w:w="1464"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29.5</w:t>
            </w:r>
          </w:p>
        </w:tc>
        <w:tc>
          <w:tcPr>
            <w:tcW w:w="1248"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28</w:t>
            </w:r>
          </w:p>
        </w:tc>
        <w:tc>
          <w:tcPr>
            <w:tcW w:w="1248"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705"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得分率</w:t>
            </w:r>
          </w:p>
        </w:tc>
        <w:tc>
          <w:tcPr>
            <w:tcW w:w="1706"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82.5%</w:t>
            </w:r>
          </w:p>
        </w:tc>
        <w:tc>
          <w:tcPr>
            <w:tcW w:w="1222"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80%</w:t>
            </w:r>
          </w:p>
        </w:tc>
        <w:tc>
          <w:tcPr>
            <w:tcW w:w="1464"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98.4%</w:t>
            </w:r>
          </w:p>
        </w:tc>
        <w:tc>
          <w:tcPr>
            <w:tcW w:w="1248"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93.33%</w:t>
            </w:r>
          </w:p>
        </w:tc>
        <w:tc>
          <w:tcPr>
            <w:tcW w:w="1248" w:type="dxa"/>
            <w:vAlign w:val="center"/>
          </w:tcPr>
          <w:p>
            <w:pPr>
              <w:widowControl/>
              <w:jc w:val="center"/>
              <w:rPr>
                <w:rFonts w:ascii="仿宋" w:hAnsi="仿宋" w:eastAsia="仿宋" w:cs="仿宋"/>
                <w:kern w:val="0"/>
                <w:sz w:val="24"/>
                <w14:textFill>
                  <w14:gradFill>
                    <w14:gsLst>
                      <w14:gs w14:pos="0">
                        <w14:srgbClr w14:val="012D86"/>
                      </w14:gs>
                      <w14:gs w14:pos="100000">
                        <w14:srgbClr w14:val="0E2557"/>
                      </w14:gs>
                    </w14:gsLst>
                    <w14:lin w14:ang="0" w14:scaled="0"/>
                  </w14:gradFill>
                </w14:textFill>
              </w:rPr>
            </w:pPr>
            <w:r>
              <w:rPr>
                <w:rFonts w:hint="eastAsia" w:ascii="仿宋" w:hAnsi="仿宋" w:eastAsia="仿宋" w:cs="仿宋"/>
                <w:kern w:val="0"/>
                <w:sz w:val="24"/>
                <w14:textFill>
                  <w14:gradFill>
                    <w14:gsLst>
                      <w14:gs w14:pos="0">
                        <w14:srgbClr w14:val="012D86"/>
                      </w14:gs>
                      <w14:gs w14:pos="100000">
                        <w14:srgbClr w14:val="0E2557"/>
                      </w14:gs>
                    </w14:gsLst>
                    <w14:lin w14:ang="0" w14:scaled="0"/>
                  </w14:gradFill>
                </w14:textFill>
              </w:rPr>
              <w:t>90%</w:t>
            </w:r>
          </w:p>
        </w:tc>
      </w:tr>
    </w:tbl>
    <w:p>
      <w:pPr>
        <w:rPr>
          <w:rFonts w:ascii="仿宋" w:hAnsi="仿宋" w:eastAsia="仿宋" w:cs="仿宋"/>
        </w:rPr>
      </w:pPr>
    </w:p>
    <w:p>
      <w:pPr>
        <w:spacing w:line="640" w:lineRule="exact"/>
        <w:ind w:firstLine="643" w:firstLineChars="200"/>
        <w:outlineLvl w:val="0"/>
        <w:rPr>
          <w:rFonts w:ascii="黑体" w:hAnsi="黑体" w:eastAsia="黑体" w:cs="黑体"/>
          <w:b/>
          <w:bCs/>
          <w:sz w:val="32"/>
          <w:szCs w:val="32"/>
          <w14:textFill>
            <w14:gradFill>
              <w14:gsLst>
                <w14:gs w14:pos="0">
                  <w14:srgbClr w14:val="012D86"/>
                </w14:gs>
                <w14:gs w14:pos="100000">
                  <w14:srgbClr w14:val="0E2557"/>
                </w14:gs>
              </w14:gsLst>
              <w14:lin w14:ang="0" w14:scaled="0"/>
            </w14:gradFill>
          </w14:textFill>
        </w:rPr>
      </w:pPr>
      <w:bookmarkStart w:id="26" w:name="_Toc25868"/>
      <w:bookmarkStart w:id="27" w:name="_Toc15061"/>
      <w:bookmarkStart w:id="28" w:name="_Toc1572"/>
      <w:r>
        <w:rPr>
          <w:rFonts w:hint="eastAsia" w:ascii="黑体" w:hAnsi="黑体" w:eastAsia="黑体" w:cs="黑体"/>
          <w:b/>
          <w:bCs/>
          <w:sz w:val="32"/>
          <w:szCs w:val="32"/>
          <w14:textFill>
            <w14:gradFill>
              <w14:gsLst>
                <w14:gs w14:pos="0">
                  <w14:srgbClr w14:val="012D86"/>
                </w14:gs>
                <w14:gs w14:pos="100000">
                  <w14:srgbClr w14:val="0E2557"/>
                </w14:gs>
              </w14:gsLst>
              <w14:lin w14:ang="0" w14:scaled="0"/>
            </w14:gradFill>
          </w14:textFill>
        </w:rPr>
        <w:t>四、绩效评价指标分析</w:t>
      </w:r>
      <w:bookmarkEnd w:id="26"/>
      <w:bookmarkEnd w:id="27"/>
      <w:bookmarkEnd w:id="28"/>
    </w:p>
    <w:p>
      <w:pPr>
        <w:spacing w:line="600" w:lineRule="exact"/>
        <w:ind w:firstLine="643" w:firstLineChars="200"/>
        <w:outlineLvl w:val="1"/>
        <w:rPr>
          <w:rFonts w:ascii="楷体" w:hAnsi="楷体" w:eastAsia="楷体" w:cs="楷体"/>
          <w:b/>
          <w:bCs/>
          <w:sz w:val="32"/>
          <w:szCs w:val="32"/>
          <w14:textFill>
            <w14:gradFill>
              <w14:gsLst>
                <w14:gs w14:pos="0">
                  <w14:srgbClr w14:val="012D86"/>
                </w14:gs>
                <w14:gs w14:pos="100000">
                  <w14:srgbClr w14:val="0E2557"/>
                </w14:gs>
              </w14:gsLst>
              <w14:lin w14:ang="0" w14:scaled="0"/>
            </w14:gradFill>
          </w14:textFill>
        </w:rPr>
      </w:pPr>
      <w:bookmarkStart w:id="29" w:name="_Toc7377"/>
      <w:bookmarkStart w:id="30" w:name="_Toc17890"/>
      <w:bookmarkStart w:id="31" w:name="_Toc8849"/>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（一）</w:t>
      </w:r>
      <w:bookmarkEnd w:id="29"/>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立项决策情况</w:t>
      </w:r>
      <w:bookmarkEnd w:id="30"/>
      <w:bookmarkEnd w:id="31"/>
    </w:p>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32" w:name="_Toc7549"/>
      <w:bookmarkStart w:id="33" w:name="_Toc32273"/>
      <w:bookmarkStart w:id="34" w:name="_Toc6760"/>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项目</w:t>
      </w:r>
      <w:bookmarkEnd w:id="32"/>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立项。按照特检院职能安排，该项目属于其日常专项业务，根据自治区特种特备检验市场需求及自治区市场监督管理局的布署安排，依据《中华人民共和国预算法》、参照内蒙古自治区人民政府办公厅关于印发《内蒙古自治区本级项目支出预算管理办法》的通知内政办发〔2016〕136号、《内蒙古自治区项目支出绩效评价管理办法》（2021</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发布）等有关文件精神，列入2022年度预算安排，并</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经</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院党</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委会议（内蒙古自治区特种设备检验研究院党委会议会议纪要第15号和19号文件）研究</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审</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批</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通过</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，同时经《内蒙古自治区财政厅关于2022年自治区本级部门的批复》（内财预〔2022〕71号）批复</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。项目立项审批程序合规，主体责任明确，并按程序进行集体决策。</w:t>
      </w:r>
      <w:bookmarkEnd w:id="33"/>
      <w:bookmarkEnd w:id="34"/>
    </w:p>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35" w:name="_Toc7917"/>
      <w:bookmarkStart w:id="36" w:name="_Toc28833"/>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不足之处一是</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立项、预算</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安排</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总院和各分院均</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未见相关分析</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测算等</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论证材料，</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比如，</w:t>
      </w:r>
      <w:r>
        <w:rPr>
          <w:rFonts w:hint="eastAsia" w:ascii="方正仿宋_GB2312" w:hAnsi="方正仿宋_GB2312" w:eastAsia="方正仿宋_GB2312" w:cs="方正仿宋_GB2312"/>
          <w:color w:val="0000FF"/>
          <w:sz w:val="32"/>
          <w:szCs w:val="32"/>
          <w14:textFill>
            <w14:gradFill>
              <w14:gsLst>
                <w14:gs w14:pos="0">
                  <w14:srgbClr w14:val="012D86"/>
                </w14:gs>
                <w14:gs w14:pos="100000">
                  <w14:srgbClr w14:val="0E2557"/>
                </w14:gs>
              </w14:gsLst>
              <w14:lin w14:ang="0" w14:scaled="0"/>
            </w14:gradFill>
          </w14:textFill>
        </w:rPr>
        <w:t>全区特种设备的使用发展现状及规模、检测市场需求量、各盟市的特点、市场对技术的要求、以及相应人力资源的总体安排等与本单位事业发展匹配的中长期规划等相关决策依据均</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未提供；二</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是未见年度实施计划。</w:t>
      </w:r>
    </w:p>
    <w:p>
      <w:pPr>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根据“内蒙古自治区人民政府办公厅关于印发《内蒙古自治区本级项目支出预算管理办法》的通知（内政办发〔2016〕136号）”</w:t>
      </w:r>
      <w:r>
        <w:rPr>
          <w:rFonts w:hint="eastAsia" w:ascii="方正仿宋_GB2312" w:hAnsi="方正仿宋_GB2312" w:eastAsia="方正仿宋_GB2312" w:cs="方正仿宋_GB2312"/>
          <w:color w:val="333333"/>
          <w:spacing w:val="7"/>
          <w:sz w:val="32"/>
          <w:szCs w:val="32"/>
          <w:shd w:val="clear" w:color="auto" w:fill="FFFFFF"/>
          <w14:textFill>
            <w14:gradFill>
              <w14:gsLst>
                <w14:gs w14:pos="0">
                  <w14:srgbClr w14:val="012D86"/>
                </w14:gs>
                <w14:gs w14:pos="100000">
                  <w14:srgbClr w14:val="0E2557"/>
                </w14:gs>
              </w14:gsLst>
              <w14:lin w14:ang="0" w14:scaled="0"/>
            </w14:gradFill>
          </w14:textFill>
        </w:rPr>
        <w:t>第五条 项目支出预算管理应当遵循的基本原则：“项目支出预算要以部门中长期发展规划和年度工作重点为依据，突出部门主要职能，结合事业发展需要合理安排……；”规定。虽然贵单位根据编委</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内机编办发〔2020〕148号）规定的按政府赋予权限履行的常规性监督检查，这是对部门整体常规性的职责安排，但作为“项目支出”安排，具有“专项属性”，应按项目支出预算绩效要求进行编制。从特检院本身职能来看即承担着公共安全服务职能（即非税部分），同时也应承担着检测经营业务（经营部分），需要检测单位走向市场，参与竞争，则顶层设计、长中短期规划就显得尤为重要，决策层每年应根据本区域经济发展要求，适时调整中长期规划，且落实到本年度的工作安排中，建立上下、横向联动机制。同时需要全员树立绩效理念、形成绩效考核方案，并在执行过程中动态监控，落</w:t>
      </w:r>
      <w:r>
        <w:rPr>
          <w:rFonts w:hint="eastAsia" w:ascii="方正仿宋_GB2312" w:hAnsi="方正仿宋_GB2312" w:eastAsia="方正仿宋_GB2312" w:cs="方正仿宋_GB2312"/>
          <w:color w:val="333333"/>
          <w:spacing w:val="7"/>
          <w:sz w:val="32"/>
          <w:szCs w:val="32"/>
          <w:shd w:val="clear" w:color="auto" w:fill="FFFFFF"/>
          <w14:textFill>
            <w14:gradFill>
              <w14:gsLst>
                <w14:gs w14:pos="0">
                  <w14:srgbClr w14:val="012D86"/>
                </w14:gs>
                <w14:gs w14:pos="100000">
                  <w14:srgbClr w14:val="0E2557"/>
                </w14:gs>
              </w14:gsLst>
              <w14:lin w14:ang="0" w14:scaled="0"/>
            </w14:gradFill>
          </w14:textFill>
        </w:rPr>
        <w:t>实部门规划与三年滚动规划的衔接，强化部门三年滚动规划对年度预算的约束，落实年度工作计划；</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但项目组在审阅收集资料过程中贵单位均未提供相关资料。</w:t>
      </w:r>
    </w:p>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经综合评</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价</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，扣减</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0.5</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分，该指标应得6分，实得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5.5</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w:t>
      </w:r>
      <w:bookmarkEnd w:id="35"/>
      <w:bookmarkEnd w:id="36"/>
    </w:p>
    <w:p>
      <w:pPr>
        <w:pStyle w:val="4"/>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37" w:name="_Toc11533"/>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2.绩效目标设定：</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全院各单位</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项目建设</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基本能够</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立足本部门职责，</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设定全年监测量目标值，如，</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全</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院</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为实现锅炉压力容器与特种设备安全监管设定了</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基本</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绩效目标：</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全院</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计划</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对各特种设施设备的</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检测量至少达到</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57.46万</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台</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、个、部）</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检测水平即</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质</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量</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合格率达100%，</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并在规定的时间内</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出具报告。</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除二连浩特和满洲里分院指标设定不符合要求外，其他单位绩效目标中的产出数量基本明确。</w:t>
      </w:r>
    </w:p>
    <w:p>
      <w:pPr>
        <w:spacing w:line="600" w:lineRule="exact"/>
        <w:ind w:firstLine="640" w:firstLineChars="200"/>
        <w:outlineLvl w:val="0"/>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pPr>
      <w:bookmarkStart w:id="38" w:name="_Toc1547"/>
      <w:bookmarkStart w:id="39" w:name="_Toc8625"/>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不足之处是</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除</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上述绩效目标</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之外，</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全院所有单位绩效目标中均未对</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项目</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支出范围和具体支出成本进行</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细化和量化</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，并进行层层分解，包括(但不限于）项目执行</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需要的人员范围、差旅费</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（人数、频次等）</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预算</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、培训人次及费用、</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检验场地、设备及技术支持的投入等要素以及</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各</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成本支出</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标准</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等，</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未对项目效益和成本做出分析，</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导致项目支出</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内容</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以及支出合理性无法界定。经项目组综合评</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价</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，扣减</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2</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分，该指标应得7分，实得</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5</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分。</w:t>
      </w:r>
      <w:bookmarkEnd w:id="38"/>
      <w:bookmarkEnd w:id="39"/>
    </w:p>
    <w:bookmarkEnd w:id="37"/>
    <w:p>
      <w:pPr>
        <w:spacing w:line="600" w:lineRule="exact"/>
        <w:ind w:firstLine="640" w:firstLineChars="200"/>
        <w:outlineLvl w:val="0"/>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bookmarkStart w:id="40" w:name="_Toc11041"/>
      <w:bookmarkStart w:id="41" w:name="_Toc816"/>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3.</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资金分配：项目资金来源为预算部门项目预算资金，指标以内财预〔2022〕71号批复计划，以锅炉压力容器与特种设备安全监管项目下达，该项目</w:t>
      </w: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特检院（全院）</w:t>
      </w:r>
      <w:r>
        <w:rPr>
          <w:rFonts w:hint="eastAsia" w:ascii="Times New Roman" w:hAnsi="Times New Roman" w:eastAsia="仿宋_GB2312" w:cs="Times New Roman"/>
          <w:sz w:val="32"/>
          <w:szCs w:val="32"/>
          <w:lang w:val="en"/>
          <w14:textFill>
            <w14:gradFill>
              <w14:gsLst>
                <w14:gs w14:pos="0">
                  <w14:srgbClr w14:val="012D86"/>
                </w14:gs>
                <w14:gs w14:pos="100000">
                  <w14:srgbClr w14:val="0E2557"/>
                </w14:gs>
              </w14:gsLst>
              <w14:lin w14:ang="0" w14:scaled="0"/>
            </w14:gradFill>
          </w14:textFill>
        </w:rPr>
        <w:t>2022年</w:t>
      </w: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项目资金来源共计</w:t>
      </w:r>
      <w:r>
        <w:rPr>
          <w:rFonts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22,746.91</w:t>
      </w:r>
      <w:r>
        <w:rPr>
          <w:rFonts w:hint="eastAsia" w:ascii="Times New Roman" w:hAnsi="Times New Roman" w:eastAsia="仿宋_GB2312" w:cs="Times New Roman"/>
          <w:sz w:val="32"/>
          <w:szCs w:val="32"/>
          <w14:textFill>
            <w14:gradFill>
              <w14:gsLst>
                <w14:gs w14:pos="0">
                  <w14:srgbClr w14:val="012D86"/>
                </w14:gs>
                <w14:gs w14:pos="100000">
                  <w14:srgbClr w14:val="0E2557"/>
                </w14:gs>
              </w14:gsLst>
              <w14:lin w14:ang="0" w14:scaled="0"/>
            </w14:gradFill>
          </w14:textFill>
        </w:rPr>
        <w:t>万元，其中当年预算指标20,127.43万元、上年度结转指标1,615.32 万元，以前年度结转资金1,004.17万元；其中财政拨款21,742.75万元，各院分配指标以及分配明细均在年初预算中列明</w:t>
      </w:r>
      <w:bookmarkEnd w:id="40"/>
      <w:bookmarkEnd w:id="41"/>
    </w:p>
    <w:p>
      <w:pPr>
        <w:spacing w:line="600" w:lineRule="exact"/>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bookmarkStart w:id="42" w:name="_Toc20874"/>
      <w:bookmarkStart w:id="43" w:name="_Toc27284"/>
      <w:bookmarkStart w:id="44" w:name="_Toc1413"/>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不足之处是</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由于上述提及的项目绩效目标设定时未明确细化人员范围、差旅频次等</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系列</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考核指标，项目支出测算依据尚待进一步明确</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细化。</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按照“内蒙古自治区人民政府办公厅关于印发《内蒙古自治区本级项目支出预算管理办法》的通知（内政办发〔2016〕136号）”第十一条 项目设置规则。......项目内容要反映政府施政目标、部门主要职责和发展规划，并避免与公用经费及其他项目交叉重复。项目要在深入研究和充分论证的基础上设立，并具备可执行性......。</w:t>
      </w:r>
    </w:p>
    <w:p>
      <w:pPr>
        <w:spacing w:line="600" w:lineRule="exact"/>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按照事业单位承担的基本职能，政府已安排保运转的基本支出，项目支出中应明确项目支出范围，严格与基本支出厘清边界。</w:t>
      </w:r>
    </w:p>
    <w:p>
      <w:pPr>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从该项目实际支出项来看,包括:资本性支出6项；商品和服务支出约25项；工资及福利支出约13项；在绩效目标设定中均未予量化、细化。比如，项目人员范围（包括人员数量、人员的哪部分支出属于项目内支出、支出标准，绩效如何兑现等，均未列明）；再如，根据本年度的业务量，检测、监督检查需要的出差人次、费用分配等均未细化分解；再如，项目需要的检测场地、设备、日常基本办公支出要进行细化测算（即使作为日常公用经费不足的补充，也需明确资金不足的金额和原因），绩效目标设定时与保运转的资本性支出和商品服务支出边界的划分依据均未明确。</w:t>
      </w:r>
    </w:p>
    <w:p>
      <w:pPr>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按评分标准，扣减1分，该指标应得7分，实得6分。</w:t>
      </w:r>
      <w:bookmarkEnd w:id="42"/>
      <w:bookmarkEnd w:id="43"/>
      <w:bookmarkEnd w:id="44"/>
    </w:p>
    <w:p>
      <w:pPr>
        <w:ind w:firstLine="640" w:firstLineChars="200"/>
        <w:outlineLvl w:val="2"/>
        <w:rPr>
          <w:rFonts w:ascii="Times New Roman" w:hAnsi="Times New Roman" w:eastAsia="方正仿宋_GB2312" w:cs="Times New Roman"/>
          <w:sz w:val="32"/>
          <w:szCs w:val="32"/>
        </w:rPr>
      </w:pPr>
      <w:bookmarkStart w:id="45" w:name="_Toc15207"/>
      <w:bookmarkStart w:id="46" w:name="_Toc28246"/>
      <w:bookmarkStart w:id="47" w:name="_Toc19087"/>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综合以上，项目立项决策方面分值为20分，实际得分为</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16.5</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分，得分率为</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82.5</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bookmarkEnd w:id="45"/>
      <w:bookmarkEnd w:id="46"/>
      <w:bookmarkEnd w:id="47"/>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（详见附表2）</w:t>
      </w:r>
    </w:p>
    <w:p>
      <w:pPr>
        <w:outlineLvl w:val="1"/>
        <w:rPr>
          <w:rFonts w:ascii="华文楷体" w:hAnsi="华文楷体" w:eastAsia="华文楷体" w:cs="华文楷体"/>
          <w:b/>
          <w:bCs/>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sz w:val="32"/>
          <w:szCs w:val="32"/>
        </w:rPr>
        <w:t xml:space="preserve"> </w:t>
      </w:r>
      <w:bookmarkStart w:id="48" w:name="_Toc2399"/>
      <w:r>
        <w:rPr>
          <w:rFonts w:hint="eastAsia" w:ascii="仿宋" w:hAnsi="仿宋" w:eastAsia="仿宋" w:cs="仿宋"/>
          <w:sz w:val="32"/>
          <w:szCs w:val="32"/>
        </w:rPr>
        <w:t xml:space="preserve"> </w:t>
      </w:r>
      <w:bookmarkStart w:id="49" w:name="_Toc8011"/>
      <w:bookmarkStart w:id="50" w:name="_Toc9356"/>
      <w:r>
        <w:rPr>
          <w:rFonts w:hint="eastAsia" w:ascii="华文楷体" w:hAnsi="华文楷体" w:eastAsia="华文楷体" w:cs="华文楷体"/>
          <w:b/>
          <w:bCs/>
          <w:sz w:val="32"/>
          <w:szCs w:val="32"/>
          <w14:textFill>
            <w14:gradFill>
              <w14:gsLst>
                <w14:gs w14:pos="0">
                  <w14:srgbClr w14:val="012D86"/>
                </w14:gs>
                <w14:gs w14:pos="100000">
                  <w14:srgbClr w14:val="0E2557"/>
                </w14:gs>
              </w14:gsLst>
              <w14:lin w14:ang="0" w14:scaled="0"/>
            </w14:gradFill>
          </w14:textFill>
        </w:rPr>
        <w:t>（二）过程管理情况</w:t>
      </w:r>
      <w:bookmarkEnd w:id="48"/>
      <w:bookmarkEnd w:id="49"/>
      <w:bookmarkEnd w:id="50"/>
    </w:p>
    <w:p>
      <w:pPr>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1.资金使用：</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据了解</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项目资金主要支出用于差旅费、长期聘用人员工资福利、</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业务人员培训、</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专用仪器设备采购、</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业务用车</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车辆运行维护费、场地</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、网络</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租赁以及基地</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、实险室</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建设等</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方面</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。资金支付符合国家财经法规，项目单位内部</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有关支付</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审批手续齐全，未发现存在截留、挤占、挪用、虚列支出等情况。</w:t>
      </w:r>
    </w:p>
    <w:p>
      <w:pPr>
        <w:widowControl/>
        <w:numPr>
          <w:ilvl w:val="255"/>
          <w:numId w:val="0"/>
        </w:numPr>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2.预算执行</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和财务核算</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除因预算调整计划结余财政收回外，</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支出</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预算执行率为</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99</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%，预决算总体基本平衡。</w:t>
      </w:r>
    </w:p>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不足之处</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：一是项目具体支出内容未严格按照项目预算批复的标准执行，个别支出明细预决算差异较大，超预算金额较大。且各院项目支出明细核算</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口径缺乏统一标准</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，尤其工资福利支出方面差别较大。</w:t>
      </w:r>
    </w:p>
    <w:p>
      <w:pPr>
        <w:widowControl/>
        <w:numPr>
          <w:ilvl w:val="255"/>
          <w:numId w:val="0"/>
        </w:numPr>
        <w:spacing w:line="600" w:lineRule="exact"/>
        <w:ind w:firstLine="636"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pacing w:val="-1"/>
          <w:sz w:val="32"/>
          <w:szCs w:val="32"/>
          <w14:textFill>
            <w14:gradFill>
              <w14:gsLst>
                <w14:gs w14:pos="0">
                  <w14:srgbClr w14:val="012D86"/>
                </w14:gs>
                <w14:gs w14:pos="100000">
                  <w14:srgbClr w14:val="0E2557"/>
                </w14:gs>
              </w14:gsLst>
              <w14:lin w14:ang="0" w14:scaled="0"/>
            </w14:gradFill>
          </w14:textFill>
        </w:rPr>
        <w:t>比如，全院汇总数预决算差异较大，</w:t>
      </w:r>
      <w:bookmarkStart w:id="114" w:name="_GoBack"/>
      <w:bookmarkEnd w:id="114"/>
      <w:r>
        <w:rPr>
          <w:rFonts w:hint="eastAsia" w:ascii="Times New Roman" w:hAnsi="Times New Roman" w:eastAsia="方正仿宋_GB2312" w:cs="Times New Roman"/>
          <w:spacing w:val="-1"/>
          <w:sz w:val="32"/>
          <w:szCs w:val="32"/>
          <w14:textFill>
            <w14:gradFill>
              <w14:gsLst>
                <w14:gs w14:pos="0">
                  <w14:srgbClr w14:val="012D86"/>
                </w14:gs>
                <w14:gs w14:pos="100000">
                  <w14:srgbClr w14:val="0E2557"/>
                </w14:gs>
              </w14:gsLst>
              <w14:lin w14:ang="0" w14:scaled="0"/>
            </w14:gradFill>
          </w14:textFill>
        </w:rPr>
        <w:t>职工基本医疗保险缴费和公务员医疗补助缴费差异率分别为555.56%和379.09%；</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p>
    <w:p>
      <w:pPr>
        <w:ind w:firstLine="640" w:firstLineChars="200"/>
        <w:outlineLvl w:val="0"/>
        <w:rPr>
          <w:rFonts w:ascii="Times New Roman" w:hAnsi="Times New Roman" w:eastAsia="方正仿宋_GB2312" w:cs="Times New Roman"/>
          <w:sz w:val="32"/>
          <w:szCs w:val="32"/>
          <w:highlight w:val="yellow"/>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二是存在部分费用按业务性质不应列入该项目支出。如，包头分院列入40万元退休人员工资；呼伦贝尔和满洲里分院分别列支税金及附加费79.14万元和 1.01万元。（详见附表3和附表4）</w:t>
      </w:r>
    </w:p>
    <w:p>
      <w:pPr>
        <w:widowControl/>
        <w:numPr>
          <w:ilvl w:val="255"/>
          <w:numId w:val="0"/>
        </w:numPr>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各院汇总明细</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如下：</w:t>
      </w:r>
    </w:p>
    <w:tbl>
      <w:tblPr>
        <w:tblStyle w:val="12"/>
        <w:tblW w:w="8509" w:type="dxa"/>
        <w:tblInd w:w="96" w:type="dxa"/>
        <w:tblLayout w:type="autofit"/>
        <w:tblCellMar>
          <w:top w:w="0" w:type="dxa"/>
          <w:left w:w="108" w:type="dxa"/>
          <w:bottom w:w="0" w:type="dxa"/>
          <w:right w:w="108" w:type="dxa"/>
        </w:tblCellMar>
      </w:tblPr>
      <w:tblGrid>
        <w:gridCol w:w="790"/>
        <w:gridCol w:w="2287"/>
        <w:gridCol w:w="1377"/>
        <w:gridCol w:w="1613"/>
        <w:gridCol w:w="1301"/>
        <w:gridCol w:w="1141"/>
      </w:tblGrid>
      <w:tr>
        <w:tblPrEx>
          <w:tblCellMar>
            <w:top w:w="0" w:type="dxa"/>
            <w:left w:w="108" w:type="dxa"/>
            <w:bottom w:w="0" w:type="dxa"/>
            <w:right w:w="108" w:type="dxa"/>
          </w:tblCellMar>
        </w:tblPrEx>
        <w:trPr>
          <w:trHeight w:val="680" w:hRule="atLeast"/>
        </w:trPr>
        <w:tc>
          <w:tcPr>
            <w:tcW w:w="8509" w:type="dxa"/>
            <w:gridSpan w:val="6"/>
            <w:tcBorders>
              <w:top w:val="nil"/>
              <w:left w:val="nil"/>
              <w:bottom w:val="nil"/>
              <w:right w:val="nil"/>
            </w:tcBorders>
            <w:shd w:val="clear" w:color="auto" w:fill="auto"/>
            <w:vAlign w:val="center"/>
          </w:tcPr>
          <w:p>
            <w:pPr>
              <w:widowControl/>
              <w:jc w:val="center"/>
              <w:textAlignment w:val="center"/>
              <w:rPr>
                <w:rFonts w:hint="eastAsia" w:ascii="宋体" w:hAnsi="宋体" w:eastAsia="宋体" w:cs="宋体"/>
                <w:b/>
                <w:bCs/>
                <w:color w:val="002060"/>
                <w:kern w:val="0"/>
                <w:sz w:val="24"/>
                <w:lang w:bidi="ar"/>
              </w:rPr>
            </w:pPr>
          </w:p>
          <w:p>
            <w:pPr>
              <w:widowControl/>
              <w:jc w:val="center"/>
              <w:textAlignment w:val="center"/>
              <w:rPr>
                <w:rFonts w:hint="eastAsia" w:ascii="宋体" w:hAnsi="宋体" w:eastAsia="宋体" w:cs="宋体"/>
                <w:b/>
                <w:bCs/>
                <w:color w:val="002060"/>
                <w:kern w:val="0"/>
                <w:sz w:val="24"/>
                <w:lang w:bidi="ar"/>
              </w:rPr>
            </w:pPr>
          </w:p>
          <w:p>
            <w:pPr>
              <w:widowControl/>
              <w:jc w:val="center"/>
              <w:textAlignment w:val="center"/>
              <w:rPr>
                <w:rFonts w:ascii="宋体" w:hAnsi="宋体" w:eastAsia="宋体" w:cs="宋体"/>
                <w:b/>
                <w:bCs/>
                <w:color w:val="002060"/>
                <w:sz w:val="24"/>
              </w:rPr>
            </w:pPr>
          </w:p>
        </w:tc>
      </w:tr>
      <w:tr>
        <w:tblPrEx>
          <w:tblCellMar>
            <w:top w:w="0" w:type="dxa"/>
            <w:left w:w="108" w:type="dxa"/>
            <w:bottom w:w="0" w:type="dxa"/>
            <w:right w:w="108" w:type="dxa"/>
          </w:tblCellMar>
        </w:tblPrEx>
        <w:trPr>
          <w:trHeight w:val="300" w:hRule="atLeast"/>
        </w:trPr>
        <w:tc>
          <w:tcPr>
            <w:tcW w:w="792" w:type="dxa"/>
            <w:tcBorders>
              <w:top w:val="nil"/>
              <w:left w:val="nil"/>
              <w:bottom w:val="nil"/>
              <w:right w:val="nil"/>
            </w:tcBorders>
            <w:shd w:val="clear" w:color="auto" w:fill="auto"/>
            <w:vAlign w:val="center"/>
          </w:tcPr>
          <w:p>
            <w:pPr>
              <w:jc w:val="center"/>
              <w:rPr>
                <w:rFonts w:ascii="Times New Roman" w:hAnsi="Times New Roman" w:eastAsia="宋体" w:cs="Times New Roman"/>
                <w:b/>
                <w:bCs/>
                <w:color w:val="002060"/>
                <w:sz w:val="20"/>
                <w:szCs w:val="20"/>
              </w:rPr>
            </w:pPr>
          </w:p>
        </w:tc>
        <w:tc>
          <w:tcPr>
            <w:tcW w:w="2402" w:type="dxa"/>
            <w:tcBorders>
              <w:top w:val="nil"/>
              <w:left w:val="nil"/>
              <w:bottom w:val="nil"/>
              <w:right w:val="nil"/>
            </w:tcBorders>
            <w:shd w:val="clear" w:color="auto" w:fill="auto"/>
            <w:vAlign w:val="center"/>
          </w:tcPr>
          <w:p>
            <w:pPr>
              <w:jc w:val="center"/>
              <w:rPr>
                <w:rFonts w:ascii="Times New Roman" w:hAnsi="Times New Roman" w:eastAsia="宋体" w:cs="Times New Roman"/>
                <w:b/>
                <w:bCs/>
                <w:color w:val="002060"/>
                <w:sz w:val="20"/>
                <w:szCs w:val="20"/>
              </w:rPr>
            </w:pPr>
          </w:p>
        </w:tc>
        <w:tc>
          <w:tcPr>
            <w:tcW w:w="1380" w:type="dxa"/>
            <w:tcBorders>
              <w:top w:val="nil"/>
              <w:left w:val="nil"/>
              <w:bottom w:val="nil"/>
              <w:right w:val="nil"/>
            </w:tcBorders>
            <w:shd w:val="clear" w:color="auto" w:fill="auto"/>
            <w:vAlign w:val="center"/>
          </w:tcPr>
          <w:p>
            <w:pPr>
              <w:jc w:val="center"/>
              <w:rPr>
                <w:rFonts w:ascii="Times New Roman" w:hAnsi="Times New Roman" w:eastAsia="宋体" w:cs="Times New Roman"/>
                <w:b/>
                <w:bCs/>
                <w:color w:val="002060"/>
                <w:sz w:val="20"/>
                <w:szCs w:val="20"/>
              </w:rPr>
            </w:pPr>
          </w:p>
        </w:tc>
        <w:tc>
          <w:tcPr>
            <w:tcW w:w="1466" w:type="dxa"/>
            <w:tcBorders>
              <w:top w:val="nil"/>
              <w:left w:val="nil"/>
              <w:bottom w:val="nil"/>
              <w:right w:val="nil"/>
            </w:tcBorders>
            <w:shd w:val="clear" w:color="auto" w:fill="auto"/>
            <w:vAlign w:val="center"/>
          </w:tcPr>
          <w:p>
            <w:pPr>
              <w:rPr>
                <w:rFonts w:ascii="Times New Roman" w:hAnsi="Times New Roman" w:eastAsia="宋体" w:cs="Times New Roman"/>
                <w:color w:val="002060"/>
                <w:sz w:val="20"/>
                <w:szCs w:val="20"/>
              </w:rPr>
            </w:pPr>
          </w:p>
        </w:tc>
        <w:tc>
          <w:tcPr>
            <w:tcW w:w="1307" w:type="dxa"/>
            <w:tcBorders>
              <w:top w:val="nil"/>
              <w:left w:val="nil"/>
              <w:bottom w:val="nil"/>
              <w:right w:val="nil"/>
            </w:tcBorders>
            <w:shd w:val="clear" w:color="auto" w:fill="auto"/>
            <w:vAlign w:val="center"/>
          </w:tcPr>
          <w:p>
            <w:pPr>
              <w:jc w:val="center"/>
              <w:rPr>
                <w:rFonts w:ascii="Times New Roman" w:hAnsi="Times New Roman" w:eastAsia="宋体" w:cs="Times New Roman"/>
                <w:color w:val="002060"/>
                <w:sz w:val="20"/>
                <w:szCs w:val="20"/>
              </w:rPr>
            </w:pPr>
          </w:p>
        </w:tc>
        <w:tc>
          <w:tcPr>
            <w:tcW w:w="1162"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2060"/>
                <w:sz w:val="20"/>
                <w:szCs w:val="20"/>
              </w:rPr>
            </w:pPr>
            <w:r>
              <w:rPr>
                <w:rFonts w:hint="eastAsia" w:ascii="宋体" w:hAnsi="宋体" w:eastAsia="宋体" w:cs="宋体"/>
                <w:color w:val="002060"/>
                <w:kern w:val="0"/>
                <w:sz w:val="20"/>
                <w:szCs w:val="20"/>
                <w:lang w:bidi="ar"/>
              </w:rPr>
              <w:t>单位：元</w:t>
            </w:r>
          </w:p>
        </w:tc>
      </w:tr>
      <w:tr>
        <w:tblPrEx>
          <w:tblCellMar>
            <w:top w:w="0" w:type="dxa"/>
            <w:left w:w="108" w:type="dxa"/>
            <w:bottom w:w="0" w:type="dxa"/>
            <w:right w:w="108" w:type="dxa"/>
          </w:tblCellMar>
        </w:tblPrEx>
        <w:trPr>
          <w:trHeight w:val="720" w:hRule="atLeast"/>
        </w:trPr>
        <w:tc>
          <w:tcPr>
            <w:tcW w:w="79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政府经济分类</w:t>
            </w: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部门经济分类</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预算金额</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20"/>
                <w:szCs w:val="20"/>
              </w:rPr>
            </w:pPr>
            <w:r>
              <w:rPr>
                <w:rFonts w:hint="eastAsia" w:ascii="宋体" w:hAnsi="宋体" w:eastAsia="宋体" w:cs="宋体"/>
                <w:b/>
                <w:bCs/>
                <w:color w:val="002060"/>
                <w:kern w:val="0"/>
                <w:sz w:val="20"/>
                <w:szCs w:val="20"/>
                <w:lang w:bidi="ar"/>
              </w:rPr>
              <w:t>决算金额</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差异</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差异率</w:t>
            </w:r>
          </w:p>
        </w:tc>
      </w:tr>
      <w:tr>
        <w:tblPrEx>
          <w:tblCellMar>
            <w:top w:w="0" w:type="dxa"/>
            <w:left w:w="108" w:type="dxa"/>
            <w:bottom w:w="0" w:type="dxa"/>
            <w:right w:w="108" w:type="dxa"/>
          </w:tblCellMar>
        </w:tblPrEx>
        <w:trPr>
          <w:trHeight w:val="439" w:hRule="atLeast"/>
        </w:trPr>
        <w:tc>
          <w:tcPr>
            <w:tcW w:w="79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50601-</w:t>
            </w:r>
            <w:r>
              <w:rPr>
                <w:rStyle w:val="34"/>
                <w:rFonts w:hint="default"/>
                <w:lang w:bidi="ar"/>
              </w:rPr>
              <w:t>资本性支出（一）</w:t>
            </w: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31000-房屋建筑物购建</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6,454,944.50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3966673.48</w:t>
            </w:r>
            <w:r>
              <w:rPr>
                <w:rFonts w:ascii="Times New Roman" w:hAnsi="Times New Roman" w:eastAsia="宋体" w:cs="Times New Roman"/>
                <w:color w:val="002060"/>
                <w:kern w:val="0"/>
                <w:sz w:val="18"/>
                <w:szCs w:val="18"/>
                <w:lang w:bidi="ar"/>
              </w:rPr>
              <w:t xml:space="preserve"> </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sz w:val="18"/>
                <w:szCs w:val="18"/>
              </w:rPr>
              <w:t>-4,288,271.02</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r>
              <w:rPr>
                <w:rFonts w:hint="eastAsia" w:ascii="Times New Roman" w:hAnsi="Times New Roman" w:eastAsia="宋体" w:cs="Times New Roman"/>
                <w:color w:val="002060"/>
                <w:kern w:val="0"/>
                <w:sz w:val="18"/>
                <w:szCs w:val="18"/>
                <w:lang w:bidi="ar"/>
              </w:rPr>
              <w:t>66.43</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15"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31001-房屋建筑物购建</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1,800,000.00</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rPr>
          <w:trHeight w:val="315"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31002-办公设备购置</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3,918.92</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4712920.62</w:t>
            </w:r>
            <w:r>
              <w:rPr>
                <w:rFonts w:ascii="Times New Roman" w:hAnsi="Times New Roman" w:eastAsia="宋体" w:cs="Times New Roman"/>
                <w:color w:val="002060"/>
                <w:kern w:val="0"/>
                <w:sz w:val="18"/>
                <w:szCs w:val="18"/>
                <w:lang w:bidi="ar"/>
              </w:rPr>
              <w:t xml:space="preserve"> </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r>
              <w:rPr>
                <w:rFonts w:hint="eastAsia" w:ascii="Times New Roman" w:hAnsi="Times New Roman" w:eastAsia="宋体" w:cs="Times New Roman"/>
                <w:color w:val="002060"/>
                <w:kern w:val="0"/>
                <w:sz w:val="18"/>
                <w:szCs w:val="18"/>
                <w:lang w:bidi="ar"/>
              </w:rPr>
              <w:t>410520</w:t>
            </w:r>
            <w:r>
              <w:rPr>
                <w:rFonts w:ascii="Times New Roman" w:hAnsi="Times New Roman" w:eastAsia="宋体" w:cs="Times New Roman"/>
                <w:color w:val="002060"/>
                <w:kern w:val="0"/>
                <w:sz w:val="18"/>
                <w:szCs w:val="18"/>
                <w:lang w:bidi="ar"/>
              </w:rPr>
              <w:t xml:space="preserve">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r>
              <w:rPr>
                <w:rFonts w:hint="eastAsia" w:ascii="Times New Roman" w:hAnsi="Times New Roman" w:eastAsia="宋体" w:cs="Times New Roman"/>
                <w:color w:val="002060"/>
                <w:kern w:val="0"/>
                <w:sz w:val="18"/>
                <w:szCs w:val="18"/>
                <w:lang w:bidi="ar"/>
              </w:rPr>
              <w:t>8.01.</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31002-办公设备购置</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5,119,521.70</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31003-专用设备购置</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22,140.00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16064498.52</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r>
              <w:rPr>
                <w:rFonts w:hint="eastAsia" w:ascii="Times New Roman" w:hAnsi="Times New Roman" w:eastAsia="宋体" w:cs="Times New Roman"/>
                <w:color w:val="002060"/>
                <w:kern w:val="0"/>
                <w:sz w:val="18"/>
                <w:szCs w:val="18"/>
                <w:lang w:bidi="ar"/>
              </w:rPr>
              <w:t>1711200.17</w:t>
            </w:r>
            <w:r>
              <w:rPr>
                <w:rFonts w:ascii="Times New Roman" w:hAnsi="Times New Roman" w:eastAsia="宋体" w:cs="Times New Roman"/>
                <w:color w:val="002060"/>
                <w:kern w:val="0"/>
                <w:sz w:val="18"/>
                <w:szCs w:val="18"/>
                <w:lang w:bidi="ar"/>
              </w:rPr>
              <w:t xml:space="preserve">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r>
              <w:rPr>
                <w:rFonts w:hint="eastAsia" w:ascii="Times New Roman" w:hAnsi="Times New Roman" w:eastAsia="宋体" w:cs="Times New Roman"/>
                <w:color w:val="002060"/>
                <w:kern w:val="0"/>
                <w:sz w:val="18"/>
                <w:szCs w:val="18"/>
                <w:lang w:bidi="ar"/>
              </w:rPr>
              <w:t>9.62</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31003-专用设备购置</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17,767,558.52</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31013-公务用车购置</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167,900.00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524,404.98 </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31013-公务用车购置</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356,504.98</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31005-基础设施建设</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5,000,000.00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5,000,000.00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48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31007-信息网络及软件购置更新</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1,600,000.00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1,316,980.00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-283,020.00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-17.69%</w:t>
            </w:r>
          </w:p>
        </w:tc>
      </w:tr>
      <w:tr>
        <w:tblPrEx>
          <w:tblCellMar>
            <w:top w:w="0" w:type="dxa"/>
            <w:left w:w="108" w:type="dxa"/>
            <w:bottom w:w="0" w:type="dxa"/>
            <w:right w:w="108" w:type="dxa"/>
          </w:tblCellMar>
        </w:tblPrEx>
        <w:trPr>
          <w:trHeight w:val="620" w:hRule="atLeast"/>
        </w:trPr>
        <w:tc>
          <w:tcPr>
            <w:tcW w:w="792" w:type="dxa"/>
            <w:tcBorders>
              <w:top w:val="nil"/>
              <w:left w:val="nil"/>
              <w:bottom w:val="nil"/>
              <w:right w:val="nil"/>
            </w:tcBorders>
            <w:shd w:val="clear" w:color="auto" w:fill="auto"/>
            <w:vAlign w:val="center"/>
          </w:tcPr>
          <w:p>
            <w:pP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50601-</w:t>
            </w:r>
            <w:r>
              <w:rPr>
                <w:rStyle w:val="34"/>
                <w:rFonts w:hint="default"/>
                <w:lang w:bidi="ar"/>
              </w:rPr>
              <w:t>资本性支出小计</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38,292,488.62</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b/>
                <w:bCs/>
                <w:color w:val="002060"/>
                <w:sz w:val="18"/>
                <w:szCs w:val="18"/>
              </w:rPr>
            </w:pPr>
            <w:r>
              <w:rPr>
                <w:rFonts w:hint="eastAsia" w:ascii="Times New Roman" w:hAnsi="Times New Roman" w:eastAsia="宋体" w:cs="Times New Roman"/>
                <w:b/>
                <w:bCs/>
                <w:color w:val="002060"/>
                <w:kern w:val="0"/>
                <w:sz w:val="18"/>
                <w:szCs w:val="18"/>
                <w:lang w:bidi="ar"/>
              </w:rPr>
              <w:t>31585477.6</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w:t>
            </w:r>
            <w:r>
              <w:rPr>
                <w:rFonts w:hint="eastAsia" w:ascii="Times New Roman" w:hAnsi="Times New Roman" w:eastAsia="宋体" w:cs="Times New Roman"/>
                <w:b/>
                <w:bCs/>
                <w:color w:val="002060"/>
                <w:kern w:val="0"/>
                <w:sz w:val="18"/>
                <w:szCs w:val="18"/>
                <w:lang w:bidi="ar"/>
              </w:rPr>
              <w:t>6693011.19</w:t>
            </w:r>
            <w:r>
              <w:rPr>
                <w:rFonts w:ascii="Times New Roman" w:hAnsi="Times New Roman" w:eastAsia="宋体" w:cs="Times New Roman"/>
                <w:b/>
                <w:bCs/>
                <w:color w:val="002060"/>
                <w:kern w:val="0"/>
                <w:sz w:val="18"/>
                <w:szCs w:val="18"/>
                <w:lang w:bidi="ar"/>
              </w:rPr>
              <w:t xml:space="preserve">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w:t>
            </w:r>
            <w:r>
              <w:rPr>
                <w:rFonts w:hint="eastAsia" w:ascii="Times New Roman" w:hAnsi="Times New Roman" w:eastAsia="宋体" w:cs="Times New Roman"/>
                <w:b/>
                <w:bCs/>
                <w:color w:val="002060"/>
                <w:kern w:val="0"/>
                <w:sz w:val="18"/>
                <w:szCs w:val="18"/>
                <w:lang w:bidi="ar"/>
              </w:rPr>
              <w:t>17.48</w:t>
            </w:r>
            <w:r>
              <w:rPr>
                <w:rFonts w:ascii="Times New Roman" w:hAnsi="Times New Roman" w:eastAsia="宋体" w:cs="Times New Roman"/>
                <w:b/>
                <w:bCs/>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tcBorders>
              <w:top w:val="single" w:color="00B050" w:sz="4" w:space="0"/>
              <w:left w:val="single" w:color="00B050" w:sz="4" w:space="0"/>
              <w:bottom w:val="single" w:color="00B050" w:sz="4" w:space="0"/>
              <w:right w:val="single" w:color="00B050" w:sz="4" w:space="0"/>
            </w:tcBorders>
            <w:shd w:val="clear" w:color="auto" w:fill="auto"/>
            <w:vAlign w:val="center"/>
          </w:tcPr>
          <w:p>
            <w:pP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30227-</w:t>
            </w:r>
            <w:r>
              <w:rPr>
                <w:rStyle w:val="35"/>
                <w:rFonts w:hint="default"/>
                <w:lang w:bidi="ar"/>
              </w:rPr>
              <w:t>委托业务费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17,813.50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6,019,760.31</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1,514,171.81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33.61%</w:t>
            </w:r>
          </w:p>
        </w:tc>
      </w:tr>
      <w:tr>
        <w:tblPrEx>
          <w:tblCellMar>
            <w:top w:w="0" w:type="dxa"/>
            <w:left w:w="108" w:type="dxa"/>
            <w:bottom w:w="0" w:type="dxa"/>
            <w:right w:w="108" w:type="dxa"/>
          </w:tblCellMar>
        </w:tblPrEx>
        <w:trPr>
          <w:trHeight w:val="300" w:hRule="atLeast"/>
        </w:trPr>
        <w:tc>
          <w:tcPr>
            <w:tcW w:w="79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50502-</w:t>
            </w:r>
            <w:r>
              <w:rPr>
                <w:rStyle w:val="34"/>
                <w:rFonts w:hint="default"/>
                <w:lang w:bidi="ar"/>
              </w:rPr>
              <w:t>商品和服务支出</w:t>
            </w: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30227-</w:t>
            </w:r>
            <w:r>
              <w:rPr>
                <w:rStyle w:val="35"/>
                <w:rFonts w:hint="default"/>
                <w:lang w:bidi="ar"/>
              </w:rPr>
              <w:t>委托业务费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4,487,775.00</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30214-</w:t>
            </w:r>
            <w:r>
              <w:rPr>
                <w:rStyle w:val="35"/>
                <w:rFonts w:hint="default"/>
                <w:lang w:bidi="ar"/>
              </w:rPr>
              <w:t>租赁费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23,000.00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6,012,000.00</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-8,000.00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-0.13%</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30214-</w:t>
            </w:r>
            <w:r>
              <w:rPr>
                <w:rStyle w:val="35"/>
                <w:rFonts w:hint="default"/>
                <w:lang w:bidi="ar"/>
              </w:rPr>
              <w:t>租赁费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5,997,000.00</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30231-</w:t>
            </w:r>
            <w:r>
              <w:rPr>
                <w:rStyle w:val="35"/>
                <w:rFonts w:hint="default"/>
                <w:lang w:bidi="ar"/>
              </w:rPr>
              <w:t>公务用车运行维护费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4,475,006.69</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4,466,259.09</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-8,747.60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-0.20%</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30217-</w:t>
            </w:r>
            <w:r>
              <w:rPr>
                <w:rStyle w:val="35"/>
                <w:rFonts w:hint="default"/>
                <w:lang w:bidi="ar"/>
              </w:rPr>
              <w:t>公务接待费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88,493.50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85,105.50</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-3,388.00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-3.83%</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30211-</w:t>
            </w:r>
            <w:r>
              <w:rPr>
                <w:rStyle w:val="35"/>
                <w:rFonts w:hint="default"/>
                <w:lang w:bidi="ar"/>
              </w:rPr>
              <w:t>差旅费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1,566,118.86</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13710479.66</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154297</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1.13</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30211-</w:t>
            </w:r>
            <w:r>
              <w:rPr>
                <w:rStyle w:val="35"/>
                <w:rFonts w:hint="default"/>
                <w:lang w:bidi="ar"/>
              </w:rPr>
              <w:t>差旅费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12,124,563.80</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30201-</w:t>
            </w:r>
            <w:r>
              <w:rPr>
                <w:rStyle w:val="35"/>
                <w:rFonts w:hint="default"/>
                <w:lang w:bidi="ar"/>
              </w:rPr>
              <w:t>办公费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420,724.20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6,254,042.18</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-179,783.50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-2.79%</w:t>
            </w:r>
          </w:p>
        </w:tc>
      </w:tr>
      <w:tr>
        <w:tblPrEx>
          <w:tblCellMar>
            <w:top w:w="0" w:type="dxa"/>
            <w:left w:w="108" w:type="dxa"/>
            <w:bottom w:w="0" w:type="dxa"/>
            <w:right w:w="108" w:type="dxa"/>
          </w:tblCellMar>
        </w:tblPrEx>
        <w:trPr>
          <w:trHeight w:val="28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30201-</w:t>
            </w:r>
            <w:r>
              <w:rPr>
                <w:rStyle w:val="35"/>
                <w:rFonts w:hint="default"/>
                <w:lang w:bidi="ar"/>
              </w:rPr>
              <w:t>办公费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6,013,101.48</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30203-</w:t>
            </w:r>
            <w:r>
              <w:rPr>
                <w:rStyle w:val="35"/>
                <w:rFonts w:hint="default"/>
                <w:lang w:bidi="ar"/>
              </w:rPr>
              <w:t>咨询费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20,000.00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20,000.00</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30206-</w:t>
            </w:r>
            <w:r>
              <w:rPr>
                <w:rStyle w:val="35"/>
                <w:rFonts w:hint="default"/>
                <w:lang w:bidi="ar"/>
              </w:rPr>
              <w:t>电费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1,724,500.00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1688677</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-185,998.16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-10.79%</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30218-</w:t>
            </w:r>
            <w:r>
              <w:rPr>
                <w:rStyle w:val="35"/>
                <w:rFonts w:hint="default"/>
                <w:lang w:bidi="ar"/>
              </w:rPr>
              <w:t>专用材料费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358,805.60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5268761.03</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332875.12</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6.74</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30218-</w:t>
            </w:r>
            <w:r>
              <w:rPr>
                <w:rStyle w:val="35"/>
                <w:rFonts w:hint="default"/>
                <w:lang w:bidi="ar"/>
              </w:rPr>
              <w:t>专用材料费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4,577,080.31</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30225-</w:t>
            </w:r>
            <w:r>
              <w:rPr>
                <w:rStyle w:val="35"/>
                <w:rFonts w:hint="default"/>
                <w:lang w:bidi="ar"/>
              </w:rPr>
              <w:t>专用燃料费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123,043.00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123043</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p>
        </w:tc>
        <w:tc>
          <w:tcPr>
            <w:tcW w:w="1162" w:type="dxa"/>
            <w:tcBorders>
              <w:top w:val="single" w:color="00B050" w:sz="4" w:space="0"/>
              <w:left w:val="single" w:color="00B050" w:sz="4" w:space="0"/>
              <w:bottom w:val="single" w:color="00B050" w:sz="4" w:space="0"/>
              <w:right w:val="single" w:color="00B050" w:sz="4" w:space="0"/>
            </w:tcBorders>
            <w:shd w:val="clear" w:color="auto" w:fill="AEAAAA"/>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30209-</w:t>
            </w:r>
            <w:r>
              <w:rPr>
                <w:rStyle w:val="35"/>
                <w:rFonts w:hint="default"/>
                <w:lang w:bidi="ar"/>
              </w:rPr>
              <w:t>物业管理费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3,452,221.00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3,422,201.96</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-30,019.04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-0.87%</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30202-</w:t>
            </w:r>
            <w:r>
              <w:rPr>
                <w:rStyle w:val="35"/>
                <w:rFonts w:hint="default"/>
                <w:lang w:bidi="ar"/>
              </w:rPr>
              <w:t>印刷费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791,960.00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749,324.67</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-42,635.33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-5.38%</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30228-</w:t>
            </w:r>
            <w:r>
              <w:rPr>
                <w:rStyle w:val="35"/>
                <w:rFonts w:hint="default"/>
                <w:lang w:bidi="ar"/>
              </w:rPr>
              <w:t>工会经费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2,853,970.00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2,796,340.00</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-57,630.00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-2.02%</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30207-</w:t>
            </w:r>
            <w:r>
              <w:rPr>
                <w:rStyle w:val="35"/>
                <w:rFonts w:hint="default"/>
                <w:lang w:bidi="ar"/>
              </w:rPr>
              <w:t>邮电费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795,968.32</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814996.59</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169,203.43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21.26%</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30205-</w:t>
            </w:r>
            <w:r>
              <w:rPr>
                <w:rStyle w:val="35"/>
                <w:rFonts w:hint="default"/>
                <w:lang w:bidi="ar"/>
              </w:rPr>
              <w:t>水费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420,800.00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374,869.56</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-45,930.44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-10.92%</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30208-</w:t>
            </w:r>
            <w:r>
              <w:rPr>
                <w:rStyle w:val="35"/>
                <w:rFonts w:hint="default"/>
                <w:lang w:bidi="ar"/>
              </w:rPr>
              <w:t>取暖费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4,1</w:t>
            </w:r>
            <w:r>
              <w:rPr>
                <w:rFonts w:hint="eastAsia" w:ascii="Times New Roman" w:hAnsi="Times New Roman" w:eastAsia="宋体" w:cs="Times New Roman"/>
                <w:color w:val="002060"/>
                <w:kern w:val="0"/>
                <w:sz w:val="18"/>
                <w:szCs w:val="18"/>
                <w:lang w:bidi="ar"/>
              </w:rPr>
              <w:t>69</w:t>
            </w:r>
            <w:r>
              <w:rPr>
                <w:rFonts w:ascii="Times New Roman" w:hAnsi="Times New Roman" w:eastAsia="宋体" w:cs="Times New Roman"/>
                <w:color w:val="002060"/>
                <w:kern w:val="0"/>
                <w:sz w:val="18"/>
                <w:szCs w:val="18"/>
                <w:lang w:bidi="ar"/>
              </w:rPr>
              <w:t>,696.83</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4,1</w:t>
            </w:r>
            <w:r>
              <w:rPr>
                <w:rFonts w:hint="eastAsia" w:ascii="Times New Roman" w:hAnsi="Times New Roman" w:eastAsia="宋体" w:cs="Times New Roman"/>
                <w:color w:val="002060"/>
                <w:kern w:val="0"/>
                <w:sz w:val="18"/>
                <w:szCs w:val="18"/>
                <w:lang w:bidi="ar"/>
              </w:rPr>
              <w:t>58</w:t>
            </w:r>
            <w:r>
              <w:rPr>
                <w:rFonts w:ascii="Times New Roman" w:hAnsi="Times New Roman" w:eastAsia="宋体" w:cs="Times New Roman"/>
                <w:color w:val="002060"/>
                <w:kern w:val="0"/>
                <w:sz w:val="18"/>
                <w:szCs w:val="18"/>
                <w:lang w:bidi="ar"/>
              </w:rPr>
              <w:t>,788.24</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r>
              <w:rPr>
                <w:rFonts w:hint="eastAsia" w:ascii="Times New Roman" w:hAnsi="Times New Roman" w:eastAsia="宋体" w:cs="Times New Roman"/>
                <w:color w:val="002060"/>
                <w:kern w:val="0"/>
                <w:sz w:val="18"/>
                <w:szCs w:val="18"/>
                <w:lang w:bidi="ar"/>
              </w:rPr>
              <w:t>-52321.83</w:t>
            </w:r>
            <w:r>
              <w:rPr>
                <w:rFonts w:ascii="Times New Roman" w:hAnsi="Times New Roman" w:eastAsia="宋体" w:cs="Times New Roman"/>
                <w:color w:val="002060"/>
                <w:kern w:val="0"/>
                <w:sz w:val="18"/>
                <w:szCs w:val="18"/>
                <w:lang w:bidi="ar"/>
              </w:rPr>
              <w:t xml:space="preserve">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w:t>
            </w:r>
            <w:r>
              <w:rPr>
                <w:rFonts w:hint="eastAsia" w:ascii="Times New Roman" w:hAnsi="Times New Roman" w:eastAsia="宋体" w:cs="Times New Roman"/>
                <w:color w:val="002060"/>
                <w:kern w:val="0"/>
                <w:sz w:val="18"/>
                <w:szCs w:val="18"/>
                <w:lang w:bidi="ar"/>
              </w:rPr>
              <w:t>1.24</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30208-</w:t>
            </w:r>
            <w:r>
              <w:rPr>
                <w:rStyle w:val="35"/>
                <w:rFonts w:hint="default"/>
                <w:lang w:bidi="ar"/>
              </w:rPr>
              <w:t>取暖费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41,413.24</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30213-</w:t>
            </w:r>
            <w:r>
              <w:rPr>
                <w:rStyle w:val="35"/>
                <w:rFonts w:hint="default"/>
                <w:lang w:bidi="ar"/>
              </w:rPr>
              <w:t>维修（护）费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4,675,905.00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4,632,867.44</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-43,037.56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-0.92%</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30215-</w:t>
            </w:r>
            <w:r>
              <w:rPr>
                <w:rStyle w:val="35"/>
                <w:rFonts w:hint="default"/>
                <w:lang w:bidi="ar"/>
              </w:rPr>
              <w:t>会议费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40,000.00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40,000.00</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30217-</w:t>
            </w:r>
            <w:r>
              <w:rPr>
                <w:rStyle w:val="35"/>
                <w:rFonts w:hint="default"/>
                <w:lang w:bidi="ar"/>
              </w:rPr>
              <w:t>培训费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138,620.00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2,226,041.50</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-52,735.00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-2.31%</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30217-</w:t>
            </w:r>
            <w:r>
              <w:rPr>
                <w:rStyle w:val="35"/>
                <w:rFonts w:hint="default"/>
                <w:lang w:bidi="ar"/>
              </w:rPr>
              <w:t>培训费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2,140,156.50</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30226-</w:t>
            </w:r>
            <w:r>
              <w:rPr>
                <w:rStyle w:val="35"/>
                <w:rFonts w:hint="default"/>
                <w:lang w:bidi="ar"/>
              </w:rPr>
              <w:t>劳务费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13,070,184.00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13,089,266.50</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19,082.50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0.15%</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30239-</w:t>
            </w:r>
            <w:r>
              <w:rPr>
                <w:rStyle w:val="35"/>
                <w:rFonts w:hint="default"/>
                <w:lang w:bidi="ar"/>
              </w:rPr>
              <w:t>其他交通费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1,596,500.03</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1,375,695.97</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-220,804.06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-13.83%</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30229-</w:t>
            </w:r>
            <w:r>
              <w:rPr>
                <w:rStyle w:val="35"/>
                <w:rFonts w:hint="default"/>
                <w:lang w:bidi="ar"/>
              </w:rPr>
              <w:t>福利费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5,414.10</w:t>
            </w:r>
          </w:p>
        </w:tc>
        <w:tc>
          <w:tcPr>
            <w:tcW w:w="1466"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2,522,426.64</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-307,287.46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-10.86%</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30229-</w:t>
            </w:r>
            <w:r>
              <w:rPr>
                <w:rStyle w:val="35"/>
                <w:rFonts w:hint="default"/>
                <w:lang w:bidi="ar"/>
              </w:rPr>
              <w:t>福利费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2,824,300.00</w:t>
            </w:r>
          </w:p>
        </w:tc>
        <w:tc>
          <w:tcPr>
            <w:tcW w:w="1466"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30299-</w:t>
            </w:r>
            <w:r>
              <w:rPr>
                <w:rStyle w:val="35"/>
                <w:rFonts w:hint="default"/>
                <w:lang w:bidi="ar"/>
              </w:rPr>
              <w:t>其他商品和服务支出</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300</w:t>
            </w:r>
            <w:r>
              <w:rPr>
                <w:rFonts w:ascii="Times New Roman" w:hAnsi="Times New Roman" w:eastAsia="宋体" w:cs="Times New Roman"/>
                <w:color w:val="002060"/>
                <w:kern w:val="0"/>
                <w:sz w:val="18"/>
                <w:szCs w:val="18"/>
                <w:lang w:bidi="ar"/>
              </w:rPr>
              <w:t>183.63</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300,183.63</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0</w:t>
            </w:r>
            <w:r>
              <w:rPr>
                <w:rFonts w:ascii="Times New Roman" w:hAnsi="Times New Roman" w:eastAsia="宋体" w:cs="Times New Roman"/>
                <w:color w:val="002060"/>
                <w:kern w:val="0"/>
                <w:sz w:val="18"/>
                <w:szCs w:val="18"/>
                <w:lang w:bidi="ar"/>
              </w:rPr>
              <w:t xml:space="preserve">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0</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30204-</w:t>
            </w:r>
            <w:r>
              <w:rPr>
                <w:rStyle w:val="35"/>
                <w:rFonts w:hint="default"/>
                <w:lang w:bidi="ar"/>
              </w:rPr>
              <w:t>手续费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29,706.77</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24,147.71</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-5,559.06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-18.71%</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宋体" w:hAnsi="宋体" w:eastAsia="宋体" w:cs="宋体"/>
                <w:color w:val="002060"/>
                <w:sz w:val="18"/>
                <w:szCs w:val="18"/>
              </w:rPr>
            </w:pPr>
            <w:r>
              <w:rPr>
                <w:rFonts w:hint="eastAsia" w:ascii="宋体" w:hAnsi="宋体" w:eastAsia="宋体" w:cs="宋体"/>
                <w:color w:val="002060"/>
                <w:kern w:val="0"/>
                <w:sz w:val="18"/>
                <w:szCs w:val="18"/>
                <w:lang w:bidi="ar"/>
              </w:rPr>
              <w:t>税金及附加费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color w:val="002060"/>
                <w:sz w:val="18"/>
                <w:szCs w:val="18"/>
              </w:rPr>
            </w:pP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801,552.69</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801,552.69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54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50503-</w:t>
            </w:r>
            <w:r>
              <w:rPr>
                <w:rStyle w:val="34"/>
                <w:rFonts w:hint="default"/>
                <w:lang w:bidi="ar"/>
              </w:rPr>
              <w:t>商品和服务支出小计</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79,364,025.36</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ind w:right="362"/>
              <w:jc w:val="center"/>
              <w:textAlignment w:val="center"/>
              <w:rPr>
                <w:rFonts w:ascii="Times New Roman" w:hAnsi="Times New Roman" w:eastAsia="宋体" w:cs="Times New Roman"/>
                <w:b/>
                <w:bCs/>
                <w:color w:val="002060"/>
                <w:kern w:val="0"/>
                <w:sz w:val="18"/>
                <w:szCs w:val="18"/>
                <w:lang w:bidi="ar"/>
              </w:rPr>
            </w:pPr>
            <w:r>
              <w:rPr>
                <w:rFonts w:hint="eastAsia" w:ascii="Times New Roman" w:hAnsi="Times New Roman" w:eastAsia="宋体" w:cs="Times New Roman"/>
                <w:b/>
                <w:bCs/>
                <w:color w:val="002060"/>
                <w:kern w:val="0"/>
                <w:sz w:val="18"/>
                <w:szCs w:val="18"/>
                <w:lang w:bidi="ar"/>
              </w:rPr>
              <w:t>810,108,33.87</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hint="eastAsia" w:ascii="Times New Roman" w:hAnsi="Times New Roman" w:eastAsia="宋体" w:cs="Times New Roman"/>
                <w:b/>
                <w:bCs/>
                <w:color w:val="002060"/>
                <w:kern w:val="0"/>
                <w:sz w:val="18"/>
                <w:szCs w:val="18"/>
                <w:lang w:bidi="ar"/>
              </w:rPr>
              <w:t>6415396.99</w:t>
            </w:r>
            <w:r>
              <w:rPr>
                <w:rFonts w:ascii="Times New Roman" w:hAnsi="Times New Roman" w:eastAsia="宋体" w:cs="Times New Roman"/>
                <w:b/>
                <w:bCs/>
                <w:color w:val="002060"/>
                <w:kern w:val="0"/>
                <w:sz w:val="18"/>
                <w:szCs w:val="18"/>
                <w:lang w:bidi="ar"/>
              </w:rPr>
              <w:t xml:space="preserve">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hint="eastAsia" w:ascii="Times New Roman" w:hAnsi="Times New Roman" w:eastAsia="宋体" w:cs="Times New Roman"/>
                <w:b/>
                <w:bCs/>
                <w:color w:val="002060"/>
                <w:kern w:val="0"/>
                <w:sz w:val="18"/>
                <w:szCs w:val="18"/>
                <w:lang w:bidi="ar"/>
              </w:rPr>
              <w:t>8.08</w:t>
            </w:r>
            <w:r>
              <w:rPr>
                <w:rFonts w:ascii="Times New Roman" w:hAnsi="Times New Roman" w:eastAsia="宋体" w:cs="Times New Roman"/>
                <w:b/>
                <w:bCs/>
                <w:color w:val="002060"/>
                <w:kern w:val="0"/>
                <w:sz w:val="18"/>
                <w:szCs w:val="18"/>
                <w:lang w:bidi="ar"/>
              </w:rPr>
              <w:t>%</w:t>
            </w:r>
          </w:p>
        </w:tc>
      </w:tr>
      <w:tr>
        <w:tblPrEx>
          <w:tblCellMar>
            <w:top w:w="0" w:type="dxa"/>
            <w:left w:w="108" w:type="dxa"/>
            <w:bottom w:w="0" w:type="dxa"/>
            <w:right w:w="108" w:type="dxa"/>
          </w:tblCellMar>
        </w:tblPrEx>
        <w:trPr>
          <w:trHeight w:val="300" w:hRule="atLeast"/>
        </w:trPr>
        <w:tc>
          <w:tcPr>
            <w:tcW w:w="79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50501-</w:t>
            </w:r>
            <w:r>
              <w:rPr>
                <w:rStyle w:val="34"/>
                <w:rFonts w:hint="default"/>
                <w:lang w:bidi="ar"/>
              </w:rPr>
              <w:t>工资福利支出</w:t>
            </w: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30101-</w:t>
            </w:r>
            <w:r>
              <w:rPr>
                <w:rStyle w:val="35"/>
                <w:rFonts w:hint="default"/>
                <w:lang w:bidi="ar"/>
              </w:rPr>
              <w:t>基本工资</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587,200.00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674,693.51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87,493.51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14.90%</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30102-</w:t>
            </w:r>
            <w:r>
              <w:rPr>
                <w:rStyle w:val="35"/>
                <w:rFonts w:hint="default"/>
                <w:lang w:bidi="ar"/>
              </w:rPr>
              <w:t>津贴补贴</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747,200.00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1,030,724.41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283,524.41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37.94%</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30107-</w:t>
            </w:r>
            <w:r>
              <w:rPr>
                <w:rStyle w:val="35"/>
                <w:rFonts w:hint="default"/>
                <w:lang w:bidi="ar"/>
              </w:rPr>
              <w:t>绩效工资</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769,000.00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769,000.00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56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30108-</w:t>
            </w:r>
            <w:r>
              <w:rPr>
                <w:rStyle w:val="35"/>
                <w:rFonts w:hint="default"/>
                <w:lang w:bidi="ar"/>
              </w:rPr>
              <w:t>机关事业单位基本养老保险缴费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262,100.00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76,095.73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-186,004.27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-70.97%</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30109-</w:t>
            </w:r>
            <w:r>
              <w:rPr>
                <w:rStyle w:val="35"/>
                <w:rFonts w:hint="default"/>
                <w:lang w:bidi="ar"/>
              </w:rPr>
              <w:t>职业年金缴费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131,000.00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48,177.01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-82,822.99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-63.22%</w:t>
            </w:r>
          </w:p>
        </w:tc>
      </w:tr>
      <w:tr>
        <w:tblPrEx>
          <w:tblCellMar>
            <w:top w:w="0" w:type="dxa"/>
            <w:left w:w="108" w:type="dxa"/>
            <w:bottom w:w="0" w:type="dxa"/>
            <w:right w:w="108" w:type="dxa"/>
          </w:tblCellMar>
        </w:tblPrEx>
        <w:trPr>
          <w:trHeight w:val="72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30110-</w:t>
            </w:r>
            <w:r>
              <w:rPr>
                <w:rStyle w:val="35"/>
                <w:rFonts w:hint="default"/>
                <w:lang w:bidi="ar"/>
              </w:rPr>
              <w:t>职工基本医疗保险缴费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120,000.00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786,676.82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666,676.82 </w:t>
            </w:r>
          </w:p>
        </w:tc>
        <w:tc>
          <w:tcPr>
            <w:tcW w:w="1162" w:type="dxa"/>
            <w:tcBorders>
              <w:top w:val="single" w:color="00B050" w:sz="4" w:space="0"/>
              <w:left w:val="single" w:color="00B050" w:sz="4" w:space="0"/>
              <w:bottom w:val="single" w:color="00B050" w:sz="4" w:space="0"/>
              <w:right w:val="single" w:color="00B050" w:sz="4" w:space="0"/>
            </w:tcBorders>
            <w:shd w:val="clear" w:color="auto" w:fill="AEAAAA"/>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555.56%</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30112-</w:t>
            </w:r>
            <w:r>
              <w:rPr>
                <w:rStyle w:val="35"/>
                <w:rFonts w:hint="default"/>
                <w:lang w:bidi="ar"/>
              </w:rPr>
              <w:t>其他社会保障缴费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577,300.00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w:t>
            </w:r>
            <w:r>
              <w:rPr>
                <w:rFonts w:hint="eastAsia" w:ascii="Times New Roman" w:hAnsi="Times New Roman" w:eastAsia="宋体" w:cs="Times New Roman"/>
                <w:color w:val="002060"/>
                <w:kern w:val="0"/>
                <w:sz w:val="18"/>
                <w:szCs w:val="18"/>
                <w:lang w:bidi="ar"/>
              </w:rPr>
              <w:t>297124.56</w:t>
            </w:r>
            <w:r>
              <w:rPr>
                <w:rFonts w:ascii="Times New Roman" w:hAnsi="Times New Roman" w:eastAsia="宋体" w:cs="Times New Roman"/>
                <w:color w:val="002060"/>
                <w:kern w:val="0"/>
                <w:sz w:val="18"/>
                <w:szCs w:val="18"/>
                <w:lang w:bidi="ar"/>
              </w:rPr>
              <w:t xml:space="preserve">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-432,171.94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-74.86%</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30113-</w:t>
            </w:r>
            <w:r>
              <w:rPr>
                <w:rStyle w:val="35"/>
                <w:rFonts w:hint="default"/>
                <w:lang w:bidi="ar"/>
              </w:rPr>
              <w:t>住房公积金</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346,600.00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600,284.60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253,684.60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73.19%</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30111-</w:t>
            </w:r>
            <w:r>
              <w:rPr>
                <w:rStyle w:val="35"/>
                <w:rFonts w:hint="default"/>
                <w:lang w:bidi="ar"/>
              </w:rPr>
              <w:t>公务员医疗补助缴费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65,500.00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313,806.46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248,306.46 </w:t>
            </w:r>
          </w:p>
        </w:tc>
        <w:tc>
          <w:tcPr>
            <w:tcW w:w="1162" w:type="dxa"/>
            <w:tcBorders>
              <w:top w:val="single" w:color="00B050" w:sz="4" w:space="0"/>
              <w:left w:val="single" w:color="00B050" w:sz="4" w:space="0"/>
              <w:bottom w:val="single" w:color="00B050" w:sz="4" w:space="0"/>
              <w:right w:val="single" w:color="00B050" w:sz="4" w:space="0"/>
            </w:tcBorders>
            <w:shd w:val="clear" w:color="auto" w:fill="AEAAAA"/>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379.09%</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30198-</w:t>
            </w:r>
            <w:r>
              <w:rPr>
                <w:rStyle w:val="35"/>
                <w:rFonts w:hint="default"/>
                <w:lang w:bidi="ar"/>
              </w:rPr>
              <w:t>其他工资福利支出</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982,462.75</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sz w:val="18"/>
                <w:szCs w:val="18"/>
              </w:rPr>
              <w:t>97,666,438.19</w:t>
            </w:r>
          </w:p>
        </w:tc>
        <w:tc>
          <w:tcPr>
            <w:tcW w:w="1307"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1,801,416.40 </w:t>
            </w:r>
          </w:p>
        </w:tc>
        <w:tc>
          <w:tcPr>
            <w:tcW w:w="1162" w:type="dxa"/>
            <w:vMerge w:val="restart"/>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1.88%</w:t>
            </w: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30199-</w:t>
            </w:r>
            <w:r>
              <w:rPr>
                <w:rStyle w:val="35"/>
                <w:rFonts w:hint="default"/>
                <w:lang w:bidi="ar"/>
              </w:rPr>
              <w:t>其他工资福利支出</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94,782,558.94</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p>
        </w:tc>
        <w:tc>
          <w:tcPr>
            <w:tcW w:w="1307"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c>
          <w:tcPr>
            <w:tcW w:w="116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30302-</w:t>
            </w:r>
            <w:r>
              <w:rPr>
                <w:rStyle w:val="35"/>
                <w:rFonts w:hint="default"/>
                <w:lang w:bidi="ar"/>
              </w:rPr>
              <w:t>退休费</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400,000.00</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 400,000.00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30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lef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30103-</w:t>
            </w:r>
            <w:r>
              <w:rPr>
                <w:rStyle w:val="35"/>
                <w:rFonts w:hint="default"/>
                <w:lang w:bidi="ar"/>
              </w:rPr>
              <w:t>奖金</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right"/>
              <w:rPr>
                <w:rFonts w:ascii="Times New Roman" w:hAnsi="Times New Roman" w:eastAsia="宋体" w:cs="Times New Roman"/>
                <w:b/>
                <w:bCs/>
                <w:color w:val="002060"/>
                <w:sz w:val="18"/>
                <w:szCs w:val="18"/>
              </w:rPr>
            </w:pP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20"/>
                <w:szCs w:val="20"/>
              </w:rPr>
            </w:pP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color w:val="002060"/>
                <w:sz w:val="18"/>
                <w:szCs w:val="18"/>
              </w:rPr>
            </w:pPr>
          </w:p>
        </w:tc>
      </w:tr>
      <w:tr>
        <w:tblPrEx>
          <w:tblCellMar>
            <w:top w:w="0" w:type="dxa"/>
            <w:left w:w="108" w:type="dxa"/>
            <w:bottom w:w="0" w:type="dxa"/>
            <w:right w:w="108" w:type="dxa"/>
          </w:tblCellMar>
        </w:tblPrEx>
        <w:trPr>
          <w:trHeight w:val="520" w:hRule="atLeast"/>
        </w:trPr>
        <w:tc>
          <w:tcPr>
            <w:tcW w:w="792" w:type="dxa"/>
            <w:vMerge w:val="continue"/>
            <w:tcBorders>
              <w:top w:val="single" w:color="00B050" w:sz="4" w:space="0"/>
              <w:left w:val="single" w:color="00B050" w:sz="4" w:space="0"/>
              <w:bottom w:val="single" w:color="00B050" w:sz="4" w:space="0"/>
              <w:right w:val="single" w:color="00B050" w:sz="4" w:space="0"/>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50502-</w:t>
            </w:r>
            <w:r>
              <w:rPr>
                <w:rStyle w:val="34"/>
                <w:rFonts w:hint="default"/>
                <w:b w:val="0"/>
                <w:bCs w:val="0"/>
                <w:lang w:bidi="ar"/>
              </w:rPr>
              <w:t>工资福利支出小计</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ascii="Times New Roman" w:hAnsi="Times New Roman" w:eastAsia="宋体" w:cs="Times New Roman"/>
                <w:color w:val="002060"/>
                <w:kern w:val="0"/>
                <w:sz w:val="18"/>
                <w:szCs w:val="18"/>
                <w:lang w:bidi="ar"/>
              </w:rPr>
              <w:t xml:space="preserve">99,770,921.69 </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102715017.69</w:t>
            </w:r>
            <w:r>
              <w:rPr>
                <w:rFonts w:ascii="Times New Roman" w:hAnsi="Times New Roman" w:eastAsia="宋体" w:cs="Times New Roman"/>
                <w:color w:val="002060"/>
                <w:kern w:val="0"/>
                <w:sz w:val="18"/>
                <w:szCs w:val="18"/>
                <w:lang w:bidi="ar"/>
              </w:rPr>
              <w:t xml:space="preserve"> </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sz w:val="18"/>
                <w:szCs w:val="18"/>
              </w:rPr>
            </w:pPr>
            <w:r>
              <w:rPr>
                <w:rFonts w:hint="eastAsia" w:ascii="Times New Roman" w:hAnsi="Times New Roman" w:eastAsia="宋体" w:cs="Times New Roman"/>
                <w:color w:val="002060"/>
                <w:kern w:val="0"/>
                <w:sz w:val="18"/>
                <w:szCs w:val="18"/>
                <w:lang w:bidi="ar"/>
              </w:rPr>
              <w:t>2640103</w:t>
            </w:r>
            <w:r>
              <w:rPr>
                <w:rFonts w:ascii="Times New Roman" w:hAnsi="Times New Roman" w:eastAsia="宋体" w:cs="Times New Roman"/>
                <w:color w:val="002060"/>
                <w:kern w:val="0"/>
                <w:sz w:val="18"/>
                <w:szCs w:val="18"/>
                <w:lang w:bidi="ar"/>
              </w:rPr>
              <w:t xml:space="preserve">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color w:val="002060"/>
                <w:kern w:val="0"/>
                <w:sz w:val="18"/>
                <w:szCs w:val="18"/>
                <w:lang w:bidi="ar"/>
              </w:rPr>
            </w:pPr>
            <w:r>
              <w:rPr>
                <w:rFonts w:hint="eastAsia" w:ascii="Times New Roman" w:hAnsi="Times New Roman" w:eastAsia="宋体" w:cs="Times New Roman"/>
                <w:color w:val="002060"/>
                <w:kern w:val="0"/>
                <w:sz w:val="18"/>
                <w:szCs w:val="18"/>
                <w:lang w:bidi="ar"/>
              </w:rPr>
              <w:t>2.65</w:t>
            </w:r>
            <w:r>
              <w:rPr>
                <w:rFonts w:ascii="Times New Roman" w:hAnsi="Times New Roman" w:eastAsia="宋体" w:cs="Times New Roman"/>
                <w:color w:val="002060"/>
                <w:kern w:val="0"/>
                <w:sz w:val="18"/>
                <w:szCs w:val="18"/>
                <w:lang w:bidi="ar"/>
              </w:rPr>
              <w:t>%</w:t>
            </w:r>
          </w:p>
        </w:tc>
      </w:tr>
      <w:tr>
        <w:tblPrEx>
          <w:tblCellMar>
            <w:top w:w="0" w:type="dxa"/>
            <w:left w:w="108" w:type="dxa"/>
            <w:bottom w:w="0" w:type="dxa"/>
            <w:right w:w="108" w:type="dxa"/>
          </w:tblCellMar>
        </w:tblPrEx>
        <w:trPr>
          <w:trHeight w:val="420" w:hRule="atLeast"/>
        </w:trPr>
        <w:tc>
          <w:tcPr>
            <w:tcW w:w="3194" w:type="dxa"/>
            <w:gridSpan w:val="2"/>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总计</w:t>
            </w:r>
          </w:p>
        </w:tc>
        <w:tc>
          <w:tcPr>
            <w:tcW w:w="1380"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 xml:space="preserve">217,427,435.67 </w:t>
            </w:r>
          </w:p>
        </w:tc>
        <w:tc>
          <w:tcPr>
            <w:tcW w:w="1466"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right"/>
              <w:textAlignment w:val="center"/>
              <w:rPr>
                <w:rFonts w:ascii="Times New Roman" w:hAnsi="Times New Roman" w:eastAsia="宋体" w:cs="Times New Roman"/>
                <w:b/>
                <w:bCs/>
                <w:color w:val="002060"/>
                <w:sz w:val="20"/>
                <w:szCs w:val="20"/>
              </w:rPr>
            </w:pPr>
            <w:r>
              <w:rPr>
                <w:rFonts w:ascii="Times New Roman" w:hAnsi="Times New Roman" w:eastAsia="宋体" w:cs="Times New Roman"/>
                <w:b/>
                <w:bCs/>
                <w:color w:val="002060"/>
                <w:sz w:val="20"/>
                <w:szCs w:val="20"/>
              </w:rPr>
              <w:t>215,259,332.76</w:t>
            </w:r>
          </w:p>
        </w:tc>
        <w:tc>
          <w:tcPr>
            <w:tcW w:w="1307"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-2</w:t>
            </w:r>
            <w:r>
              <w:rPr>
                <w:rFonts w:hint="eastAsia" w:ascii="Times New Roman" w:hAnsi="Times New Roman" w:eastAsia="宋体" w:cs="Times New Roman"/>
                <w:b/>
                <w:bCs/>
                <w:color w:val="002060"/>
                <w:kern w:val="0"/>
                <w:sz w:val="18"/>
                <w:szCs w:val="18"/>
                <w:lang w:bidi="ar"/>
              </w:rPr>
              <w:t>168102.9</w:t>
            </w:r>
            <w:r>
              <w:rPr>
                <w:rFonts w:ascii="Times New Roman" w:hAnsi="Times New Roman" w:eastAsia="宋体" w:cs="Times New Roman"/>
                <w:b/>
                <w:bCs/>
                <w:color w:val="002060"/>
                <w:kern w:val="0"/>
                <w:sz w:val="18"/>
                <w:szCs w:val="18"/>
                <w:lang w:bidi="ar"/>
              </w:rPr>
              <w:t xml:space="preserve">1 </w:t>
            </w:r>
          </w:p>
        </w:tc>
        <w:tc>
          <w:tcPr>
            <w:tcW w:w="116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18"/>
                <w:szCs w:val="18"/>
              </w:rPr>
            </w:pPr>
            <w:r>
              <w:rPr>
                <w:rFonts w:ascii="Times New Roman" w:hAnsi="Times New Roman" w:eastAsia="宋体" w:cs="Times New Roman"/>
                <w:b/>
                <w:bCs/>
                <w:color w:val="002060"/>
                <w:kern w:val="0"/>
                <w:sz w:val="18"/>
                <w:szCs w:val="18"/>
                <w:lang w:bidi="ar"/>
              </w:rPr>
              <w:t>-0.9</w:t>
            </w:r>
            <w:r>
              <w:rPr>
                <w:rFonts w:hint="eastAsia" w:ascii="Times New Roman" w:hAnsi="Times New Roman" w:eastAsia="宋体" w:cs="Times New Roman"/>
                <w:b/>
                <w:bCs/>
                <w:color w:val="002060"/>
                <w:kern w:val="0"/>
                <w:sz w:val="18"/>
                <w:szCs w:val="18"/>
                <w:lang w:bidi="ar"/>
              </w:rPr>
              <w:t>9</w:t>
            </w:r>
            <w:r>
              <w:rPr>
                <w:rFonts w:ascii="Times New Roman" w:hAnsi="Times New Roman" w:eastAsia="宋体" w:cs="Times New Roman"/>
                <w:b/>
                <w:bCs/>
                <w:color w:val="002060"/>
                <w:kern w:val="0"/>
                <w:sz w:val="18"/>
                <w:szCs w:val="18"/>
                <w:lang w:bidi="ar"/>
              </w:rPr>
              <w:t>%</w:t>
            </w:r>
          </w:p>
        </w:tc>
      </w:tr>
      <w:tr>
        <w:tblPrEx>
          <w:tblCellMar>
            <w:top w:w="0" w:type="dxa"/>
            <w:left w:w="108" w:type="dxa"/>
            <w:bottom w:w="0" w:type="dxa"/>
            <w:right w:w="108" w:type="dxa"/>
          </w:tblCellMar>
        </w:tblPrEx>
        <w:trPr>
          <w:trHeight w:val="560" w:hRule="atLeast"/>
        </w:trPr>
        <w:tc>
          <w:tcPr>
            <w:tcW w:w="3194" w:type="dxa"/>
            <w:gridSpan w:val="2"/>
            <w:tcBorders>
              <w:top w:val="nil"/>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2060"/>
                <w:sz w:val="18"/>
                <w:szCs w:val="18"/>
              </w:rPr>
            </w:pPr>
            <w:r>
              <w:rPr>
                <w:rFonts w:hint="eastAsia" w:ascii="宋体" w:hAnsi="宋体" w:eastAsia="宋体" w:cs="宋体"/>
                <w:b/>
                <w:bCs/>
                <w:color w:val="002060"/>
                <w:kern w:val="0"/>
                <w:sz w:val="18"/>
                <w:szCs w:val="18"/>
                <w:lang w:bidi="ar"/>
              </w:rPr>
              <w:t>预算执行率</w:t>
            </w:r>
          </w:p>
        </w:tc>
        <w:tc>
          <w:tcPr>
            <w:tcW w:w="5315" w:type="dxa"/>
            <w:gridSpan w:val="4"/>
            <w:tcBorders>
              <w:top w:val="nil"/>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Times New Roman" w:hAnsi="Times New Roman" w:eastAsia="宋体" w:cs="Times New Roman"/>
                <w:b/>
                <w:bCs/>
                <w:color w:val="002060"/>
                <w:sz w:val="20"/>
                <w:szCs w:val="20"/>
              </w:rPr>
            </w:pPr>
            <w:r>
              <w:rPr>
                <w:rFonts w:ascii="Times New Roman" w:hAnsi="Times New Roman" w:eastAsia="宋体" w:cs="Times New Roman"/>
                <w:b/>
                <w:bCs/>
                <w:color w:val="002060"/>
                <w:kern w:val="0"/>
                <w:sz w:val="20"/>
                <w:szCs w:val="20"/>
                <w:lang w:bidi="ar"/>
              </w:rPr>
              <w:t>99%</w:t>
            </w:r>
          </w:p>
        </w:tc>
      </w:tr>
      <w:tr>
        <w:tblPrEx>
          <w:tblCellMar>
            <w:top w:w="0" w:type="dxa"/>
            <w:left w:w="108" w:type="dxa"/>
            <w:bottom w:w="0" w:type="dxa"/>
            <w:right w:w="108" w:type="dxa"/>
          </w:tblCellMar>
        </w:tblPrEx>
        <w:trPr>
          <w:trHeight w:val="300" w:hRule="atLeast"/>
        </w:trPr>
        <w:tc>
          <w:tcPr>
            <w:tcW w:w="792" w:type="dxa"/>
            <w:tcBorders>
              <w:top w:val="nil"/>
              <w:left w:val="nil"/>
              <w:bottom w:val="nil"/>
              <w:right w:val="nil"/>
            </w:tcBorders>
            <w:shd w:val="clear" w:color="auto" w:fill="auto"/>
            <w:vAlign w:val="center"/>
          </w:tcPr>
          <w:p>
            <w:pPr>
              <w:jc w:val="center"/>
              <w:rPr>
                <w:rFonts w:ascii="Times New Roman" w:hAnsi="Times New Roman" w:eastAsia="宋体" w:cs="Times New Roman"/>
                <w:b/>
                <w:bCs/>
                <w:color w:val="002060"/>
                <w:sz w:val="18"/>
                <w:szCs w:val="18"/>
              </w:rPr>
            </w:pPr>
          </w:p>
        </w:tc>
        <w:tc>
          <w:tcPr>
            <w:tcW w:w="2402" w:type="dxa"/>
            <w:tcBorders>
              <w:top w:val="nil"/>
              <w:left w:val="nil"/>
              <w:bottom w:val="nil"/>
              <w:right w:val="nil"/>
            </w:tcBorders>
            <w:shd w:val="clear" w:color="auto" w:fill="auto"/>
            <w:vAlign w:val="center"/>
          </w:tcPr>
          <w:p>
            <w:pPr>
              <w:rPr>
                <w:rFonts w:ascii="Times New Roman" w:hAnsi="Times New Roman" w:eastAsia="宋体" w:cs="Times New Roman"/>
                <w:color w:val="002060"/>
                <w:sz w:val="20"/>
                <w:szCs w:val="20"/>
              </w:rPr>
            </w:pPr>
          </w:p>
        </w:tc>
        <w:tc>
          <w:tcPr>
            <w:tcW w:w="1380" w:type="dxa"/>
            <w:tcBorders>
              <w:top w:val="nil"/>
              <w:left w:val="nil"/>
              <w:bottom w:val="nil"/>
              <w:right w:val="nil"/>
            </w:tcBorders>
            <w:shd w:val="clear" w:color="auto" w:fill="auto"/>
            <w:vAlign w:val="center"/>
          </w:tcPr>
          <w:p>
            <w:pPr>
              <w:rPr>
                <w:rFonts w:ascii="Times New Roman" w:hAnsi="Times New Roman" w:eastAsia="宋体" w:cs="Times New Roman"/>
                <w:color w:val="002060"/>
                <w:sz w:val="20"/>
                <w:szCs w:val="20"/>
              </w:rPr>
            </w:pPr>
          </w:p>
        </w:tc>
        <w:tc>
          <w:tcPr>
            <w:tcW w:w="1466" w:type="dxa"/>
            <w:tcBorders>
              <w:top w:val="nil"/>
              <w:left w:val="nil"/>
              <w:bottom w:val="nil"/>
              <w:right w:val="nil"/>
            </w:tcBorders>
            <w:shd w:val="clear" w:color="auto" w:fill="auto"/>
            <w:vAlign w:val="center"/>
          </w:tcPr>
          <w:p>
            <w:pPr>
              <w:rPr>
                <w:rFonts w:ascii="Times New Roman" w:hAnsi="Times New Roman" w:eastAsia="宋体" w:cs="Times New Roman"/>
                <w:color w:val="002060"/>
                <w:sz w:val="18"/>
                <w:szCs w:val="18"/>
              </w:rPr>
            </w:pPr>
          </w:p>
        </w:tc>
        <w:tc>
          <w:tcPr>
            <w:tcW w:w="1307" w:type="dxa"/>
            <w:tcBorders>
              <w:top w:val="nil"/>
              <w:left w:val="nil"/>
              <w:bottom w:val="nil"/>
              <w:right w:val="nil"/>
            </w:tcBorders>
            <w:shd w:val="clear" w:color="auto" w:fill="auto"/>
            <w:vAlign w:val="center"/>
          </w:tcPr>
          <w:p>
            <w:pPr>
              <w:jc w:val="center"/>
              <w:rPr>
                <w:rFonts w:ascii="Times New Roman" w:hAnsi="Times New Roman" w:eastAsia="宋体" w:cs="Times New Roman"/>
                <w:color w:val="002060"/>
                <w:sz w:val="20"/>
                <w:szCs w:val="20"/>
              </w:rPr>
            </w:pPr>
          </w:p>
        </w:tc>
        <w:tc>
          <w:tcPr>
            <w:tcW w:w="1162" w:type="dxa"/>
            <w:tcBorders>
              <w:top w:val="nil"/>
              <w:left w:val="nil"/>
              <w:bottom w:val="nil"/>
              <w:right w:val="nil"/>
            </w:tcBorders>
            <w:shd w:val="clear" w:color="auto" w:fill="auto"/>
            <w:vAlign w:val="center"/>
          </w:tcPr>
          <w:p>
            <w:pPr>
              <w:jc w:val="center"/>
              <w:rPr>
                <w:rFonts w:ascii="Times New Roman" w:hAnsi="Times New Roman" w:eastAsia="宋体" w:cs="Times New Roman"/>
                <w:color w:val="002060"/>
                <w:sz w:val="20"/>
                <w:szCs w:val="20"/>
              </w:rPr>
            </w:pPr>
          </w:p>
        </w:tc>
      </w:tr>
    </w:tbl>
    <w:p>
      <w:pPr>
        <w:widowControl/>
        <w:numPr>
          <w:ilvl w:val="255"/>
          <w:numId w:val="0"/>
        </w:numPr>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drawing>
          <wp:inline distT="0" distB="0" distL="114300" distR="114300">
            <wp:extent cx="5045075" cy="1763395"/>
            <wp:effectExtent l="4445" t="4445" r="10160" b="15240"/>
            <wp:docPr id="9" name="图表 8" descr="7b0a202020202263686172745265734964223a202232303437353538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ind w:firstLine="420" w:firstLineChars="200"/>
      </w:pPr>
      <w:bookmarkStart w:id="51" w:name="_Toc30551"/>
    </w:p>
    <w:p>
      <w:pPr>
        <w:ind w:firstLine="420" w:firstLineChars="200"/>
      </w:pPr>
    </w:p>
    <w:p>
      <w:pPr>
        <w:ind w:firstLine="420" w:firstLineChars="200"/>
      </w:pPr>
    </w:p>
    <w:p>
      <w:pPr>
        <w:ind w:firstLine="420" w:firstLineChars="200"/>
      </w:pPr>
    </w:p>
    <w:p>
      <w:pPr>
        <w:ind w:firstLine="420" w:firstLineChars="200"/>
      </w:pPr>
      <w:r>
        <w:drawing>
          <wp:inline distT="0" distB="0" distL="114300" distR="114300">
            <wp:extent cx="4580255" cy="1940560"/>
            <wp:effectExtent l="4445" t="5080" r="17780" b="50800"/>
            <wp:docPr id="3" name="图表 2" descr="7b0a202020202263686172745265734964223a20223230343735353830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ind w:firstLine="420" w:firstLineChars="200"/>
      </w:pPr>
    </w:p>
    <w:p>
      <w:pPr>
        <w:ind w:firstLine="420" w:firstLineChars="200"/>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drawing>
          <wp:inline distT="0" distB="0" distL="114300" distR="114300">
            <wp:extent cx="5087620" cy="2662555"/>
            <wp:effectExtent l="4445" t="4445" r="13335" b="1524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600" w:lineRule="exact"/>
        <w:ind w:firstLine="640" w:firstLineChars="200"/>
        <w:outlineLvl w:val="2"/>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52" w:name="_Toc17515"/>
      <w:bookmarkStart w:id="53" w:name="_Toc4110"/>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按照评分标准，扣减</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分，该项指标应得10分，实得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8</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w:t>
      </w:r>
      <w:bookmarkEnd w:id="51"/>
      <w:bookmarkEnd w:id="52"/>
      <w:bookmarkEnd w:id="53"/>
    </w:p>
    <w:p>
      <w:pPr>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54" w:name="_Toc6689"/>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3.</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组织实施：</w:t>
      </w:r>
      <w:bookmarkEnd w:id="54"/>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本指标主要评价项目单位是否建立健全合规、合法项目管理内控制度</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p>
    <w:p>
      <w:pPr>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该</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属于各事业单位的日常主要业务，项目按单位内部职责分工组织检验</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实施部门之间分工明确。</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为规范内部管理，特检院2022年制定完成“质量控制手册”制度，但</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相关</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其他财务、业务、资产管理、项目管理</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、合同管理</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及相关</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全区系统管理</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方面的内控管理制度</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没有形成体系</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。据了解目前单位正在建立完善“五统一”（党务、业务、人事、财务和资产）机制，提升内部管理水平</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，目前正在推进</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p>
    <w:p>
      <w:pPr>
        <w:ind w:firstLine="640" w:firstLineChars="200"/>
        <w:rPr>
          <w:rFonts w:ascii="方正仿宋_GB2312" w:hAnsi="方正仿宋_GB2312" w:eastAsia="方正仿宋_GB2312" w:cs="方正仿宋_GB2312"/>
          <w:sz w:val="32"/>
          <w:szCs w:val="32"/>
          <w:highlight w:val="yellow"/>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各院的项目支出预算属于政府采购范围的，已编入政府采购预算；项目涉及的其他商品采购，均按照申报计划执行，采购配置检验检测专用设备、专业技术服务以及达到标准以上的，均按规定执行招投标采购程序。但各院招投标程序有待进一步规范。</w:t>
      </w:r>
    </w:p>
    <w:p>
      <w:pPr>
        <w:spacing w:line="360" w:lineRule="auto"/>
        <w:ind w:firstLine="640" w:firstLineChars="200"/>
        <w:rPr>
          <w:rFonts w:ascii="方正仿宋_GB2312" w:hAnsi="方正仿宋_GB2312" w:eastAsia="方正仿宋_GB2312" w:cs="方正仿宋_GB2312"/>
          <w:kern w:val="0"/>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kern w:val="0"/>
          <w:sz w:val="32"/>
          <w:szCs w:val="32"/>
          <w14:textFill>
            <w14:gradFill>
              <w14:gsLst>
                <w14:gs w14:pos="0">
                  <w14:srgbClr w14:val="012D86"/>
                </w14:gs>
                <w14:gs w14:pos="100000">
                  <w14:srgbClr w14:val="0E2557"/>
                </w14:gs>
              </w14:gsLst>
              <w14:lin w14:ang="0" w14:scaled="0"/>
            </w14:gradFill>
          </w14:textFill>
        </w:rPr>
        <w:t>此外，项目单位的内控制度中也未建立针对不可抗力或其他例外情况等相关重大风险影响检测实施的预警机制。</w:t>
      </w:r>
      <w:bookmarkStart w:id="55" w:name="_Toc10172"/>
    </w:p>
    <w:p>
      <w:pPr>
        <w:spacing w:line="360" w:lineRule="auto"/>
        <w:ind w:firstLine="640" w:firstLineChars="200"/>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按照评分标准，</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以上合计</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扣减分值</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2</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，该指标应得10分，实得</w:t>
      </w:r>
      <w:r>
        <w:rPr>
          <w:rFonts w:hint="eastAsia"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8</w:t>
      </w:r>
      <w:r>
        <w:rPr>
          <w:rFonts w:ascii="Times New Roman" w:hAnsi="Times New Roman" w:eastAsia="仿宋" w:cs="Times New Roman"/>
          <w:sz w:val="32"/>
          <w:szCs w:val="32"/>
          <w14:textFill>
            <w14:gradFill>
              <w14:gsLst>
                <w14:gs w14:pos="0">
                  <w14:srgbClr w14:val="012D86"/>
                </w14:gs>
                <w14:gs w14:pos="100000">
                  <w14:srgbClr w14:val="0E2557"/>
                </w14:gs>
              </w14:gsLst>
              <w14:lin w14:ang="0" w14:scaled="0"/>
            </w14:gradFill>
          </w14:textFill>
        </w:rPr>
        <w:t>分。</w:t>
      </w:r>
      <w:bookmarkEnd w:id="55"/>
    </w:p>
    <w:p>
      <w:pPr>
        <w:spacing w:line="600" w:lineRule="exact"/>
        <w:ind w:firstLine="640" w:firstLineChars="200"/>
        <w:outlineLvl w:val="2"/>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56" w:name="_Toc19081"/>
      <w:bookmarkStart w:id="57" w:name="_Toc9683"/>
      <w:bookmarkStart w:id="58" w:name="_Toc8147"/>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综合以上，项目过程管理指标为20分，扣减</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4</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分，实际得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16</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分，得分率为</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80</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 xml:space="preserve"> %。</w:t>
      </w:r>
      <w:bookmarkEnd w:id="56"/>
      <w:bookmarkEnd w:id="57"/>
      <w:bookmarkEnd w:id="58"/>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（详见附表2）</w:t>
      </w:r>
    </w:p>
    <w:p>
      <w:pPr>
        <w:spacing w:line="600" w:lineRule="exact"/>
        <w:ind w:left="420" w:leftChars="200"/>
        <w:outlineLvl w:val="1"/>
        <w:rPr>
          <w:rFonts w:ascii="楷体" w:hAnsi="楷体" w:eastAsia="楷体" w:cs="楷体"/>
          <w:b/>
          <w:bCs/>
          <w:sz w:val="32"/>
          <w:szCs w:val="32"/>
          <w14:textFill>
            <w14:gradFill>
              <w14:gsLst>
                <w14:gs w14:pos="0">
                  <w14:srgbClr w14:val="012D86"/>
                </w14:gs>
                <w14:gs w14:pos="100000">
                  <w14:srgbClr w14:val="0E2557"/>
                </w14:gs>
              </w14:gsLst>
              <w14:lin w14:ang="0" w14:scaled="0"/>
            </w14:gradFill>
          </w14:textFill>
        </w:rPr>
      </w:pPr>
      <w:bookmarkStart w:id="59" w:name="_Toc25082"/>
      <w:bookmarkStart w:id="60" w:name="_Toc4997"/>
      <w:bookmarkStart w:id="61" w:name="_Toc13759"/>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（三）项目产出</w:t>
      </w:r>
      <w:bookmarkEnd w:id="59"/>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情况</w:t>
      </w:r>
      <w:bookmarkEnd w:id="60"/>
      <w:bookmarkEnd w:id="61"/>
    </w:p>
    <w:p>
      <w:pPr>
        <w:spacing w:line="360" w:lineRule="auto"/>
        <w:ind w:firstLine="640" w:firstLineChars="200"/>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pPr>
      <w:bookmarkStart w:id="62" w:name="_Toc21211"/>
      <w:bookmarkStart w:id="63" w:name="_Toc12292"/>
      <w:bookmarkStart w:id="64" w:name="_Toc18400"/>
      <w:r>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1.产出数量方面：2022年</w:t>
      </w:r>
      <w:bookmarkEnd w:id="62"/>
      <w:bookmarkStart w:id="65" w:name="_Toc16981"/>
      <w:r>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特检院</w:t>
      </w:r>
      <w:r>
        <w:rPr>
          <w:rFonts w:hint="eastAsia"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（全院）</w:t>
      </w:r>
      <w:r>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本项目设定的绩效目标</w:t>
      </w:r>
      <w:r>
        <w:rPr>
          <w:rFonts w:hint="eastAsia"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至少</w:t>
      </w:r>
      <w:r>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完成</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57.46</w:t>
      </w:r>
      <w:r>
        <w:rPr>
          <w:rFonts w:hint="eastAsia"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多</w:t>
      </w:r>
      <w:r>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万台/套</w:t>
      </w:r>
      <w:r>
        <w:rPr>
          <w:rFonts w:hint="eastAsia"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（个、只）</w:t>
      </w:r>
      <w:r>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特种设备的检测任务</w:t>
      </w:r>
      <w:r>
        <w:rPr>
          <w:rFonts w:hint="eastAsia"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w:t>
      </w:r>
      <w:r>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经调查统计，</w:t>
      </w:r>
      <w:r>
        <w:rPr>
          <w:rFonts w:hint="eastAsia"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全院全年</w:t>
      </w:r>
      <w:r>
        <w:rPr>
          <w:rFonts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检测任务</w:t>
      </w:r>
      <w:r>
        <w:rPr>
          <w:rFonts w:hint="eastAsia"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基本完成</w:t>
      </w:r>
      <w:bookmarkEnd w:id="63"/>
      <w:bookmarkEnd w:id="64"/>
      <w:r>
        <w:rPr>
          <w:rFonts w:hint="eastAsia"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color w:val="0000FF"/>
          <w:kern w:val="0"/>
          <w:sz w:val="32"/>
          <w:szCs w:val="32"/>
          <w14:textFill>
            <w14:gradFill>
              <w14:gsLst>
                <w14:gs w14:pos="0">
                  <w14:srgbClr w14:val="012D86"/>
                </w14:gs>
                <w14:gs w14:pos="100000">
                  <w14:srgbClr w14:val="0E2557"/>
                </w14:gs>
              </w14:gsLst>
              <w14:lin w14:ang="0" w14:scaled="0"/>
            </w14:gradFill>
          </w14:textFill>
        </w:rPr>
        <w:t>2022年全院全年共承检各类特种设备</w:t>
      </w:r>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175504台（含锅炉7019台、压力容器40302台、电梯98591台、医用氧舱51台、起重机械13378台、厂车13126台、大型游乐设施243台、危险化学品承压罐车859台，危险化学品常压罐车1935台），压力管道</w:t>
      </w:r>
      <w:bookmarkStart w:id="66" w:name="_Hlk123042263"/>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2305.37</w:t>
      </w:r>
      <w:bookmarkEnd w:id="66"/>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千米，安全附件9006个，各类气瓶264213只，安全阀校验124301只。</w:t>
      </w:r>
    </w:p>
    <w:p>
      <w:pPr>
        <w:spacing w:line="360" w:lineRule="auto"/>
        <w:ind w:firstLine="640" w:firstLineChars="200"/>
        <w:rPr>
          <w:rFonts w:ascii="方正仿宋_GB2312" w:hAnsi="方正仿宋_GB2312" w:eastAsia="方正仿宋_GB2312" w:cs="方正仿宋_GB2312"/>
          <w:color w:val="0000FF"/>
          <w:kern w:val="0"/>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此外，全年对全区锅炉设计文件鉴定和节能审查50套，特种设备作业人员考核发证15329人，检测锅炉水样、金属材料、煤灰分析5415批次。全年出具各类检验检测报告</w:t>
      </w:r>
      <w:r>
        <w:rPr>
          <w:rFonts w:hint="eastAsia" w:ascii="方正仿宋_GB2312" w:hAnsi="方正仿宋_GB2312" w:eastAsia="方正仿宋_GB2312" w:cs="方正仿宋_GB2312"/>
          <w:color w:val="0000FF"/>
          <w:kern w:val="0"/>
          <w:sz w:val="32"/>
          <w:szCs w:val="32"/>
          <w14:textFill>
            <w14:gradFill>
              <w14:gsLst>
                <w14:gs w14:pos="0">
                  <w14:srgbClr w14:val="012D86"/>
                </w14:gs>
                <w14:gs w14:pos="100000">
                  <w14:srgbClr w14:val="0E2557"/>
                </w14:gs>
              </w14:gsLst>
              <w14:lin w14:ang="0" w14:scaled="0"/>
            </w14:gradFill>
          </w14:textFill>
        </w:rPr>
        <w:t>38万余份。见下表所示：</w:t>
      </w:r>
    </w:p>
    <w:tbl>
      <w:tblPr>
        <w:tblStyle w:val="12"/>
        <w:tblW w:w="8275" w:type="dxa"/>
        <w:tblInd w:w="96" w:type="dxa"/>
        <w:tblLayout w:type="autofit"/>
        <w:tblCellMar>
          <w:top w:w="0" w:type="dxa"/>
          <w:left w:w="108" w:type="dxa"/>
          <w:bottom w:w="0" w:type="dxa"/>
          <w:right w:w="108" w:type="dxa"/>
        </w:tblCellMar>
      </w:tblPr>
      <w:tblGrid>
        <w:gridCol w:w="668"/>
        <w:gridCol w:w="3697"/>
        <w:gridCol w:w="668"/>
        <w:gridCol w:w="3242"/>
      </w:tblGrid>
      <w:tr>
        <w:tblPrEx>
          <w:tblCellMar>
            <w:top w:w="0" w:type="dxa"/>
            <w:left w:w="108" w:type="dxa"/>
            <w:bottom w:w="0" w:type="dxa"/>
            <w:right w:w="108" w:type="dxa"/>
          </w:tblCellMar>
        </w:tblPrEx>
        <w:trPr>
          <w:trHeight w:val="79" w:hRule="atLeast"/>
        </w:trPr>
        <w:tc>
          <w:tcPr>
            <w:tcW w:w="8275" w:type="dxa"/>
            <w:gridSpan w:val="4"/>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8"/>
                <w:szCs w:val="2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24"/>
                <w:lang w:bidi="ar"/>
                <w14:textFill>
                  <w14:gradFill>
                    <w14:gsLst>
                      <w14:gs w14:pos="0">
                        <w14:srgbClr w14:val="012D86"/>
                      </w14:gs>
                      <w14:gs w14:pos="100000">
                        <w14:srgbClr w14:val="0E2557"/>
                      </w14:gs>
                    </w14:gsLst>
                    <w14:lin w14:ang="0" w14:scaled="0"/>
                  </w14:gradFill>
                </w14:textFill>
              </w:rPr>
              <w:t>特检院（全院）承检各类特种设备情况表</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22"/>
                <w:szCs w:val="22"/>
                <w:lang w:bidi="ar"/>
                <w14:textFill>
                  <w14:gradFill>
                    <w14:gsLst>
                      <w14:gs w14:pos="0">
                        <w14:srgbClr w14:val="012D86"/>
                      </w14:gs>
                      <w14:gs w14:pos="100000">
                        <w14:srgbClr w14:val="0E2557"/>
                      </w14:gs>
                    </w14:gsLst>
                    <w14:lin w14:ang="0" w14:scaled="0"/>
                  </w14:gradFill>
                </w14:textFill>
              </w:rPr>
              <w:t>序号</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22"/>
                <w:szCs w:val="22"/>
                <w:lang w:bidi="ar"/>
                <w14:textFill>
                  <w14:gradFill>
                    <w14:gsLst>
                      <w14:gs w14:pos="0">
                        <w14:srgbClr w14:val="012D86"/>
                      </w14:gs>
                      <w14:gs w14:pos="100000">
                        <w14:srgbClr w14:val="0E2557"/>
                      </w14:gs>
                    </w14:gsLst>
                    <w14:lin w14:ang="0" w14:scaled="0"/>
                  </w14:gradFill>
                </w14:textFill>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22"/>
                <w:szCs w:val="22"/>
                <w:lang w:bidi="ar"/>
                <w14:textFill>
                  <w14:gradFill>
                    <w14:gsLst>
                      <w14:gs w14:pos="0">
                        <w14:srgbClr w14:val="012D86"/>
                      </w14:gs>
                      <w14:gs w14:pos="100000">
                        <w14:srgbClr w14:val="0E2557"/>
                      </w14:gs>
                    </w14:gsLst>
                    <w14:lin w14:ang="0" w14:scaled="0"/>
                  </w14:gradFill>
                </w14:textFill>
              </w:rPr>
              <w:t>单位</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22"/>
                <w:szCs w:val="22"/>
                <w:lang w:bidi="ar"/>
                <w14:textFill>
                  <w14:gradFill>
                    <w14:gsLst>
                      <w14:gs w14:pos="0">
                        <w14:srgbClr w14:val="012D86"/>
                      </w14:gs>
                      <w14:gs w14:pos="100000">
                        <w14:srgbClr w14:val="0E2557"/>
                      </w14:gs>
                    </w14:gsLst>
                    <w14:lin w14:ang="0" w14:scaled="0"/>
                  </w14:gradFill>
                </w14:textFill>
              </w:rPr>
              <w:t>数量</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1</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锅炉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7,019.00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2</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压力容器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40,302.00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3</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电梯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98,591.00 </w:t>
            </w:r>
          </w:p>
        </w:tc>
      </w:tr>
      <w:tr>
        <w:tblPrEx>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4</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医用氧舱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51.00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5</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起重机械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13,378.00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6</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厂车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13,126.00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7</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大型游乐设施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243.00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8</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危险化学品承压罐车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859.00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9</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危险化学品常压罐车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台</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1,935.00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b/>
                <w:bCs/>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22"/>
                <w:szCs w:val="22"/>
                <w:lang w:bidi="ar"/>
                <w14:textFill>
                  <w14:gradFill>
                    <w14:gsLst>
                      <w14:gs w14:pos="0">
                        <w14:srgbClr w14:val="012D86"/>
                      </w14:gs>
                      <w14:gs w14:pos="100000">
                        <w14:srgbClr w14:val="0E2557"/>
                      </w14:gs>
                    </w14:gsLst>
                    <w14:lin w14:ang="0" w14:scaled="0"/>
                  </w14:gradFill>
                </w14:textFill>
              </w:rPr>
              <w:t>小计</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b/>
                <w:bCs/>
                <w:color w:val="000000"/>
                <w:sz w:val="20"/>
                <w:szCs w:val="20"/>
                <w14:textFill>
                  <w14:gradFill>
                    <w14:gsLst>
                      <w14:gs w14:pos="0">
                        <w14:srgbClr w14:val="012D86"/>
                      </w14:gs>
                      <w14:gs w14:pos="100000">
                        <w14:srgbClr w14:val="0E2557"/>
                      </w14:gs>
                    </w14:gsLst>
                    <w14:lin w14:ang="0" w14:scaled="0"/>
                  </w14:gradFill>
                </w14:textFill>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b/>
                <w:bCs/>
                <w:color w:val="000000"/>
                <w:sz w:val="22"/>
                <w:szCs w:val="22"/>
                <w14:textFill>
                  <w14:gradFill>
                    <w14:gsLst>
                      <w14:gs w14:pos="0">
                        <w14:srgbClr w14:val="012D86"/>
                      </w14:gs>
                      <w14:gs w14:pos="100000">
                        <w14:srgbClr w14:val="0E2557"/>
                      </w14:gs>
                    </w14:gsLst>
                    <w14:lin w14:ang="0" w14:scaled="0"/>
                  </w14:gradFill>
                </w14:textFill>
              </w:rPr>
            </w:pP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b/>
                <w:bCs/>
                <w:color w:val="000000"/>
                <w:sz w:val="22"/>
                <w:szCs w:val="2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宋体" w:cs="Times New Roman"/>
                <w:b/>
                <w:bCs/>
                <w:color w:val="000000"/>
                <w:kern w:val="0"/>
                <w:sz w:val="22"/>
                <w:szCs w:val="22"/>
                <w:lang w:bidi="ar"/>
                <w14:textFill>
                  <w14:gradFill>
                    <w14:gsLst>
                      <w14:gs w14:pos="0">
                        <w14:srgbClr w14:val="012D86"/>
                      </w14:gs>
                      <w14:gs w14:pos="100000">
                        <w14:srgbClr w14:val="0E2557"/>
                      </w14:gs>
                    </w14:gsLst>
                    <w14:lin w14:ang="0" w14:scaled="0"/>
                  </w14:gradFill>
                </w14:textFill>
              </w:rPr>
              <w:t>175</w:t>
            </w: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宋体" w:cs="Times New Roman"/>
                <w:b/>
                <w:bCs/>
                <w:color w:val="000000"/>
                <w:kern w:val="0"/>
                <w:sz w:val="22"/>
                <w:szCs w:val="22"/>
                <w:lang w:bidi="ar"/>
                <w14:textFill>
                  <w14:gradFill>
                    <w14:gsLst>
                      <w14:gs w14:pos="0">
                        <w14:srgbClr w14:val="012D86"/>
                      </w14:gs>
                      <w14:gs w14:pos="100000">
                        <w14:srgbClr w14:val="0E2557"/>
                      </w14:gs>
                    </w14:gsLst>
                    <w14:lin w14:ang="0" w14:scaled="0"/>
                  </w14:gradFill>
                </w14:textFill>
              </w:rPr>
              <w:t>504.</w:t>
            </w:r>
            <w:r>
              <w:rPr>
                <w:rFonts w:ascii="Times New Roman" w:hAnsi="Times New Roman" w:eastAsia="宋体" w:cs="Times New Roman"/>
                <w:b/>
                <w:bCs/>
                <w:color w:val="000000"/>
                <w:kern w:val="0"/>
                <w:sz w:val="22"/>
                <w:szCs w:val="22"/>
                <w:lang w:bidi="ar"/>
                <w14:textFill>
                  <w14:gradFill>
                    <w14:gsLst>
                      <w14:gs w14:pos="0">
                        <w14:srgbClr w14:val="012D86"/>
                      </w14:gs>
                      <w14:gs w14:pos="100000">
                        <w14:srgbClr w14:val="0E2557"/>
                      </w14:gs>
                    </w14:gsLst>
                    <w14:lin w14:ang="0" w14:scaled="0"/>
                  </w14:gradFill>
                </w14:textFill>
              </w:rPr>
              <w:t xml:space="preserve">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10</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压力管道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千米</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2,305.37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11</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安全附件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个</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9,006.00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12</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气瓶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只</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264,213.00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13</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安全阀校验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只</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124,301.00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14</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锅炉设计文件鉴定和节能审查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套</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50.00 </w:t>
            </w:r>
          </w:p>
        </w:tc>
      </w:tr>
      <w:tr>
        <w:tblPrEx>
          <w:tblCellMar>
            <w:top w:w="0" w:type="dxa"/>
            <w:left w:w="108" w:type="dxa"/>
            <w:bottom w:w="0" w:type="dxa"/>
            <w:right w:w="108" w:type="dxa"/>
          </w:tblCellMar>
        </w:tblPrEx>
        <w:trPr>
          <w:trHeight w:val="7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15</w:t>
            </w:r>
          </w:p>
        </w:tc>
        <w:tc>
          <w:tcPr>
            <w:tcW w:w="36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0"/>
                <w:szCs w:val="20"/>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0"/>
                <w:szCs w:val="20"/>
                <w:lang w:bidi="ar"/>
                <w14:textFill>
                  <w14:gradFill>
                    <w14:gsLst>
                      <w14:gs w14:pos="0">
                        <w14:srgbClr w14:val="012D86"/>
                      </w14:gs>
                      <w14:gs w14:pos="100000">
                        <w14:srgbClr w14:val="0E2557"/>
                      </w14:gs>
                    </w14:gsLst>
                    <w14:lin w14:ang="0" w14:scaled="0"/>
                  </w14:gradFill>
                </w14:textFill>
              </w:rPr>
              <w:t>检测锅炉水样、金属材料、煤灰分析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22"/>
                <w:szCs w:val="22"/>
                <w:lang w:bidi="ar"/>
                <w14:textFill>
                  <w14:gradFill>
                    <w14:gsLst>
                      <w14:gs w14:pos="0">
                        <w14:srgbClr w14:val="012D86"/>
                      </w14:gs>
                      <w14:gs w14:pos="100000">
                        <w14:srgbClr w14:val="0E2557"/>
                      </w14:gs>
                    </w14:gsLst>
                    <w14:lin w14:ang="0" w14:scaled="0"/>
                  </w14:gradFill>
                </w14:textFill>
              </w:rPr>
              <w:t>批次</w:t>
            </w:r>
          </w:p>
        </w:tc>
        <w:tc>
          <w:tcPr>
            <w:tcW w:w="31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Times New Roman" w:hAnsi="Times New Roman" w:eastAsia="宋体" w:cs="Times New Roman"/>
                <w:color w:val="000000"/>
                <w:sz w:val="22"/>
                <w:szCs w:val="22"/>
                <w14:textFill>
                  <w14:gradFill>
                    <w14:gsLst>
                      <w14:gs w14:pos="0">
                        <w14:srgbClr w14:val="012D86"/>
                      </w14:gs>
                      <w14:gs w14:pos="100000">
                        <w14:srgbClr w14:val="0E2557"/>
                      </w14:gs>
                    </w14:gsLst>
                    <w14:lin w14:ang="0" w14:scaled="0"/>
                  </w14:gradFill>
                </w14:textFill>
              </w:rPr>
            </w:pPr>
            <w:r>
              <w:rPr>
                <w:rFonts w:ascii="Times New Roman" w:hAnsi="Times New Roman" w:eastAsia="宋体" w:cs="Times New Roman"/>
                <w:color w:val="000000"/>
                <w:kern w:val="0"/>
                <w:sz w:val="22"/>
                <w:szCs w:val="22"/>
                <w:lang w:bidi="ar"/>
                <w14:textFill>
                  <w14:gradFill>
                    <w14:gsLst>
                      <w14:gs w14:pos="0">
                        <w14:srgbClr w14:val="012D86"/>
                      </w14:gs>
                      <w14:gs w14:pos="100000">
                        <w14:srgbClr w14:val="0E2557"/>
                      </w14:gs>
                    </w14:gsLst>
                    <w14:lin w14:ang="0" w14:scaled="0"/>
                  </w14:gradFill>
                </w14:textFill>
              </w:rPr>
              <w:t xml:space="preserve">5,415.00 </w:t>
            </w:r>
          </w:p>
        </w:tc>
      </w:tr>
    </w:tbl>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各院因检测对象不同横向可比性不强，在此以当年预算安排人均支出进行简单的成本支出分析比较。</w:t>
      </w:r>
    </w:p>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（即：当年预算安排/在职人员数量）：</w:t>
      </w:r>
    </w:p>
    <w:p>
      <w:pPr>
        <w:ind w:firstLine="42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drawing>
          <wp:inline distT="0" distB="0" distL="114300" distR="114300">
            <wp:extent cx="5665470" cy="3741420"/>
            <wp:effectExtent l="4445" t="4445" r="14605" b="18415"/>
            <wp:docPr id="2" name="图表 2" descr="7b0a202020202263686172745265734964223a202232303437323234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600" w:lineRule="exact"/>
        <w:ind w:firstLine="640" w:firstLineChars="200"/>
        <w:outlineLvl w:val="0"/>
        <w:rPr>
          <w:rFonts w:ascii="方正仿宋_GB2312" w:hAnsi="方正仿宋_GB2312" w:eastAsia="方正仿宋_GB2312" w:cs="方正仿宋_GB2312"/>
          <w:color w:val="0000FF"/>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2.产出质量方面：</w:t>
      </w:r>
      <w:bookmarkEnd w:id="65"/>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内蒙古特检院依据质量控制标准明确，同时根据</w:t>
      </w:r>
      <w:r>
        <w:rPr>
          <w:rFonts w:ascii="Times New Roman" w:hAnsi="Times New Roman" w:eastAsia="方正仿宋_GB2312" w:cs="Times New Roman"/>
          <w:spacing w:val="-5"/>
          <w:sz w:val="32"/>
          <w:szCs w:val="32"/>
          <w14:textFill>
            <w14:gradFill>
              <w14:gsLst>
                <w14:gs w14:pos="0">
                  <w14:srgbClr w14:val="012D86"/>
                </w14:gs>
                <w14:gs w14:pos="100000">
                  <w14:srgbClr w14:val="0E2557"/>
                </w14:gs>
              </w14:gsLst>
              <w14:lin w14:ang="0" w14:scaled="0"/>
            </w14:gradFill>
          </w14:textFill>
        </w:rPr>
        <w:t>《特种设备安全法》、《特种设备使用管理规则》</w:t>
      </w:r>
      <w:r>
        <w:rPr>
          <w:rFonts w:hint="eastAsia" w:ascii="方正仿宋_GB2312" w:hAnsi="方正仿宋_GB2312" w:eastAsia="方正仿宋_GB2312" w:cs="方正仿宋_GB2312"/>
          <w:spacing w:val="-5"/>
          <w:sz w:val="32"/>
          <w:szCs w:val="32"/>
          <w14:textFill>
            <w14:gradFill>
              <w14:gsLst>
                <w14:gs w14:pos="0">
                  <w14:srgbClr w14:val="012D86"/>
                </w14:gs>
                <w14:gs w14:pos="100000">
                  <w14:srgbClr w14:val="0E2557"/>
                </w14:gs>
              </w14:gsLst>
              <w14:lin w14:ang="0" w14:scaled="0"/>
            </w14:gradFill>
          </w14:textFill>
        </w:rPr>
        <w:t>TSG08-2017相关规定，执行检测任务，出具检测报告，形成档案及相关资料，</w:t>
      </w:r>
      <w:r>
        <w:rPr>
          <w:rFonts w:hint="eastAsia" w:ascii="方正仿宋_GB2312" w:hAnsi="方正仿宋_GB2312" w:eastAsia="方正仿宋_GB2312" w:cs="方正仿宋_GB2312"/>
          <w:kern w:val="0"/>
          <w:sz w:val="32"/>
          <w:szCs w:val="32"/>
          <w14:textFill>
            <w14:gradFill>
              <w14:gsLst>
                <w14:gs w14:pos="0">
                  <w14:srgbClr w14:val="012D86"/>
                </w14:gs>
                <w14:gs w14:pos="100000">
                  <w14:srgbClr w14:val="0E2557"/>
                </w14:gs>
              </w14:gsLst>
              <w14:lin w14:ang="0" w14:scaled="0"/>
            </w14:gradFill>
          </w14:textFill>
        </w:rPr>
        <w:t>检验结论准确率达标。据了解部分报告并</w:t>
      </w:r>
      <w:r>
        <w:rPr>
          <w:rFonts w:hint="eastAsia"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未完全遵循绩效目标设定的时间标准。</w:t>
      </w:r>
    </w:p>
    <w:p>
      <w:pPr>
        <w:spacing w:line="600" w:lineRule="exact"/>
        <w:ind w:firstLine="640" w:firstLineChars="200"/>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3.</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完成时效性：</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呼市地区</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2022年受疫情影响，</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至年底</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虽未按时完成目标量，但特检院在疫情结束后</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到春节前</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及时采取措施</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补救</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，圆满完成年初目标任务。</w:t>
      </w:r>
    </w:p>
    <w:p>
      <w:pPr>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4.</w:t>
      </w:r>
      <w:bookmarkStart w:id="67" w:name="_Toc12117"/>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成本控制：该指标主要评价项目单位是否建立成本控制相关</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措施</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并严格执行。</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单位成本控制（即性价比）合理，通常与预算相比，不超预算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，通常视为控制相对较合理</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本</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项目成本控制</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总体</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未超预算，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不足之处是</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项目成本控制的相关制度措施办法未健全</w:t>
      </w:r>
      <w:bookmarkEnd w:id="67"/>
      <w:bookmarkStart w:id="68" w:name="_Toc62"/>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bookmarkEnd w:id="68"/>
      <w:bookmarkStart w:id="69" w:name="_Toc10039"/>
    </w:p>
    <w:p>
      <w:pPr>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此外，全院检测任务在统计及管理过程中未严格区分非税业务和经营性业务。</w:t>
      </w:r>
    </w:p>
    <w:p>
      <w:pPr>
        <w:pStyle w:val="6"/>
        <w:spacing w:line="600" w:lineRule="exact"/>
        <w:ind w:firstLine="54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根据评分标准，扣减0.5分，该项指标应得5分，实得4.5分。</w:t>
      </w:r>
    </w:p>
    <w:p>
      <w:pPr>
        <w:spacing w:line="600" w:lineRule="exact"/>
        <w:ind w:firstLine="640" w:firstLineChars="200"/>
        <w:outlineLvl w:val="2"/>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70" w:name="_Toc21294"/>
      <w:bookmarkStart w:id="71" w:name="_Toc12232"/>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综合以上，项目产出指标设置权重为30分，扣除0.5分，实际得29.5分，得分率为98</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.84</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bookmarkEnd w:id="70"/>
      <w:bookmarkEnd w:id="71"/>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（详见附表2）</w:t>
      </w:r>
    </w:p>
    <w:bookmarkEnd w:id="69"/>
    <w:p>
      <w:pPr>
        <w:spacing w:line="600" w:lineRule="exact"/>
        <w:ind w:left="420" w:leftChars="200"/>
        <w:outlineLvl w:val="1"/>
        <w:rPr>
          <w:rFonts w:ascii="华文楷体" w:hAnsi="华文楷体" w:eastAsia="华文楷体" w:cs="华文楷体"/>
          <w:b/>
          <w:bCs/>
          <w:sz w:val="32"/>
          <w:szCs w:val="32"/>
          <w:highlight w:val="yellow"/>
          <w14:textFill>
            <w14:gradFill>
              <w14:gsLst>
                <w14:gs w14:pos="0">
                  <w14:srgbClr w14:val="012D86"/>
                </w14:gs>
                <w14:gs w14:pos="100000">
                  <w14:srgbClr w14:val="0E2557"/>
                </w14:gs>
              </w14:gsLst>
              <w14:lin w14:ang="0" w14:scaled="0"/>
            </w14:gradFill>
          </w14:textFill>
        </w:rPr>
      </w:pPr>
      <w:bookmarkStart w:id="72" w:name="_Toc15533"/>
      <w:bookmarkStart w:id="73" w:name="_Toc5654"/>
      <w:bookmarkStart w:id="74" w:name="_Toc225"/>
      <w:r>
        <w:rPr>
          <w:rFonts w:hint="eastAsia" w:ascii="华文楷体" w:hAnsi="华文楷体" w:eastAsia="华文楷体" w:cs="华文楷体"/>
          <w:b/>
          <w:bCs/>
          <w:sz w:val="32"/>
          <w:szCs w:val="32"/>
          <w14:textFill>
            <w14:gradFill>
              <w14:gsLst>
                <w14:gs w14:pos="0">
                  <w14:srgbClr w14:val="012D86"/>
                </w14:gs>
                <w14:gs w14:pos="100000">
                  <w14:srgbClr w14:val="0E2557"/>
                </w14:gs>
              </w14:gsLst>
              <w14:lin w14:ang="0" w14:scaled="0"/>
            </w14:gradFill>
          </w14:textFill>
        </w:rPr>
        <w:t>（四）项目效益情况</w:t>
      </w:r>
      <w:bookmarkEnd w:id="72"/>
      <w:bookmarkEnd w:id="73"/>
    </w:p>
    <w:bookmarkEnd w:id="74"/>
    <w:p>
      <w:pPr>
        <w:spacing w:line="600" w:lineRule="exact"/>
        <w:ind w:left="420" w:leftChars="200" w:firstLine="320" w:firstLineChars="100"/>
        <w:outlineLvl w:val="2"/>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75" w:name="_Toc17683"/>
      <w:bookmarkStart w:id="76" w:name="_Toc10654"/>
      <w:bookmarkStart w:id="77" w:name="_Toc29967"/>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1.经济效益</w:t>
      </w:r>
      <w:bookmarkEnd w:id="75"/>
      <w:bookmarkEnd w:id="76"/>
    </w:p>
    <w:p>
      <w:pPr>
        <w:spacing w:line="600" w:lineRule="exact"/>
        <w:ind w:firstLine="640" w:firstLineChars="200"/>
        <w:outlineLvl w:val="0"/>
        <w:rPr>
          <w:rFonts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pPr>
      <w:bookmarkStart w:id="78" w:name="_Toc16222"/>
      <w:bookmarkStart w:id="79" w:name="_Toc7790"/>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特检院</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（全院）</w:t>
      </w:r>
      <w:r>
        <w:rPr>
          <w:rFonts w:hint="eastAsia" w:ascii="Times New Roman" w:hAnsi="Times New Roman" w:eastAsia="方正仿宋_GB2312" w:cs="Times New Roman"/>
          <w:color w:val="0000FF"/>
          <w:sz w:val="32"/>
          <w:szCs w:val="32"/>
          <w14:textFill>
            <w14:gradFill>
              <w14:gsLst>
                <w14:gs w14:pos="0">
                  <w14:srgbClr w14:val="012D86"/>
                </w14:gs>
                <w14:gs w14:pos="100000">
                  <w14:srgbClr w14:val="0E2557"/>
                </w14:gs>
              </w14:gsLst>
              <w14:lin w14:ang="0" w14:scaled="0"/>
            </w14:gradFill>
          </w14:textFill>
        </w:rPr>
        <w:t>2022年</w:t>
      </w:r>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实现非税收入</w:t>
      </w:r>
      <w:r>
        <w:rPr>
          <w:rFonts w:ascii="Times New Roman" w:hAnsi="Times New Roman" w:cs="Times New Roman"/>
          <w:color w:val="0000FF"/>
          <w:kern w:val="0"/>
          <w:sz w:val="32"/>
          <w:szCs w:val="32"/>
          <w14:textFill>
            <w14:gradFill>
              <w14:gsLst>
                <w14:gs w14:pos="0">
                  <w14:srgbClr w14:val="012D86"/>
                </w14:gs>
                <w14:gs w14:pos="100000">
                  <w14:srgbClr w14:val="0E2557"/>
                </w14:gs>
              </w14:gsLst>
              <w14:lin w14:ang="0" w14:scaled="0"/>
            </w14:gradFill>
          </w14:textFill>
        </w:rPr>
        <w:t>3.51</w:t>
      </w:r>
      <w:r>
        <w:rPr>
          <w:rFonts w:hint="eastAsia"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亿</w:t>
      </w:r>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元；完成经营性收入</w:t>
      </w:r>
      <w:r>
        <w:rPr>
          <w:rFonts w:ascii="Times New Roman" w:hAnsi="Times New Roman" w:cs="Times New Roman"/>
          <w:color w:val="0000FF"/>
          <w:kern w:val="0"/>
          <w:sz w:val="32"/>
          <w:szCs w:val="32"/>
          <w14:textFill>
            <w14:gradFill>
              <w14:gsLst>
                <w14:gs w14:pos="0">
                  <w14:srgbClr w14:val="012D86"/>
                </w14:gs>
                <w14:gs w14:pos="100000">
                  <w14:srgbClr w14:val="0E2557"/>
                </w14:gs>
              </w14:gsLst>
              <w14:lin w14:ang="0" w14:scaled="0"/>
            </w14:gradFill>
          </w14:textFill>
        </w:rPr>
        <w:t>1.38</w:t>
      </w:r>
      <w:r>
        <w:rPr>
          <w:rFonts w:hint="eastAsia" w:ascii="方正仿宋_GB2312" w:hAnsi="方正仿宋_GB2312" w:eastAsia="方正仿宋_GB2312" w:cs="方正仿宋_GB2312"/>
          <w:color w:val="0000FF"/>
          <w:kern w:val="0"/>
          <w:sz w:val="32"/>
          <w:szCs w:val="32"/>
          <w14:textFill>
            <w14:gradFill>
              <w14:gsLst>
                <w14:gs w14:pos="0">
                  <w14:srgbClr w14:val="012D86"/>
                </w14:gs>
                <w14:gs w14:pos="100000">
                  <w14:srgbClr w14:val="0E2557"/>
                </w14:gs>
              </w14:gsLst>
              <w14:lin w14:ang="0" w14:scaled="0"/>
            </w14:gradFill>
          </w14:textFill>
        </w:rPr>
        <w:t>亿</w:t>
      </w:r>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元，</w:t>
      </w:r>
      <w:r>
        <w:rPr>
          <w:rFonts w:hint="eastAsia" w:ascii="Times New Roman" w:hAnsi="Times New Roman" w:eastAsia="方正仿宋_GB2312" w:cs="Times New Roman"/>
          <w:color w:val="0000FF"/>
          <w:sz w:val="32"/>
          <w:szCs w:val="32"/>
          <w:shd w:val="clear" w:color="auto" w:fill="FFFFFF"/>
          <w14:textFill>
            <w14:gradFill>
              <w14:gsLst>
                <w14:gs w14:pos="0">
                  <w14:srgbClr w14:val="012D86"/>
                </w14:gs>
                <w14:gs w14:pos="100000">
                  <w14:srgbClr w14:val="0E2557"/>
                </w14:gs>
              </w14:gsLst>
              <w14:lin w14:ang="0" w14:scaled="0"/>
            </w14:gradFill>
          </w14:textFill>
        </w:rPr>
        <w:t>完成目标任务，并</w:t>
      </w:r>
      <w:r>
        <w:rPr>
          <w:rFonts w:hint="eastAsia"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取得了一定的</w:t>
      </w:r>
      <w:r>
        <w:rPr>
          <w:rFonts w:ascii="Times New Roman" w:hAnsi="Times New Roman" w:eastAsia="方正仿宋_GB2312" w:cs="Times New Roman"/>
          <w:color w:val="0000FF"/>
          <w:kern w:val="0"/>
          <w:sz w:val="32"/>
          <w:szCs w:val="32"/>
          <w14:textFill>
            <w14:gradFill>
              <w14:gsLst>
                <w14:gs w14:pos="0">
                  <w14:srgbClr w14:val="012D86"/>
                </w14:gs>
                <w14:gs w14:pos="100000">
                  <w14:srgbClr w14:val="0E2557"/>
                </w14:gs>
              </w14:gsLst>
              <w14:lin w14:ang="0" w14:scaled="0"/>
            </w14:gradFill>
          </w14:textFill>
        </w:rPr>
        <w:t>经济效益。</w:t>
      </w:r>
      <w:bookmarkEnd w:id="78"/>
      <w:bookmarkEnd w:id="79"/>
    </w:p>
    <w:p>
      <w:pPr>
        <w:spacing w:line="600" w:lineRule="exact"/>
        <w:ind w:left="420" w:leftChars="200" w:firstLine="320" w:firstLineChars="100"/>
        <w:outlineLvl w:val="2"/>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80" w:name="_Toc25109"/>
      <w:bookmarkStart w:id="81" w:name="_Toc14104"/>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2.社会效益</w:t>
      </w:r>
      <w:bookmarkEnd w:id="77"/>
      <w:bookmarkEnd w:id="80"/>
      <w:bookmarkEnd w:id="81"/>
    </w:p>
    <w:p>
      <w:pPr>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项目单位发挥了特检院的公益性质</w:t>
      </w:r>
      <w:r>
        <w:rPr>
          <w:rFonts w:hint="eastAsia"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，有效的履行了政府对特种设备的监管和服务的职责，</w:t>
      </w:r>
      <w:r>
        <w:rPr>
          <w:rFonts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消除</w:t>
      </w:r>
      <w:r>
        <w:rPr>
          <w:rFonts w:hint="eastAsia"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了</w:t>
      </w:r>
      <w:r>
        <w:rPr>
          <w:rFonts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特种设备安全隐患。年内未发生因监管不到位而发生的重大安全事故，保障了人民群众生命和财产安全，促进</w:t>
      </w:r>
      <w:r>
        <w:rPr>
          <w:rFonts w:hint="eastAsia"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了本地区</w:t>
      </w:r>
      <w:r>
        <w:rPr>
          <w:rFonts w:ascii="Times New Roman" w:hAnsi="Times New Roman" w:eastAsia="方正仿宋_GB2312" w:cs="Times New Roman"/>
          <w:color w:val="1A1A1A"/>
          <w:sz w:val="32"/>
          <w:szCs w:val="32"/>
          <w:shd w:val="clear" w:color="auto" w:fill="FFFFFF"/>
          <w14:textFill>
            <w14:gradFill>
              <w14:gsLst>
                <w14:gs w14:pos="0">
                  <w14:srgbClr w14:val="012D86"/>
                </w14:gs>
                <w14:gs w14:pos="100000">
                  <w14:srgbClr w14:val="0E2557"/>
                </w14:gs>
              </w14:gsLst>
              <w14:lin w14:ang="0" w14:scaled="0"/>
            </w14:gradFill>
          </w14:textFill>
        </w:rPr>
        <w:t>经济社会发展。</w:t>
      </w:r>
    </w:p>
    <w:p>
      <w:pPr>
        <w:spacing w:line="600" w:lineRule="exact"/>
        <w:ind w:left="420" w:leftChars="200" w:firstLine="320" w:firstLineChars="100"/>
        <w:outlineLvl w:val="2"/>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82" w:name="_Toc8440"/>
      <w:bookmarkStart w:id="83" w:name="_Toc14302"/>
      <w:bookmarkStart w:id="84" w:name="_Toc3633"/>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3.生态效益</w:t>
      </w:r>
      <w:bookmarkEnd w:id="82"/>
      <w:bookmarkEnd w:id="83"/>
    </w:p>
    <w:p>
      <w:pPr>
        <w:spacing w:line="600" w:lineRule="exact"/>
        <w:ind w:firstLine="640" w:firstLineChars="200"/>
        <w:outlineLvl w:val="0"/>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pPr>
      <w:bookmarkStart w:id="85" w:name="_Toc27249"/>
      <w:bookmarkStart w:id="86" w:name="_Toc13928"/>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促进特种设备使用单位节能减排，</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发挥了生态效益</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w:t>
      </w:r>
      <w:bookmarkEnd w:id="85"/>
      <w:bookmarkEnd w:id="86"/>
    </w:p>
    <w:p>
      <w:pPr>
        <w:spacing w:line="600" w:lineRule="exact"/>
        <w:ind w:firstLine="640" w:firstLineChars="200"/>
        <w:outlineLvl w:val="2"/>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bookmarkStart w:id="87" w:name="_Toc27200"/>
      <w:bookmarkStart w:id="88" w:name="_Toc13430"/>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4.可持续影响</w:t>
      </w:r>
      <w:bookmarkEnd w:id="84"/>
      <w:bookmarkEnd w:id="87"/>
      <w:bookmarkEnd w:id="88"/>
    </w:p>
    <w:p>
      <w:pPr>
        <w:spacing w:line="600" w:lineRule="exact"/>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bookmarkStart w:id="89" w:name="_Toc13883"/>
      <w:r>
        <w:rPr>
          <w:rFonts w:hint="eastAsia" w:ascii="方正仿宋_GB2312" w:hAnsi="方正仿宋_GB2312" w:eastAsia="方正仿宋_GB2312" w:cs="方正仿宋_GB2312"/>
          <w:color w:val="1A1A1A"/>
          <w:sz w:val="32"/>
          <w:szCs w:val="32"/>
          <w:shd w:val="clear" w:color="auto" w:fill="FFFFFF"/>
          <w14:textFill>
            <w14:gradFill>
              <w14:gsLst>
                <w14:gs w14:pos="0">
                  <w14:srgbClr w14:val="012D86"/>
                </w14:gs>
                <w14:gs w14:pos="100000">
                  <w14:srgbClr w14:val="0E2557"/>
                </w14:gs>
              </w14:gsLst>
              <w14:lin w14:ang="0" w14:scaled="0"/>
            </w14:gradFill>
          </w14:textFill>
        </w:rPr>
        <w:t>据了解，特检院结合我区特种设备规模发展需求，</w:t>
      </w:r>
      <w:bookmarkEnd w:id="89"/>
      <w:r>
        <w:rPr>
          <w:rFonts w:hint="eastAsia" w:ascii="方正仿宋_GB2312" w:hAnsi="方正仿宋_GB2312" w:eastAsia="方正仿宋_GB2312" w:cs="方正仿宋_GB2312"/>
          <w:color w:val="1A1A1A"/>
          <w:sz w:val="32"/>
          <w:szCs w:val="32"/>
          <w:shd w:val="clear" w:color="auto" w:fill="FFFFFF"/>
          <w14:textFill>
            <w14:gradFill>
              <w14:gsLst>
                <w14:gs w14:pos="0">
                  <w14:srgbClr w14:val="012D86"/>
                </w14:gs>
                <w14:gs w14:pos="100000">
                  <w14:srgbClr w14:val="0E2557"/>
                </w14:gs>
              </w14:gsLst>
              <w14:lin w14:ang="0" w14:scaled="0"/>
            </w14:gradFill>
          </w14:textFill>
        </w:rPr>
        <w:t>分析特种设备安全形势，强化事故理念，避免发生安全生产事故，通过“五九”规划的实施大力提升检验能力，同时配合监察机构对企业超期未检行为进行治理。运用信息化平台，及时上传相关数据，同时做好检验记录和检验报告，将守安全底线认识到位，避免重大安全事故发生，并</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为加快推进内蒙古特种设备监测水平和能力进行了长期规划。</w:t>
      </w:r>
    </w:p>
    <w:p>
      <w:pPr>
        <w:spacing w:line="600" w:lineRule="exact"/>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但相关保障制度的出台同项目实施相比显得相对滞后，特种设备监管安全保障体系以及监管责任落实的长效机制尚未全面建成。</w:t>
      </w:r>
    </w:p>
    <w:p>
      <w:pPr>
        <w:spacing w:line="560" w:lineRule="exact"/>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信息化建设方面，从全院统筹管理方面，信息化建设有待加强。主要从全院管理的布局角度，下一步总院管理各分院，须通过信息化手段，实行线上审批、指导和监督，实时动态</w:t>
      </w:r>
      <w:r>
        <w:rPr>
          <w:rFonts w:hint="eastAsia" w:ascii="方正仿宋_GB2312" w:hAnsi="方正仿宋_GB2312" w:eastAsia="方正仿宋_GB2312" w:cs="方正仿宋_GB2312"/>
          <w:color w:val="1A1A1A"/>
          <w:sz w:val="32"/>
          <w:szCs w:val="32"/>
          <w:shd w:val="clear" w:color="auto" w:fill="FFFFFF"/>
          <w14:textFill>
            <w14:gradFill>
              <w14:gsLst>
                <w14:gs w14:pos="0">
                  <w14:srgbClr w14:val="012D86"/>
                </w14:gs>
                <w14:gs w14:pos="100000">
                  <w14:srgbClr w14:val="0E2557"/>
                </w14:gs>
              </w14:gsLst>
              <w14:lin w14:ang="0" w14:scaled="0"/>
            </w14:gradFill>
          </w14:textFill>
        </w:rPr>
        <w:t>调动各分院检验检测资源，</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实现全盘一体化管理，节约沟通成本，提高效率，真正实现“五统一”管理。</w:t>
      </w:r>
    </w:p>
    <w:p>
      <w:pPr>
        <w:spacing w:line="560" w:lineRule="exact"/>
        <w:ind w:firstLine="640" w:firstLineChars="200"/>
        <w:rPr>
          <w:rFonts w:ascii="方正仿宋_GB2312" w:hAnsi="方正仿宋_GB2312" w:eastAsia="方正仿宋_GB2312" w:cs="方正仿宋_GB2312"/>
          <w:color w:val="1A1A1A"/>
          <w:sz w:val="32"/>
          <w:szCs w:val="32"/>
          <w:shd w:val="clear" w:color="auto" w:fill="FFFFFF"/>
          <w14:textFill>
            <w14:gradFill>
              <w14:gsLst>
                <w14:gs w14:pos="0">
                  <w14:srgbClr w14:val="012D86"/>
                </w14:gs>
                <w14:gs w14:pos="100000">
                  <w14:srgbClr w14:val="0E2557"/>
                </w14:gs>
              </w14:gsLst>
              <w14:lin w14:ang="0" w14:scaled="0"/>
            </w14:gradFill>
          </w14:textFill>
        </w:rPr>
      </w:pP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另外，“内蒙古自治区检验研究院”官网信息平台建设方面有待进一步完善。比如平台的“客户专区”、</w:t>
      </w:r>
      <w:r>
        <w:rPr>
          <w:rFonts w:hint="eastAsia" w:ascii="方正仿宋_GB2312" w:hAnsi="方正仿宋_GB2312" w:eastAsia="方正仿宋_GB2312" w:cs="方正仿宋_GB2312"/>
          <w:color w:val="1A1A1A"/>
          <w:sz w:val="32"/>
          <w:szCs w:val="32"/>
          <w:shd w:val="clear" w:color="auto" w:fill="FFFFFF"/>
          <w14:textFill>
            <w14:gradFill>
              <w14:gsLst>
                <w14:gs w14:pos="0">
                  <w14:srgbClr w14:val="012D86"/>
                </w14:gs>
                <w14:gs w14:pos="100000">
                  <w14:srgbClr w14:val="0E2557"/>
                </w14:gs>
              </w14:gsLst>
              <w14:lin w14:ang="0" w14:scaled="0"/>
            </w14:gradFill>
          </w14:textFill>
        </w:rPr>
        <w:t>“预决算公开”等</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公开</w:t>
      </w:r>
      <w:r>
        <w:rPr>
          <w:rFonts w:hint="eastAsia" w:ascii="方正仿宋_GB2312" w:hAnsi="方正仿宋_GB2312" w:eastAsia="方正仿宋_GB2312" w:cs="方正仿宋_GB2312"/>
          <w:color w:val="1A1A1A"/>
          <w:sz w:val="32"/>
          <w:szCs w:val="32"/>
          <w:shd w:val="clear" w:color="auto" w:fill="FFFFFF"/>
          <w14:textFill>
            <w14:gradFill>
              <w14:gsLst>
                <w14:gs w14:pos="0">
                  <w14:srgbClr w14:val="012D86"/>
                </w14:gs>
                <w14:gs w14:pos="100000">
                  <w14:srgbClr w14:val="0E2557"/>
                </w14:gs>
              </w14:gsLst>
              <w14:lin w14:ang="0" w14:scaled="0"/>
            </w14:gradFill>
          </w14:textFill>
        </w:rPr>
        <w:t>信息化均不完备。下一步应完善相关信息化平台服务及建设，及时上传相关数据，履行好政府公共服务职能。</w:t>
      </w:r>
    </w:p>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90" w:name="_Toc28632"/>
      <w:bookmarkStart w:id="91" w:name="_Toc29423"/>
      <w:bookmarkStart w:id="92" w:name="_Toc9851"/>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按照评分标准，扣减分值</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分，应得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7</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分，实得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5</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w:t>
      </w:r>
      <w:bookmarkEnd w:id="90"/>
      <w:bookmarkEnd w:id="91"/>
      <w:bookmarkEnd w:id="92"/>
    </w:p>
    <w:p>
      <w:pPr>
        <w:spacing w:line="600" w:lineRule="exact"/>
        <w:ind w:firstLine="640" w:firstLineChars="200"/>
        <w:outlineLvl w:val="2"/>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bookmarkStart w:id="93" w:name="_Toc30034"/>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5.客户满意度</w:t>
      </w:r>
      <w:bookmarkEnd w:id="93"/>
    </w:p>
    <w:p>
      <w:pPr>
        <w:spacing w:line="600" w:lineRule="exact"/>
        <w:ind w:firstLine="640" w:firstLineChars="200"/>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取得针对全区客户的满意度</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调查</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问卷258份，回访相关</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服务对象</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52家</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满意以上的达100%，其中</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非常</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满意</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的89</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，满意的11%</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未发现客户投诉，</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营造</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了检测市场</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良好的营商环境</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w:t>
      </w:r>
    </w:p>
    <w:tbl>
      <w:tblPr>
        <w:tblStyle w:val="12"/>
        <w:tblW w:w="8472" w:type="dxa"/>
        <w:tblInd w:w="96" w:type="dxa"/>
        <w:tblLayout w:type="autofit"/>
        <w:tblCellMar>
          <w:top w:w="0" w:type="dxa"/>
          <w:left w:w="108" w:type="dxa"/>
          <w:bottom w:w="0" w:type="dxa"/>
          <w:right w:w="108" w:type="dxa"/>
        </w:tblCellMar>
      </w:tblPr>
      <w:tblGrid>
        <w:gridCol w:w="435"/>
        <w:gridCol w:w="2497"/>
        <w:gridCol w:w="1025"/>
        <w:gridCol w:w="634"/>
        <w:gridCol w:w="631"/>
        <w:gridCol w:w="535"/>
        <w:gridCol w:w="1025"/>
        <w:gridCol w:w="436"/>
        <w:gridCol w:w="828"/>
        <w:gridCol w:w="435"/>
      </w:tblGrid>
      <w:tr>
        <w:tblPrEx>
          <w:tblCellMar>
            <w:top w:w="0" w:type="dxa"/>
            <w:left w:w="108" w:type="dxa"/>
            <w:bottom w:w="0" w:type="dxa"/>
            <w:right w:w="108" w:type="dxa"/>
          </w:tblCellMar>
        </w:tblPrEx>
        <w:trPr>
          <w:trHeight w:val="348" w:hRule="atLeast"/>
        </w:trPr>
        <w:tc>
          <w:tcPr>
            <w:tcW w:w="8481" w:type="dxa"/>
            <w:gridSpan w:val="10"/>
            <w:tcBorders>
              <w:top w:val="nil"/>
              <w:left w:val="nil"/>
              <w:bottom w:val="nil"/>
              <w:right w:val="nil"/>
            </w:tcBorders>
            <w:shd w:val="clear" w:color="auto" w:fill="auto"/>
            <w:noWrap/>
            <w:vAlign w:val="center"/>
          </w:tcPr>
          <w:p>
            <w:pPr>
              <w:widowControl/>
              <w:jc w:val="center"/>
              <w:textAlignment w:val="center"/>
              <w:rPr>
                <w:rFonts w:ascii="宋体" w:hAnsi="宋体" w:eastAsia="宋体" w:cs="宋体"/>
                <w:b/>
                <w:bCs/>
                <w:color w:val="000000"/>
                <w:sz w:val="28"/>
                <w:szCs w:val="2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28"/>
                <w:szCs w:val="28"/>
                <w:lang w:bidi="ar"/>
                <w14:textFill>
                  <w14:gradFill>
                    <w14:gsLst>
                      <w14:gs w14:pos="0">
                        <w14:srgbClr w14:val="012D86"/>
                      </w14:gs>
                      <w14:gs w14:pos="100000">
                        <w14:srgbClr w14:val="0E2557"/>
                      </w14:gs>
                    </w14:gsLst>
                    <w14:lin w14:ang="0" w14:scaled="0"/>
                  </w14:gradFill>
                </w14:textFill>
              </w:rPr>
              <w:t>满意度调查统计</w:t>
            </w:r>
          </w:p>
        </w:tc>
      </w:tr>
      <w:tr>
        <w:tblPrEx>
          <w:tblCellMar>
            <w:top w:w="0" w:type="dxa"/>
            <w:left w:w="108" w:type="dxa"/>
            <w:bottom w:w="0" w:type="dxa"/>
            <w:right w:w="108" w:type="dxa"/>
          </w:tblCellMar>
        </w:tblPrEx>
        <w:trPr>
          <w:trHeight w:val="540" w:hRule="atLeast"/>
        </w:trPr>
        <w:tc>
          <w:tcPr>
            <w:tcW w:w="252"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序号</w:t>
            </w:r>
          </w:p>
        </w:tc>
        <w:tc>
          <w:tcPr>
            <w:tcW w:w="2364" w:type="dxa"/>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事项</w:t>
            </w:r>
          </w:p>
        </w:tc>
        <w:tc>
          <w:tcPr>
            <w:tcW w:w="5865" w:type="dxa"/>
            <w:gridSpan w:val="8"/>
            <w:tcBorders>
              <w:top w:val="single" w:color="00B050" w:sz="4" w:space="0"/>
              <w:left w:val="single" w:color="00B050" w:sz="4" w:space="0"/>
              <w:bottom w:val="single" w:color="00B050" w:sz="4" w:space="0"/>
              <w:right w:val="single" w:color="00B050" w:sz="4" w:space="0"/>
            </w:tcBorders>
            <w:shd w:val="clear" w:color="auto" w:fill="auto"/>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满意度</w:t>
            </w:r>
          </w:p>
        </w:tc>
      </w:tr>
      <w:tr>
        <w:tblPrEx>
          <w:tblCellMar>
            <w:top w:w="0" w:type="dxa"/>
            <w:left w:w="108" w:type="dxa"/>
            <w:bottom w:w="0" w:type="dxa"/>
            <w:right w:w="108" w:type="dxa"/>
          </w:tblCellMar>
        </w:tblPrEx>
        <w:trPr>
          <w:trHeight w:val="288"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1</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检验报告的质量水平</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非常满意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200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25</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基本满意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不满意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检验报告的及时性</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非常满意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198</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tcPr>
          <w:p>
            <w:pPr>
              <w:widowControl/>
              <w:jc w:val="center"/>
              <w:textAlignment w:val="top"/>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27</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基本满意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不满意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3</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检验报告内容的准确性</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非常满意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200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25</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基本满意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不满意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4</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检验人员的专业技术水平</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非常满意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199</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tcPr>
          <w:p>
            <w:pPr>
              <w:widowControl/>
              <w:jc w:val="center"/>
              <w:textAlignment w:val="top"/>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26</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基本满意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不满意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5</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检验人员的服务态度</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非常满意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199</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26</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基本满意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不满意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6</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检验人员的廉洁自律水平</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非常满意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200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tcPr>
          <w:p>
            <w:pPr>
              <w:widowControl/>
              <w:jc w:val="center"/>
              <w:textAlignment w:val="top"/>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25</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基本满意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不满意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7</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检验人员的其他方面</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非常满意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198</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tcPr>
          <w:p>
            <w:pPr>
              <w:widowControl/>
              <w:jc w:val="center"/>
              <w:textAlignment w:val="top"/>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27</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基本满意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不满意</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gridSpan w:val="2"/>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合计</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1394</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181</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r>
        <w:tblPrEx>
          <w:tblCellMar>
            <w:top w:w="0" w:type="dxa"/>
            <w:left w:w="108" w:type="dxa"/>
            <w:bottom w:w="0" w:type="dxa"/>
            <w:right w:w="108" w:type="dxa"/>
          </w:tblCellMar>
        </w:tblPrEx>
        <w:trPr>
          <w:trHeight w:val="288" w:hRule="atLeast"/>
        </w:trPr>
        <w:tc>
          <w:tcPr>
            <w:tcW w:w="0" w:type="auto"/>
            <w:gridSpan w:val="2"/>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占比</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89%</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11%</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0%</w:t>
            </w: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jc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p>
        </w:tc>
        <w:tc>
          <w:tcPr>
            <w:tcW w:w="0" w:type="auto"/>
            <w:tcBorders>
              <w:top w:val="single" w:color="00B050" w:sz="4" w:space="0"/>
              <w:left w:val="single" w:color="00B050" w:sz="4" w:space="0"/>
              <w:bottom w:val="single" w:color="00B050" w:sz="4" w:space="0"/>
              <w:right w:val="single" w:color="00B050" w:sz="4" w:space="0"/>
            </w:tcBorders>
            <w:shd w:val="clear" w:color="auto" w:fill="auto"/>
            <w:noWrap/>
            <w:vAlign w:val="center"/>
          </w:tcPr>
          <w:p>
            <w:pPr>
              <w:widowControl/>
              <w:jc w:val="center"/>
              <w:textAlignment w:val="center"/>
              <w:rPr>
                <w:rFonts w:ascii="宋体" w:hAnsi="宋体" w:eastAsia="宋体" w:cs="宋体"/>
                <w:b/>
                <w:bCs/>
                <w:color w:val="000000"/>
                <w:sz w:val="18"/>
                <w:szCs w:val="18"/>
                <w14:textFill>
                  <w14:gradFill>
                    <w14:gsLst>
                      <w14:gs w14:pos="0">
                        <w14:srgbClr w14:val="012D86"/>
                      </w14:gs>
                      <w14:gs w14:pos="100000">
                        <w14:srgbClr w14:val="0E2557"/>
                      </w14:gs>
                    </w14:gsLst>
                    <w14:lin w14:ang="0" w14:scaled="0"/>
                  </w14:gradFill>
                </w14:textFill>
              </w:rPr>
            </w:pPr>
            <w:r>
              <w:rPr>
                <w:rFonts w:hint="eastAsia" w:ascii="宋体" w:hAnsi="宋体" w:eastAsia="宋体" w:cs="宋体"/>
                <w:b/>
                <w:bCs/>
                <w:color w:val="000000"/>
                <w:kern w:val="0"/>
                <w:sz w:val="18"/>
                <w:szCs w:val="18"/>
                <w:lang w:bidi="ar"/>
                <w14:textFill>
                  <w14:gradFill>
                    <w14:gsLst>
                      <w14:gs w14:pos="0">
                        <w14:srgbClr w14:val="012D86"/>
                      </w14:gs>
                      <w14:gs w14:pos="100000">
                        <w14:srgbClr w14:val="0E2557"/>
                      </w14:gs>
                    </w14:gsLst>
                    <w14:lin w14:ang="0" w14:scaled="0"/>
                  </w14:gradFill>
                </w14:textFill>
              </w:rPr>
              <w:t>0%</w:t>
            </w:r>
          </w:p>
        </w:tc>
      </w:tr>
    </w:tbl>
    <w:p>
      <w:pPr>
        <w:spacing w:line="600" w:lineRule="exact"/>
        <w:ind w:firstLine="640" w:firstLineChars="200"/>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另外</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对社会公众</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就</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进行</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电梯运行</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满意度</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进行</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调查，共计发出</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318</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份调查表，收回</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306</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份，据统计，不满意</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的</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占</w:t>
      </w:r>
      <w:r>
        <w:rPr>
          <w:rFonts w:hint="eastAsia"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0.98</w:t>
      </w:r>
      <w:r>
        <w:rPr>
          <w:rFonts w:ascii="Times New Roman" w:hAnsi="Times New Roman" w:eastAsia="方正仿宋_GB2312" w:cs="Times New Roman"/>
          <w:kern w:val="0"/>
          <w:sz w:val="32"/>
          <w:szCs w:val="32"/>
          <w14:textFill>
            <w14:gradFill>
              <w14:gsLst>
                <w14:gs w14:pos="0">
                  <w14:srgbClr w14:val="012D86"/>
                </w14:gs>
                <w14:gs w14:pos="100000">
                  <w14:srgbClr w14:val="0E2557"/>
                </w14:gs>
              </w14:gsLst>
              <w14:lin w14:ang="0" w14:scaled="0"/>
            </w14:gradFill>
          </w14:textFill>
        </w:rPr>
        <w:t>%。</w:t>
      </w:r>
    </w:p>
    <w:p>
      <w:pPr>
        <w:spacing w:line="600" w:lineRule="exact"/>
        <w:ind w:firstLine="640" w:firstLineChars="200"/>
        <w:outlineLvl w:val="2"/>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综合以上，在项目效益方面，总权重分值为30分，扣除分值</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分，实际得分</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28</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分，得分率为</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93.33</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（详见附表2）</w:t>
      </w:r>
    </w:p>
    <w:p>
      <w:pPr>
        <w:spacing w:line="600" w:lineRule="exact"/>
        <w:ind w:left="420" w:leftChars="200"/>
        <w:outlineLvl w:val="0"/>
        <w:rPr>
          <w:rFonts w:ascii="黑体" w:hAnsi="黑体" w:eastAsia="黑体" w:cs="黑体"/>
          <w:b/>
          <w:bCs/>
          <w:sz w:val="32"/>
          <w:szCs w:val="32"/>
          <w14:textFill>
            <w14:gradFill>
              <w14:gsLst>
                <w14:gs w14:pos="0">
                  <w14:srgbClr w14:val="012D86"/>
                </w14:gs>
                <w14:gs w14:pos="100000">
                  <w14:srgbClr w14:val="0E2557"/>
                </w14:gs>
              </w14:gsLst>
              <w14:lin w14:ang="0" w14:scaled="0"/>
            </w14:gradFill>
          </w14:textFill>
        </w:rPr>
      </w:pPr>
      <w:bookmarkStart w:id="94" w:name="_Toc5266"/>
      <w:bookmarkStart w:id="95" w:name="_Toc5825"/>
      <w:bookmarkStart w:id="96" w:name="_Toc30464"/>
      <w:r>
        <w:rPr>
          <w:rFonts w:hint="eastAsia" w:ascii="黑体" w:hAnsi="黑体" w:eastAsia="黑体" w:cs="黑体"/>
          <w:b/>
          <w:bCs/>
          <w:sz w:val="32"/>
          <w:szCs w:val="32"/>
          <w14:textFill>
            <w14:gradFill>
              <w14:gsLst>
                <w14:gs w14:pos="0">
                  <w14:srgbClr w14:val="012D86"/>
                </w14:gs>
                <w14:gs w14:pos="100000">
                  <w14:srgbClr w14:val="0E2557"/>
                </w14:gs>
              </w14:gsLst>
              <w14:lin w14:ang="0" w14:scaled="0"/>
            </w14:gradFill>
          </w14:textFill>
        </w:rPr>
        <w:t>五、存在的问题</w:t>
      </w:r>
      <w:bookmarkEnd w:id="94"/>
      <w:r>
        <w:rPr>
          <w:rFonts w:hint="eastAsia" w:ascii="黑体" w:hAnsi="黑体" w:eastAsia="黑体" w:cs="黑体"/>
          <w:b/>
          <w:bCs/>
          <w:sz w:val="32"/>
          <w:szCs w:val="32"/>
          <w14:textFill>
            <w14:gradFill>
              <w14:gsLst>
                <w14:gs w14:pos="0">
                  <w14:srgbClr w14:val="012D86"/>
                </w14:gs>
                <w14:gs w14:pos="100000">
                  <w14:srgbClr w14:val="0E2557"/>
                </w14:gs>
              </w14:gsLst>
              <w14:lin w14:ang="0" w14:scaled="0"/>
            </w14:gradFill>
          </w14:textFill>
        </w:rPr>
        <w:t>及改进建议</w:t>
      </w:r>
      <w:bookmarkEnd w:id="95"/>
      <w:bookmarkEnd w:id="96"/>
    </w:p>
    <w:p>
      <w:pPr>
        <w:numPr>
          <w:ilvl w:val="0"/>
          <w:numId w:val="3"/>
        </w:numPr>
        <w:spacing w:line="600" w:lineRule="exact"/>
        <w:ind w:left="420" w:leftChars="200"/>
        <w:outlineLvl w:val="1"/>
        <w:rPr>
          <w:rFonts w:ascii="楷体" w:hAnsi="楷体" w:eastAsia="楷体" w:cs="楷体"/>
          <w:sz w:val="32"/>
          <w:szCs w:val="32"/>
          <w14:textFill>
            <w14:gradFill>
              <w14:gsLst>
                <w14:gs w14:pos="0">
                  <w14:srgbClr w14:val="012D86"/>
                </w14:gs>
                <w14:gs w14:pos="100000">
                  <w14:srgbClr w14:val="0E2557"/>
                </w14:gs>
              </w14:gsLst>
              <w14:lin w14:ang="0" w14:scaled="0"/>
            </w14:gradFill>
          </w14:textFill>
        </w:rPr>
      </w:pPr>
      <w:bookmarkStart w:id="97" w:name="_Toc22090"/>
      <w:bookmarkStart w:id="98" w:name="_Toc19431"/>
      <w:r>
        <w:rPr>
          <w:rFonts w:hint="eastAsia" w:ascii="楷体" w:hAnsi="楷体" w:eastAsia="楷体" w:cs="楷体"/>
          <w:b/>
          <w:bCs/>
          <w:sz w:val="32"/>
          <w:szCs w:val="32"/>
          <w14:textFill>
            <w14:gradFill>
              <w14:gsLst>
                <w14:gs w14:pos="0">
                  <w14:srgbClr w14:val="012D86"/>
                </w14:gs>
                <w14:gs w14:pos="100000">
                  <w14:srgbClr w14:val="0E2557"/>
                </w14:gs>
              </w14:gsLst>
              <w14:lin w14:ang="0" w14:scaled="0"/>
            </w14:gradFill>
          </w14:textFill>
        </w:rPr>
        <w:t>存在的问题</w:t>
      </w:r>
      <w:bookmarkEnd w:id="97"/>
      <w:bookmarkEnd w:id="98"/>
    </w:p>
    <w:p>
      <w:pPr>
        <w:ind w:firstLine="643" w:firstLineChars="200"/>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pPr>
      <w:bookmarkStart w:id="99" w:name="_Toc18319"/>
      <w:bookmarkStart w:id="100" w:name="_Toc25179"/>
      <w:bookmarkStart w:id="101" w:name="_Toc13314"/>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1.项目立项</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未见相关</w:t>
      </w:r>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年度计划</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分析等材料</w:t>
      </w:r>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，决策依据有待进一步完善。</w:t>
      </w:r>
    </w:p>
    <w:p>
      <w:pPr>
        <w:spacing w:line="600" w:lineRule="exact"/>
        <w:ind w:firstLine="640" w:firstLineChars="200"/>
        <w:outlineLvl w:val="2"/>
        <w:rPr>
          <w:rFonts w:ascii="华文仿宋" w:hAnsi="华文仿宋" w:eastAsia="华文仿宋" w:cs="华文仿宋"/>
          <w:sz w:val="32"/>
          <w:szCs w:val="32"/>
          <w14:textFill>
            <w14:gradFill>
              <w14:gsLst>
                <w14:gs w14:pos="0">
                  <w14:srgbClr w14:val="012D86"/>
                </w14:gs>
                <w14:gs w14:pos="100000">
                  <w14:srgbClr w14:val="0E2557"/>
                </w14:gs>
              </w14:gsLst>
              <w14:lin w14:ang="0" w14:scaled="0"/>
            </w14:gradFill>
          </w14:textFill>
        </w:rPr>
      </w:pPr>
      <w:r>
        <w:rPr>
          <w:rFonts w:hint="eastAsia" w:ascii="华文仿宋" w:hAnsi="华文仿宋" w:eastAsia="华文仿宋" w:cs="华文仿宋"/>
          <w:sz w:val="32"/>
          <w:szCs w:val="32"/>
          <w14:textFill>
            <w14:gradFill>
              <w14:gsLst>
                <w14:gs w14:pos="0">
                  <w14:srgbClr w14:val="012D86"/>
                </w14:gs>
                <w14:gs w14:pos="100000">
                  <w14:srgbClr w14:val="0E2557"/>
                </w14:gs>
              </w14:gsLst>
              <w14:lin w14:ang="0" w14:scaled="0"/>
            </w14:gradFill>
          </w14:textFill>
        </w:rPr>
        <w:t>比如，全区特种设备的使用发展现状及规模、检测市场需求量、市场对技术的要求等与本单位事业发展的规划匹配以及年度计划等相关决策依据未提供。根据“内蒙古自治区人民政府办公厅关于印发《内蒙古自治区本级项目支出预算管理办法》的通知（内政办发〔2016〕136号）”</w:t>
      </w:r>
      <w:r>
        <w:rPr>
          <w:rFonts w:hint="eastAsia" w:ascii="华文仿宋" w:hAnsi="华文仿宋" w:eastAsia="华文仿宋" w:cs="华文仿宋"/>
          <w:color w:val="333333"/>
          <w:spacing w:val="7"/>
          <w:sz w:val="32"/>
          <w:szCs w:val="32"/>
          <w:shd w:val="clear" w:color="auto" w:fill="FFFFFF"/>
          <w14:textFill>
            <w14:gradFill>
              <w14:gsLst>
                <w14:gs w14:pos="0">
                  <w14:srgbClr w14:val="012D86"/>
                </w14:gs>
                <w14:gs w14:pos="100000">
                  <w14:srgbClr w14:val="0E2557"/>
                </w14:gs>
              </w14:gsLst>
              <w14:lin w14:ang="0" w14:scaled="0"/>
            </w14:gradFill>
          </w14:textFill>
        </w:rPr>
        <w:t>第五条 项目支出预算管理应当遵循的基本原则：“项目支出预算要以部门中长期发展规划和年度工作重点为依据，突出部门主要职能，结合事业发展需要合理安排……；”规定。虽然贵单位根据编委</w:t>
      </w:r>
      <w:r>
        <w:rPr>
          <w:rFonts w:hint="eastAsia" w:ascii="华文仿宋" w:hAnsi="华文仿宋" w:eastAsia="华文仿宋" w:cs="华文仿宋"/>
          <w:sz w:val="32"/>
          <w:szCs w:val="32"/>
          <w14:textFill>
            <w14:gradFill>
              <w14:gsLst>
                <w14:gs w14:pos="0">
                  <w14:srgbClr w14:val="012D86"/>
                </w14:gs>
                <w14:gs w14:pos="100000">
                  <w14:srgbClr w14:val="0E2557"/>
                </w14:gs>
              </w14:gsLst>
              <w14:lin w14:ang="0" w14:scaled="0"/>
            </w14:gradFill>
          </w14:textFill>
        </w:rPr>
        <w:t>（内机编办发〔2020〕148号）规定的按政府赋予权限履行的常规性监督检查，这是对部门整体常规性的职责安排，但作为项目支出安排，具有“专项”属性，应按项目支出预算绩效要求进行编制。</w:t>
      </w:r>
    </w:p>
    <w:p>
      <w:pPr>
        <w:spacing w:line="600" w:lineRule="exact"/>
        <w:ind w:left="420" w:leftChars="200" w:firstLine="321" w:firstLineChars="100"/>
        <w:outlineLvl w:val="2"/>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2</w:t>
      </w:r>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.总院和各分院</w:t>
      </w: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项目绩效目标申报量化、细化不足。</w:t>
      </w:r>
      <w:bookmarkEnd w:id="99"/>
      <w:bookmarkEnd w:id="100"/>
    </w:p>
    <w:p>
      <w:pPr>
        <w:spacing w:line="600" w:lineRule="exact"/>
        <w:ind w:firstLine="640" w:firstLineChars="200"/>
        <w:outlineLvl w:val="0"/>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bookmarkStart w:id="102" w:name="_Toc2357"/>
      <w:bookmarkStart w:id="103" w:name="_Toc25272"/>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比如，各单位在绩效目标中未明确项目执行人员范围，出差人员频次（人、次），检验场地、设备及技术支持的投入要素以及成本支出具体明细等均没有量化和细化、并分解，导致项目支出范围以及支出合理性缺乏界定标准，预算绩效无法有效落地。</w:t>
      </w:r>
      <w:bookmarkEnd w:id="102"/>
      <w:bookmarkEnd w:id="103"/>
    </w:p>
    <w:p>
      <w:pPr>
        <w:spacing w:line="600" w:lineRule="exact"/>
        <w:ind w:firstLine="643" w:firstLineChars="200"/>
        <w:outlineLvl w:val="2"/>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bookmarkStart w:id="104" w:name="_Toc19681"/>
      <w:bookmarkStart w:id="105" w:name="_Toc24831"/>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3</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项目支出测算依据有待进一步明确，项目支出边界需进一步厘清。</w:t>
      </w:r>
      <w:bookmarkEnd w:id="104"/>
      <w:bookmarkEnd w:id="105"/>
    </w:p>
    <w:p>
      <w:pPr>
        <w:spacing w:line="600" w:lineRule="exact"/>
        <w:ind w:firstLine="641"/>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106" w:name="_Toc30880"/>
      <w:bookmarkStart w:id="107" w:name="_Toc26970"/>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比如，项目检测工作量的</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统计数据中，</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总院及大部分分院</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只有针对检测单位和出具检测报告的数据，没有针对检测量的统计数量，而绩效目标中以检测量作为目标考核依据</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，绩效目标设定与项目实施工作量无法对应</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w:t>
      </w:r>
      <w:bookmarkEnd w:id="106"/>
      <w:bookmarkEnd w:id="107"/>
    </w:p>
    <w:p>
      <w:pPr>
        <w:pStyle w:val="11"/>
        <w:widowControl/>
        <w:spacing w:line="420" w:lineRule="atLeast"/>
        <w:ind w:firstLine="640" w:firstLineChars="200"/>
        <w:jc w:val="both"/>
        <w:rPr>
          <w:rFonts w:ascii="Times New Roman" w:hAnsi="Times New Roman" w:eastAsia="方正仿宋_GB2312"/>
          <w:color w:val="333333"/>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olor w:val="333333"/>
          <w:sz w:val="32"/>
          <w:szCs w:val="32"/>
          <w14:textFill>
            <w14:gradFill>
              <w14:gsLst>
                <w14:gs w14:pos="0">
                  <w14:srgbClr w14:val="012D86"/>
                </w14:gs>
                <w14:gs w14:pos="100000">
                  <w14:srgbClr w14:val="0E2557"/>
                </w14:gs>
              </w14:gsLst>
              <w14:lin w14:ang="0" w14:scaled="0"/>
            </w14:gradFill>
          </w14:textFill>
        </w:rPr>
        <w:t>（2）</w:t>
      </w:r>
      <w:r>
        <w:rPr>
          <w:rFonts w:hint="eastAsia" w:ascii="Times New Roman" w:hAnsi="Times New Roman" w:eastAsia="方正仿宋_GB2312"/>
          <w:color w:val="333333"/>
          <w:sz w:val="32"/>
          <w:szCs w:val="32"/>
          <w14:textFill>
            <w14:gradFill>
              <w14:gsLst>
                <w14:gs w14:pos="0">
                  <w14:srgbClr w14:val="012D86"/>
                </w14:gs>
                <w14:gs w14:pos="100000">
                  <w14:srgbClr w14:val="0E2557"/>
                </w14:gs>
              </w14:gsLst>
              <w14:lin w14:ang="0" w14:scaled="0"/>
            </w14:gradFill>
          </w14:textFill>
        </w:rPr>
        <w:t>总院</w:t>
      </w:r>
      <w:r>
        <w:rPr>
          <w:rFonts w:ascii="Times New Roman" w:hAnsi="Times New Roman" w:eastAsia="方正仿宋_GB2312"/>
          <w:color w:val="333333"/>
          <w:sz w:val="32"/>
          <w:szCs w:val="32"/>
          <w14:textFill>
            <w14:gradFill>
              <w14:gsLst>
                <w14:gs w14:pos="0">
                  <w14:srgbClr w14:val="012D86"/>
                </w14:gs>
                <w14:gs w14:pos="100000">
                  <w14:srgbClr w14:val="0E2557"/>
                </w14:gs>
              </w14:gsLst>
              <w14:lin w14:ang="0" w14:scaled="0"/>
            </w14:gradFill>
          </w14:textFill>
        </w:rPr>
        <w:t>项目支出中人员经费据了解均为长期聘用人员，但实际项目支出明细中有在编人员工资福利费，核算边界不清。</w:t>
      </w:r>
    </w:p>
    <w:p>
      <w:pPr>
        <w:pStyle w:val="11"/>
        <w:widowControl/>
        <w:spacing w:line="420" w:lineRule="atLeast"/>
        <w:ind w:firstLine="640" w:firstLineChars="200"/>
        <w:jc w:val="both"/>
        <w:rPr>
          <w:rFonts w:ascii="Times New Roman" w:hAnsi="Times New Roman" w:eastAsia="方正仿宋_GB2312"/>
          <w:color w:val="333333"/>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olor w:val="333333"/>
          <w:sz w:val="32"/>
          <w:szCs w:val="32"/>
          <w14:textFill>
            <w14:gradFill>
              <w14:gsLst>
                <w14:gs w14:pos="0">
                  <w14:srgbClr w14:val="012D86"/>
                </w14:gs>
                <w14:gs w14:pos="100000">
                  <w14:srgbClr w14:val="0E2557"/>
                </w14:gs>
              </w14:gsLst>
              <w14:lin w14:ang="0" w14:scaled="0"/>
            </w14:gradFill>
          </w14:textFill>
        </w:rPr>
        <w:t>比如，抽查凭证记2022-6-0395#凭证记载在编人员2022年1至6月份预发的绩效工资在本项目内列支（补发在职绩效工资）共计238,004.29元；</w:t>
      </w:r>
      <w:r>
        <w:rPr>
          <w:rFonts w:hint="eastAsia" w:ascii="Times New Roman" w:hAnsi="Times New Roman" w:eastAsia="方正仿宋_GB2312"/>
          <w:color w:val="333333"/>
          <w:sz w:val="32"/>
          <w:szCs w:val="32"/>
          <w14:textFill>
            <w14:gradFill>
              <w14:gsLst>
                <w14:gs w14:pos="0">
                  <w14:srgbClr w14:val="012D86"/>
                </w14:gs>
                <w14:gs w14:pos="100000">
                  <w14:srgbClr w14:val="0E2557"/>
                </w14:gs>
              </w14:gsLst>
              <w14:lin w14:ang="0" w14:scaled="0"/>
            </w14:gradFill>
          </w14:textFill>
        </w:rPr>
        <w:t>比如：包头分院在该项目中列支退休人员工资400,000元。</w:t>
      </w:r>
    </w:p>
    <w:p>
      <w:pPr>
        <w:spacing w:line="600" w:lineRule="exact"/>
        <w:ind w:firstLine="643" w:firstLineChars="200"/>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4.非税和经营性检测业务未能严格区分。</w:t>
      </w:r>
    </w:p>
    <w:p>
      <w:pPr>
        <w:spacing w:line="600" w:lineRule="exact"/>
        <w:ind w:firstLine="640" w:firstLineChars="20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全院检测任务在统计核算过程中未严格区分非税业务和经营性业务，导致核算边界不清，无法明确鉴定。</w:t>
      </w:r>
    </w:p>
    <w:p>
      <w:pPr>
        <w:widowControl/>
        <w:spacing w:line="600" w:lineRule="exact"/>
        <w:ind w:firstLine="643" w:firstLineChars="200"/>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5</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项目建设内控管理制度尚不健全，项目管理长效机制及保障体系有待完善。</w:t>
      </w:r>
    </w:p>
    <w:p>
      <w:pPr>
        <w:widowControl/>
        <w:spacing w:line="600" w:lineRule="exact"/>
        <w:ind w:firstLine="640" w:firstLineChars="200"/>
        <w:rPr>
          <w:rFonts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据了解内蒙古特检院内控管理制度尚未健全，2022年度完成“质量控制手册”、“关于财务业务办理流程的有关通知”等制度，未见其他财务、业务、资产管理、项目管理及各类相关方面的内控管理制度，项目运营、成本控制等缺乏</w:t>
      </w:r>
      <w:r>
        <w:rPr>
          <w:rFonts w:hint="eastAsia" w:ascii="方正仿宋_GB2312" w:hAnsi="方正仿宋_GB2312" w:eastAsia="方正仿宋_GB2312" w:cs="方正仿宋_GB2312"/>
          <w:sz w:val="32"/>
          <w:szCs w:val="32"/>
          <w14:textFill>
            <w14:gradFill>
              <w14:gsLst>
                <w14:gs w14:pos="0">
                  <w14:srgbClr w14:val="012D86"/>
                </w14:gs>
                <w14:gs w14:pos="100000">
                  <w14:srgbClr w14:val="0E2557"/>
                </w14:gs>
              </w14:gsLst>
              <w14:lin w14:ang="0" w14:scaled="0"/>
            </w14:gradFill>
          </w14:textFill>
        </w:rPr>
        <w:t>制度保障。也未见建立对重大风险识别、预防和应对机制；项目管理长效机制及保障体系有待建立健全。</w:t>
      </w:r>
    </w:p>
    <w:p>
      <w:pPr>
        <w:widowControl/>
        <w:spacing w:line="600" w:lineRule="exact"/>
        <w:ind w:firstLine="643" w:firstLineChars="200"/>
        <w:rPr>
          <w:rFonts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6</w:t>
      </w:r>
      <w:r>
        <w:rPr>
          <w:rFonts w:ascii="Times New Roman" w:hAnsi="Times New Roman" w:eastAsia="方正仿宋_GB2312" w:cs="Times New Roman"/>
          <w:b/>
          <w:bCs/>
          <w:sz w:val="32"/>
          <w:szCs w:val="32"/>
          <w14:textFill>
            <w14:gradFill>
              <w14:gsLst>
                <w14:gs w14:pos="0">
                  <w14:srgbClr w14:val="012D86"/>
                </w14:gs>
                <w14:gs w14:pos="100000">
                  <w14:srgbClr w14:val="0E2557"/>
                </w14:gs>
              </w14:gsLst>
              <w14:lin w14:ang="0" w14:scaled="0"/>
            </w14:gradFill>
          </w14:textFill>
        </w:rPr>
        <w:t>.</w:t>
      </w:r>
      <w:r>
        <w:rPr>
          <w:rFonts w:hint="eastAsia" w:ascii="方正仿宋_GB2312" w:hAnsi="方正仿宋_GB2312" w:eastAsia="方正仿宋_GB2312" w:cs="方正仿宋_GB2312"/>
          <w:b/>
          <w:bCs/>
          <w:sz w:val="32"/>
          <w:szCs w:val="32"/>
          <w14:textFill>
            <w14:gradFill>
              <w14:gsLst>
                <w14:gs w14:pos="0">
                  <w14:srgbClr w14:val="012D86"/>
                </w14:gs>
                <w14:gs w14:pos="100000">
                  <w14:srgbClr w14:val="0E2557"/>
                </w14:gs>
              </w14:gsLst>
              <w14:lin w14:ang="0" w14:scaled="0"/>
            </w14:gradFill>
          </w14:textFill>
        </w:rPr>
        <w:t>项目绩效自评工作不完善。</w:t>
      </w:r>
    </w:p>
    <w:p>
      <w:pPr>
        <w:spacing w:line="600" w:lineRule="exact"/>
        <w:ind w:firstLine="643" w:firstLineChars="200"/>
        <w:outlineLvl w:val="1"/>
        <w:rPr>
          <w:rFonts w:ascii="黑体" w:hAnsi="黑体" w:eastAsia="黑体" w:cs="黑体"/>
          <w:b/>
          <w:bCs/>
          <w:sz w:val="32"/>
          <w:szCs w:val="32"/>
          <w14:textFill>
            <w14:gradFill>
              <w14:gsLst>
                <w14:gs w14:pos="0">
                  <w14:srgbClr w14:val="012D86"/>
                </w14:gs>
                <w14:gs w14:pos="100000">
                  <w14:srgbClr w14:val="0E2557"/>
                </w14:gs>
              </w14:gsLst>
              <w14:lin w14:ang="0" w14:scaled="0"/>
            </w14:gradFill>
          </w14:textFill>
        </w:rPr>
      </w:pPr>
      <w:bookmarkStart w:id="108" w:name="_Toc27913"/>
      <w:bookmarkStart w:id="109" w:name="_Toc13621"/>
      <w:r>
        <w:rPr>
          <w:rFonts w:hint="eastAsia" w:ascii="黑体" w:hAnsi="黑体" w:eastAsia="黑体" w:cs="黑体"/>
          <w:b/>
          <w:bCs/>
          <w:sz w:val="32"/>
          <w:szCs w:val="32"/>
          <w14:textFill>
            <w14:gradFill>
              <w14:gsLst>
                <w14:gs w14:pos="0">
                  <w14:srgbClr w14:val="012D86"/>
                </w14:gs>
                <w14:gs w14:pos="100000">
                  <w14:srgbClr w14:val="0E2557"/>
                </w14:gs>
              </w14:gsLst>
              <w14:lin w14:ang="0" w14:scaled="0"/>
            </w14:gradFill>
          </w14:textFill>
        </w:rPr>
        <w:t>（二）改进建议</w:t>
      </w:r>
      <w:bookmarkEnd w:id="101"/>
      <w:bookmarkEnd w:id="108"/>
      <w:bookmarkEnd w:id="109"/>
    </w:p>
    <w:p>
      <w:pPr>
        <w:ind w:firstLine="640" w:firstLineChars="200"/>
        <w:rPr>
          <w:rFonts w:ascii="华文仿宋" w:hAnsi="华文仿宋" w:eastAsia="华文仿宋" w:cs="华文仿宋"/>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全院</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应当根据国家和自治区</w:t>
      </w: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对</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行业调控总体要求</w:t>
      </w: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以及</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本单位的职能和事业发展目标，从决策层面建立项目总体支出预算绩效理念，立足全区，做好总体绩效目标统筹规划，并根据各分院及所属地区区位特点进行一体化部署</w:t>
      </w:r>
      <w:r>
        <w:rPr>
          <w:rFonts w:hint="eastAsia" w:ascii="华文仿宋" w:hAnsi="华文仿宋" w:eastAsia="华文仿宋" w:cs="华文仿宋"/>
          <w:sz w:val="32"/>
          <w:szCs w:val="32"/>
          <w14:textFill>
            <w14:gradFill>
              <w14:gsLst>
                <w14:gs w14:pos="0">
                  <w14:srgbClr w14:val="012D86"/>
                </w14:gs>
                <w14:gs w14:pos="100000">
                  <w14:srgbClr w14:val="0E2557"/>
                </w14:gs>
              </w14:gsLst>
              <w14:lin w14:ang="0" w14:scaled="0"/>
            </w14:gradFill>
          </w14:textFill>
        </w:rPr>
        <w:t>；</w:t>
      </w:r>
      <w:r>
        <w:rPr>
          <w:rFonts w:hint="eastAsia" w:ascii="华文仿宋" w:hAnsi="华文仿宋" w:eastAsia="华文仿宋" w:cs="华文仿宋"/>
          <w:color w:val="333333"/>
          <w:spacing w:val="7"/>
          <w:sz w:val="32"/>
          <w:szCs w:val="32"/>
          <w:shd w:val="clear" w:color="auto" w:fill="FFFFFF"/>
          <w14:textFill>
            <w14:gradFill>
              <w14:gsLst>
                <w14:gs w14:pos="0">
                  <w14:srgbClr w14:val="012D86"/>
                </w14:gs>
                <w14:gs w14:pos="100000">
                  <w14:srgbClr w14:val="0E2557"/>
                </w14:gs>
              </w14:gsLst>
              <w14:lin w14:ang="0" w14:scaled="0"/>
            </w14:gradFill>
          </w14:textFill>
        </w:rPr>
        <w:t>做好部门规划与三年滚动规划的衔接，强化部门三年滚动规划对年度预算的约束</w:t>
      </w:r>
      <w:r>
        <w:rPr>
          <w:rFonts w:hint="eastAsia" w:ascii="华文仿宋" w:hAnsi="华文仿宋" w:eastAsia="华文仿宋" w:cs="华文仿宋"/>
          <w:sz w:val="32"/>
          <w:szCs w:val="32"/>
          <w14:textFill>
            <w14:gradFill>
              <w14:gsLst>
                <w14:gs w14:pos="0">
                  <w14:srgbClr w14:val="012D86"/>
                </w14:gs>
                <w14:gs w14:pos="100000">
                  <w14:srgbClr w14:val="0E2557"/>
                </w14:gs>
              </w14:gsLst>
              <w14:lin w14:ang="0" w14:scaled="0"/>
            </w14:gradFill>
          </w14:textFill>
        </w:rPr>
        <w:t>。</w:t>
      </w:r>
    </w:p>
    <w:p>
      <w:pPr>
        <w:pStyle w:val="11"/>
        <w:widowControl/>
        <w:spacing w:line="468" w:lineRule="atLeast"/>
        <w:ind w:firstLine="516"/>
        <w:jc w:val="both"/>
        <w:rPr>
          <w:rFonts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pPr>
      <w:r>
        <w:rPr>
          <w:rFonts w:hint="eastAsia" w:ascii="华文仿宋" w:hAnsi="华文仿宋" w:eastAsia="华文仿宋" w:cs="华文仿宋"/>
          <w:sz w:val="32"/>
          <w:szCs w:val="32"/>
          <w14:textFill>
            <w14:gradFill>
              <w14:gsLst>
                <w14:gs w14:pos="0">
                  <w14:srgbClr w14:val="012D86"/>
                </w14:gs>
                <w14:gs w14:pos="100000">
                  <w14:srgbClr w14:val="0E2557"/>
                </w14:gs>
              </w14:gsLst>
              <w14:lin w14:ang="0" w14:scaled="0"/>
            </w14:gradFill>
          </w14:textFill>
        </w:rPr>
        <w:t>同时，操作层面编制预算时应进行统一辅导和监管各分</w:t>
      </w:r>
      <w:r>
        <w:rPr>
          <w:rFonts w:hint="eastAsia"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院规范绩效目标设定，统一支出口径，规范预算执行。</w:t>
      </w:r>
    </w:p>
    <w:p>
      <w:pPr>
        <w:spacing w:line="600" w:lineRule="exact"/>
        <w:ind w:firstLine="640" w:firstLineChars="200"/>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项目支出绩效目标设定要细化量化，</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并具有可测量性。</w:t>
      </w:r>
    </w:p>
    <w:p>
      <w:pPr>
        <w:spacing w:line="600" w:lineRule="exact"/>
        <w:ind w:firstLine="640" w:firstLineChars="200"/>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预算绩效应</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明确项目</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人力资源配置</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、支出范围、差旅频次（人、次）、购置设备计划、资本投入计划等</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成本</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测算依据以及其他支出定量指标，确保绩效目标</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指向明确、细化量化、合理可行、相应匹配。并严格</w:t>
      </w: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按</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规定的开支范围</w:t>
      </w: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开支标准</w:t>
      </w: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执行</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w:t>
      </w:r>
    </w:p>
    <w:p>
      <w:pPr>
        <w:spacing w:line="600" w:lineRule="exact"/>
        <w:ind w:firstLine="640" w:firstLineChars="200"/>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3.进一步区分非税收支和经营性收支，理顺</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价费核算机制，严格按照《政府会计准则》相关规定，进行核算管理。</w:t>
      </w:r>
    </w:p>
    <w:p>
      <w:pPr>
        <w:widowControl/>
        <w:spacing w:line="600" w:lineRule="exact"/>
        <w:ind w:firstLine="640" w:firstLineChars="200"/>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pP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4</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.建立项目支出预算绩效管理</w:t>
      </w: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制度保障</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形成项目实施方案，完善</w:t>
      </w:r>
      <w:r>
        <w:rPr>
          <w:rFonts w:ascii="Times New Roman" w:hAnsi="Times New Roman" w:eastAsia="方正仿宋_GB2312" w:cs="Times New Roman"/>
          <w:color w:val="333333"/>
          <w:sz w:val="32"/>
          <w:szCs w:val="32"/>
          <w:shd w:val="clear" w:color="auto" w:fill="FFFFFF"/>
          <w14:textFill>
            <w14:gradFill>
              <w14:gsLst>
                <w14:gs w14:pos="0">
                  <w14:srgbClr w14:val="012D86"/>
                </w14:gs>
                <w14:gs w14:pos="100000">
                  <w14:srgbClr w14:val="0E2557"/>
                </w14:gs>
              </w14:gsLst>
              <w14:lin w14:ang="0" w14:scaled="0"/>
            </w14:gradFill>
          </w14:textFill>
        </w:rPr>
        <w:t>项目绩效自评机制，强化绩效评价结果刚性约束。</w:t>
      </w:r>
    </w:p>
    <w:p>
      <w:pPr>
        <w:spacing w:line="600" w:lineRule="exact"/>
        <w:ind w:firstLine="640" w:firstLineChars="200"/>
        <w:outlineLvl w:val="0"/>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bookmarkStart w:id="110" w:name="_Toc5053"/>
      <w:bookmarkStart w:id="111" w:name="_Toc22746"/>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5</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.尽快建立健全内部控制管理制度、流程，明确岗</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责</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，并层层分解到人，形成特种设备监管责任落实到位的长效机制。</w:t>
      </w:r>
      <w:bookmarkEnd w:id="110"/>
      <w:bookmarkEnd w:id="111"/>
    </w:p>
    <w:p>
      <w:pPr>
        <w:pStyle w:val="11"/>
        <w:widowControl/>
        <w:spacing w:line="468" w:lineRule="atLeast"/>
        <w:ind w:firstLine="516"/>
        <w:jc w:val="both"/>
        <w:rPr>
          <w:rFonts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pPr>
      <w:bookmarkStart w:id="112" w:name="_Toc7998"/>
      <w:bookmarkStart w:id="113" w:name="_Toc27193"/>
      <w:r>
        <w:rPr>
          <w:rFonts w:hint="eastAsia"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6</w:t>
      </w:r>
      <w:r>
        <w:rPr>
          <w:rFonts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w:t>
      </w:r>
      <w:r>
        <w:rPr>
          <w:rFonts w:hint="eastAsia"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全院应</w:t>
      </w:r>
      <w:r>
        <w:rPr>
          <w:rFonts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加强市场化的专业人才队伍建设，提升信息化</w:t>
      </w:r>
      <w:r>
        <w:rPr>
          <w:rFonts w:hint="eastAsia"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管理</w:t>
      </w:r>
      <w:r>
        <w:rPr>
          <w:rFonts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水平，</w:t>
      </w: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利用在线平台实现统一监管和信息共享，</w:t>
      </w:r>
      <w:r>
        <w:rPr>
          <w:rFonts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完善特种设备监管安全保障体系，</w:t>
      </w:r>
      <w:r>
        <w:rPr>
          <w:rFonts w:hint="eastAsia" w:ascii="方正仿宋_GB2312" w:hAnsi="方正仿宋_GB2312" w:eastAsia="方正仿宋_GB2312" w:cs="方正仿宋_GB2312"/>
          <w:color w:val="002060"/>
          <w:sz w:val="32"/>
          <w:szCs w:val="32"/>
          <w14:textFill>
            <w14:gradFill>
              <w14:gsLst>
                <w14:gs w14:pos="0">
                  <w14:srgbClr w14:val="012D86"/>
                </w14:gs>
                <w14:gs w14:pos="100000">
                  <w14:srgbClr w14:val="0E2557"/>
                </w14:gs>
              </w14:gsLst>
              <w14:lin w14:ang="0" w14:scaled="0"/>
            </w14:gradFill>
          </w14:textFill>
        </w:rPr>
        <w:t>提高特种设备安全性能和风险管理水平，促进特种设备节能降耗，增强事故防范和应急救援能力，</w:t>
      </w:r>
      <w:r>
        <w:rPr>
          <w:rFonts w:ascii="Times New Roman" w:hAnsi="Times New Roman" w:eastAsia="方正仿宋_GB2312"/>
          <w:sz w:val="32"/>
          <w:szCs w:val="32"/>
          <w14:textFill>
            <w14:gradFill>
              <w14:gsLst>
                <w14:gs w14:pos="0">
                  <w14:srgbClr w14:val="012D86"/>
                </w14:gs>
                <w14:gs w14:pos="100000">
                  <w14:srgbClr w14:val="0E2557"/>
                </w14:gs>
              </w14:gsLst>
              <w14:lin w14:ang="0" w14:scaled="0"/>
            </w14:gradFill>
          </w14:textFill>
        </w:rPr>
        <w:t>有效地保障人民群众生命和财产安全，促进经济社会发展。</w:t>
      </w:r>
      <w:bookmarkEnd w:id="112"/>
      <w:bookmarkEnd w:id="113"/>
    </w:p>
    <w:p>
      <w:pPr>
        <w:widowControl/>
        <w:spacing w:line="600" w:lineRule="exact"/>
        <w:ind w:left="1918" w:leftChars="304" w:hanging="1280" w:hangingChars="400"/>
        <w:jc w:val="left"/>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附表1：总院及各分院2022年锅炉压力容器与特种设备安全监管项目绩效目标表</w:t>
      </w:r>
    </w:p>
    <w:p>
      <w:pPr>
        <w:widowControl/>
        <w:spacing w:line="600" w:lineRule="exact"/>
        <w:ind w:left="1918" w:leftChars="304" w:hanging="1280" w:hangingChars="400"/>
        <w:jc w:val="left"/>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附表2：全院2022年锅炉压力容器与特种设备监管项目支出绩效评价评分表</w:t>
      </w:r>
    </w:p>
    <w:p>
      <w:pPr>
        <w:widowControl/>
        <w:spacing w:line="600" w:lineRule="exact"/>
        <w:ind w:left="1918" w:leftChars="304" w:hanging="1280" w:hangingChars="400"/>
        <w:jc w:val="left"/>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附表3：总院及分院2022年锅炉压力容器与特种设备安全监管项目预算安排汇总</w:t>
      </w:r>
    </w:p>
    <w:p>
      <w:pPr>
        <w:widowControl/>
        <w:spacing w:line="600" w:lineRule="exact"/>
        <w:ind w:left="1918" w:leftChars="304" w:hanging="1280" w:hangingChars="400"/>
        <w:jc w:val="left"/>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附表4：总院及分院2022年锅炉压力容器与特种设备安全监管项目决算汇总</w:t>
      </w:r>
    </w:p>
    <w:p>
      <w:pPr>
        <w:widowControl/>
        <w:spacing w:line="600" w:lineRule="exact"/>
        <w:ind w:left="1918" w:leftChars="304" w:hanging="1280" w:hangingChars="400"/>
        <w:jc w:val="left"/>
        <w:rPr>
          <w:rFonts w:ascii="仿宋" w:hAnsi="仿宋" w:eastAsia="仿宋" w:cs="仿宋"/>
          <w:sz w:val="32"/>
          <w:szCs w:val="32"/>
          <w14:textFill>
            <w14:gradFill>
              <w14:gsLst>
                <w14:gs w14:pos="0">
                  <w14:srgbClr w14:val="012D86"/>
                </w14:gs>
                <w14:gs w14:pos="100000">
                  <w14:srgbClr w14:val="0E2557"/>
                </w14:gs>
              </w14:gsLst>
              <w14:lin w14:ang="0" w14:scaled="0"/>
            </w14:gradFill>
          </w14:textFill>
        </w:rPr>
      </w:pPr>
      <w:r>
        <w:rPr>
          <w:rFonts w:hint="eastAsia" w:ascii="仿宋" w:hAnsi="仿宋" w:eastAsia="仿宋" w:cs="仿宋"/>
          <w:sz w:val="32"/>
          <w:szCs w:val="32"/>
          <w14:textFill>
            <w14:gradFill>
              <w14:gsLst>
                <w14:gs w14:pos="0">
                  <w14:srgbClr w14:val="012D86"/>
                </w14:gs>
                <w14:gs w14:pos="100000">
                  <w14:srgbClr w14:val="0E2557"/>
                </w14:gs>
              </w14:gsLst>
              <w14:lin w14:ang="0" w14:scaled="0"/>
            </w14:gradFill>
          </w14:textFill>
        </w:rPr>
        <w:t>附表5：总院及分院2022年锅炉压力容器与特种设备安全监管项目满意度调查表</w:t>
      </w:r>
    </w:p>
    <w:p>
      <w:pPr>
        <w:widowControl/>
        <w:spacing w:line="600" w:lineRule="exact"/>
        <w:ind w:firstLine="640" w:firstLineChars="200"/>
        <w:jc w:val="right"/>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p>
    <w:p>
      <w:pPr>
        <w:widowControl/>
        <w:spacing w:line="600" w:lineRule="exact"/>
        <w:ind w:firstLine="640" w:firstLineChars="200"/>
        <w:jc w:val="right"/>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内蒙古岳峰会计师事务所（普通合伙）</w:t>
      </w:r>
    </w:p>
    <w:p>
      <w:pPr>
        <w:widowControl/>
        <w:spacing w:line="600" w:lineRule="exact"/>
        <w:ind w:firstLine="640" w:firstLineChars="200"/>
        <w:jc w:val="right"/>
      </w:pP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2023年</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7</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月</w:t>
      </w:r>
      <w:r>
        <w:rPr>
          <w:rFonts w:hint="eastAsia"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17</w:t>
      </w:r>
      <w:r>
        <w:rPr>
          <w:rFonts w:ascii="Times New Roman" w:hAnsi="Times New Roman" w:eastAsia="方正仿宋_GB2312" w:cs="Times New Roman"/>
          <w:sz w:val="32"/>
          <w:szCs w:val="32"/>
          <w14:textFill>
            <w14:gradFill>
              <w14:gsLst>
                <w14:gs w14:pos="0">
                  <w14:srgbClr w14:val="012D86"/>
                </w14:gs>
                <w14:gs w14:pos="100000">
                  <w14:srgbClr w14:val="0E2557"/>
                </w14:gs>
              </w14:gsLst>
              <w14:lin w14:ang="0" w14:scaled="0"/>
            </w14:gradFill>
          </w14:textFill>
        </w:rPr>
        <w:t>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F1E3028-3CCB-4F37-9D3B-0955D852E6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FBB2172-2CC3-4E04-8166-82CC3D10DDF9}"/>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roman"/>
    <w:pitch w:val="default"/>
    <w:sig w:usb0="00000001" w:usb1="080E0000" w:usb2="00000000" w:usb3="00000000" w:csb0="00040000" w:csb1="00000000"/>
    <w:embedRegular r:id="rId3" w:fontKey="{52E2366F-8450-43DD-B86C-648326590247}"/>
  </w:font>
  <w:font w:name="方正仿宋_GB2312">
    <w:altName w:val="仿宋"/>
    <w:panose1 w:val="00000000000000000000"/>
    <w:charset w:val="86"/>
    <w:family w:val="auto"/>
    <w:pitch w:val="default"/>
    <w:sig w:usb0="00000000" w:usb1="00000000" w:usb2="00000012" w:usb3="00000000" w:csb0="00040001" w:csb1="00000000"/>
    <w:embedRegular r:id="rId4" w:fontKey="{47E7657A-0182-4F57-B100-388D64133F08}"/>
  </w:font>
  <w:font w:name="仿宋">
    <w:panose1 w:val="02010609060101010101"/>
    <w:charset w:val="86"/>
    <w:family w:val="modern"/>
    <w:pitch w:val="default"/>
    <w:sig w:usb0="800002BF" w:usb1="38CF7CFA" w:usb2="00000016" w:usb3="00000000" w:csb0="00040001" w:csb1="00000000"/>
    <w:embedRegular r:id="rId5" w:fontKey="{CB5C1D03-FD36-4594-A501-F7E5E2449AFC}"/>
  </w:font>
  <w:font w:name="华文楷体">
    <w:panose1 w:val="02010600040101010101"/>
    <w:charset w:val="86"/>
    <w:family w:val="auto"/>
    <w:pitch w:val="default"/>
    <w:sig w:usb0="00000287" w:usb1="080F0000" w:usb2="00000000" w:usb3="00000000" w:csb0="0004009F" w:csb1="DFD70000"/>
    <w:embedRegular r:id="rId6" w:fontKey="{3438490C-28DD-43DA-8AFB-AC24C239ABE0}"/>
  </w:font>
  <w:font w:name="方正楷体_GB2312">
    <w:altName w:val="楷体_GB2312"/>
    <w:panose1 w:val="00000000000000000000"/>
    <w:charset w:val="86"/>
    <w:family w:val="auto"/>
    <w:pitch w:val="default"/>
    <w:sig w:usb0="00000000" w:usb1="00000000" w:usb2="00000012" w:usb3="00000000" w:csb0="00040001" w:csb1="00000000"/>
    <w:embedRegular r:id="rId7" w:fontKey="{98F6813A-4086-4302-B36A-A86B9F602516}"/>
  </w:font>
  <w:font w:name="楷体">
    <w:panose1 w:val="02010609060101010101"/>
    <w:charset w:val="86"/>
    <w:family w:val="modern"/>
    <w:pitch w:val="default"/>
    <w:sig w:usb0="800002BF" w:usb1="38CF7CFA" w:usb2="00000016" w:usb3="00000000" w:csb0="00040001" w:csb1="00000000"/>
    <w:embedRegular r:id="rId8" w:fontKey="{443BCEF6-FA21-4DB1-A25E-27D96181B1DA}"/>
  </w:font>
  <w:font w:name="仿宋_GB2312">
    <w:panose1 w:val="02010609030101010101"/>
    <w:charset w:val="86"/>
    <w:family w:val="modern"/>
    <w:pitch w:val="default"/>
    <w:sig w:usb0="00000001" w:usb1="080E0000" w:usb2="00000000" w:usb3="00000000" w:csb0="00040000" w:csb1="00000000"/>
    <w:embedRegular r:id="rId9" w:fontKey="{04F1BDA1-B073-4227-9736-9DD3AA20C636}"/>
  </w:font>
  <w:font w:name="等线">
    <w:panose1 w:val="02010600030101010101"/>
    <w:charset w:val="86"/>
    <w:family w:val="auto"/>
    <w:pitch w:val="default"/>
    <w:sig w:usb0="A00002BF" w:usb1="38CF7CFA" w:usb2="00000016" w:usb3="00000000" w:csb0="0004000F" w:csb1="00000000"/>
    <w:embedRegular r:id="rId10" w:fontKey="{B21D3330-DC92-4ED9-ADBD-DA54DCAA7FD5}"/>
  </w:font>
  <w:font w:name="华文仿宋">
    <w:panose1 w:val="02010600040101010101"/>
    <w:charset w:val="86"/>
    <w:family w:val="auto"/>
    <w:pitch w:val="default"/>
    <w:sig w:usb0="00000287" w:usb1="080F0000" w:usb2="00000000" w:usb3="00000000" w:csb0="0004009F" w:csb1="DFD70000"/>
    <w:embedRegular r:id="rId11" w:fontKey="{225AB9BE-645E-4DD9-9F32-2FEB72CA62C7}"/>
  </w:font>
  <w:font w:name="方正楷体_GBK">
    <w:altName w:val="Arial Unicode MS"/>
    <w:panose1 w:val="00000000000000000000"/>
    <w:charset w:val="86"/>
    <w:family w:val="auto"/>
    <w:pitch w:val="default"/>
    <w:sig w:usb0="00000000" w:usb1="00000000" w:usb2="00000016" w:usb3="00000000" w:csb0="00040000" w:csb1="00000000"/>
    <w:embedRegular r:id="rId12" w:fontKey="{2BD49CE4-8B19-42A2-A0A9-B60AD104E16B}"/>
  </w:font>
  <w:font w:name="隶书">
    <w:panose1 w:val="0201050906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1F31F"/>
    <w:multiLevelType w:val="singleLevel"/>
    <w:tmpl w:val="A5C1F31F"/>
    <w:lvl w:ilvl="0" w:tentative="0">
      <w:start w:val="3"/>
      <w:numFmt w:val="chineseCounting"/>
      <w:suff w:val="nothing"/>
      <w:lvlText w:val="（%1）"/>
      <w:lvlJc w:val="left"/>
      <w:rPr>
        <w:rFonts w:hint="eastAsia"/>
      </w:rPr>
    </w:lvl>
  </w:abstractNum>
  <w:abstractNum w:abstractNumId="1">
    <w:nsid w:val="AC1E6120"/>
    <w:multiLevelType w:val="singleLevel"/>
    <w:tmpl w:val="AC1E6120"/>
    <w:lvl w:ilvl="0" w:tentative="0">
      <w:start w:val="3"/>
      <w:numFmt w:val="chineseCounting"/>
      <w:suff w:val="nothing"/>
      <w:lvlText w:val="%1、"/>
      <w:lvlJc w:val="left"/>
      <w:pPr>
        <w:ind w:left="-13"/>
      </w:pPr>
      <w:rPr>
        <w:rFonts w:hint="eastAsia"/>
      </w:rPr>
    </w:lvl>
  </w:abstractNum>
  <w:abstractNum w:abstractNumId="2">
    <w:nsid w:val="5ACEB36E"/>
    <w:multiLevelType w:val="singleLevel"/>
    <w:tmpl w:val="5ACEB36E"/>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1NTQxODAzNDY1YTRkMTg5NTNjMjQ5NWU0OTQ0MTkifQ=="/>
  </w:docVars>
  <w:rsids>
    <w:rsidRoot w:val="2B1E3E27"/>
    <w:rsid w:val="00007000"/>
    <w:rsid w:val="00011EC2"/>
    <w:rsid w:val="00060C6A"/>
    <w:rsid w:val="00155351"/>
    <w:rsid w:val="001B2669"/>
    <w:rsid w:val="001E388A"/>
    <w:rsid w:val="001F0F21"/>
    <w:rsid w:val="002D5F88"/>
    <w:rsid w:val="002F7391"/>
    <w:rsid w:val="003148EB"/>
    <w:rsid w:val="00361E99"/>
    <w:rsid w:val="003F417C"/>
    <w:rsid w:val="004B2291"/>
    <w:rsid w:val="004F30D8"/>
    <w:rsid w:val="0053305A"/>
    <w:rsid w:val="00597351"/>
    <w:rsid w:val="005B1F2D"/>
    <w:rsid w:val="005B2798"/>
    <w:rsid w:val="006349C7"/>
    <w:rsid w:val="00637699"/>
    <w:rsid w:val="006E05BE"/>
    <w:rsid w:val="006E67B6"/>
    <w:rsid w:val="00706769"/>
    <w:rsid w:val="007238EA"/>
    <w:rsid w:val="007D730D"/>
    <w:rsid w:val="0089291B"/>
    <w:rsid w:val="009367D9"/>
    <w:rsid w:val="00956AB0"/>
    <w:rsid w:val="00961FB5"/>
    <w:rsid w:val="00971FDB"/>
    <w:rsid w:val="009B1F55"/>
    <w:rsid w:val="00A047C5"/>
    <w:rsid w:val="00A57EA3"/>
    <w:rsid w:val="00A84B98"/>
    <w:rsid w:val="00BB1079"/>
    <w:rsid w:val="00BC757B"/>
    <w:rsid w:val="00C341ED"/>
    <w:rsid w:val="00CF3752"/>
    <w:rsid w:val="00D7587A"/>
    <w:rsid w:val="00DA0594"/>
    <w:rsid w:val="00E63961"/>
    <w:rsid w:val="00EA3316"/>
    <w:rsid w:val="00EB7179"/>
    <w:rsid w:val="00EC6EB0"/>
    <w:rsid w:val="00FB439C"/>
    <w:rsid w:val="00FC02BF"/>
    <w:rsid w:val="00FF345A"/>
    <w:rsid w:val="012662A3"/>
    <w:rsid w:val="01313540"/>
    <w:rsid w:val="01323CE1"/>
    <w:rsid w:val="01381965"/>
    <w:rsid w:val="01406499"/>
    <w:rsid w:val="0143625C"/>
    <w:rsid w:val="01487061"/>
    <w:rsid w:val="014D4677"/>
    <w:rsid w:val="01722330"/>
    <w:rsid w:val="017B7436"/>
    <w:rsid w:val="018067FB"/>
    <w:rsid w:val="01831885"/>
    <w:rsid w:val="01A324E9"/>
    <w:rsid w:val="01C81F50"/>
    <w:rsid w:val="01F62035"/>
    <w:rsid w:val="01F91C73"/>
    <w:rsid w:val="021175A1"/>
    <w:rsid w:val="022B2C0A"/>
    <w:rsid w:val="024960FC"/>
    <w:rsid w:val="027C65FF"/>
    <w:rsid w:val="02E5725D"/>
    <w:rsid w:val="03004097"/>
    <w:rsid w:val="030661AE"/>
    <w:rsid w:val="031057CD"/>
    <w:rsid w:val="031769A7"/>
    <w:rsid w:val="0329379A"/>
    <w:rsid w:val="03315E11"/>
    <w:rsid w:val="03355BD3"/>
    <w:rsid w:val="03367AB9"/>
    <w:rsid w:val="03482370"/>
    <w:rsid w:val="034F6BD7"/>
    <w:rsid w:val="0350044F"/>
    <w:rsid w:val="03822CFE"/>
    <w:rsid w:val="03AC12AA"/>
    <w:rsid w:val="03B60BF9"/>
    <w:rsid w:val="03B95FF4"/>
    <w:rsid w:val="03E9585B"/>
    <w:rsid w:val="03F60FF6"/>
    <w:rsid w:val="04155C5B"/>
    <w:rsid w:val="042042C5"/>
    <w:rsid w:val="0433224A"/>
    <w:rsid w:val="043B4C5B"/>
    <w:rsid w:val="04460794"/>
    <w:rsid w:val="046B7B1A"/>
    <w:rsid w:val="047B75CA"/>
    <w:rsid w:val="04910D1F"/>
    <w:rsid w:val="04A10F62"/>
    <w:rsid w:val="04A46E78"/>
    <w:rsid w:val="04AA1CCB"/>
    <w:rsid w:val="04BF763A"/>
    <w:rsid w:val="04D56E5D"/>
    <w:rsid w:val="04F15B2F"/>
    <w:rsid w:val="05067975"/>
    <w:rsid w:val="051909BA"/>
    <w:rsid w:val="052150D6"/>
    <w:rsid w:val="052C7DAD"/>
    <w:rsid w:val="057523EE"/>
    <w:rsid w:val="058B3E9A"/>
    <w:rsid w:val="058F3D1F"/>
    <w:rsid w:val="059845C0"/>
    <w:rsid w:val="05A54A82"/>
    <w:rsid w:val="05BA2D24"/>
    <w:rsid w:val="05CF1AFF"/>
    <w:rsid w:val="05E468D0"/>
    <w:rsid w:val="06304C93"/>
    <w:rsid w:val="06345E06"/>
    <w:rsid w:val="064A040C"/>
    <w:rsid w:val="064F266F"/>
    <w:rsid w:val="06695AAF"/>
    <w:rsid w:val="06A910F3"/>
    <w:rsid w:val="06BF6017"/>
    <w:rsid w:val="06D66EBD"/>
    <w:rsid w:val="06F2523A"/>
    <w:rsid w:val="06F37A6F"/>
    <w:rsid w:val="06FC2DC7"/>
    <w:rsid w:val="06FD08ED"/>
    <w:rsid w:val="0717652C"/>
    <w:rsid w:val="07262C3C"/>
    <w:rsid w:val="073A744C"/>
    <w:rsid w:val="075306D3"/>
    <w:rsid w:val="07533CC6"/>
    <w:rsid w:val="076D7821"/>
    <w:rsid w:val="077D73AB"/>
    <w:rsid w:val="07CC2F1C"/>
    <w:rsid w:val="07CE7264"/>
    <w:rsid w:val="07E57B47"/>
    <w:rsid w:val="07EF0236"/>
    <w:rsid w:val="081940B8"/>
    <w:rsid w:val="08242D62"/>
    <w:rsid w:val="08273E74"/>
    <w:rsid w:val="082B2EFD"/>
    <w:rsid w:val="085C6BE5"/>
    <w:rsid w:val="085D06DB"/>
    <w:rsid w:val="086A1FB2"/>
    <w:rsid w:val="08966904"/>
    <w:rsid w:val="08B51480"/>
    <w:rsid w:val="08C6500C"/>
    <w:rsid w:val="08CE609D"/>
    <w:rsid w:val="08E37F8E"/>
    <w:rsid w:val="08FC70AE"/>
    <w:rsid w:val="09112EB6"/>
    <w:rsid w:val="09384BC6"/>
    <w:rsid w:val="09434CDD"/>
    <w:rsid w:val="094840A2"/>
    <w:rsid w:val="09642EFE"/>
    <w:rsid w:val="096F4983"/>
    <w:rsid w:val="097D1872"/>
    <w:rsid w:val="098A3BD1"/>
    <w:rsid w:val="098D2CF3"/>
    <w:rsid w:val="09990143"/>
    <w:rsid w:val="09CB50B2"/>
    <w:rsid w:val="09CF1D46"/>
    <w:rsid w:val="0A222B45"/>
    <w:rsid w:val="0A225D5E"/>
    <w:rsid w:val="0A296CB3"/>
    <w:rsid w:val="0A2D39BD"/>
    <w:rsid w:val="0A5627EE"/>
    <w:rsid w:val="0AAF6423"/>
    <w:rsid w:val="0AE47DFA"/>
    <w:rsid w:val="0AE93662"/>
    <w:rsid w:val="0B536D2E"/>
    <w:rsid w:val="0B7C6285"/>
    <w:rsid w:val="0B8E5FB8"/>
    <w:rsid w:val="0BD16C8D"/>
    <w:rsid w:val="0BEF718A"/>
    <w:rsid w:val="0BFC66C8"/>
    <w:rsid w:val="0C004C5B"/>
    <w:rsid w:val="0C012C2E"/>
    <w:rsid w:val="0C5612EF"/>
    <w:rsid w:val="0C6532AA"/>
    <w:rsid w:val="0C6A07D3"/>
    <w:rsid w:val="0C6A568B"/>
    <w:rsid w:val="0C71390F"/>
    <w:rsid w:val="0C7156BE"/>
    <w:rsid w:val="0C717E64"/>
    <w:rsid w:val="0C7E244F"/>
    <w:rsid w:val="0C7E7DDA"/>
    <w:rsid w:val="0C9F7A5B"/>
    <w:rsid w:val="0CAA0BCF"/>
    <w:rsid w:val="0CC954FA"/>
    <w:rsid w:val="0CDE5B18"/>
    <w:rsid w:val="0D0B3D64"/>
    <w:rsid w:val="0D183D8B"/>
    <w:rsid w:val="0D1A24E3"/>
    <w:rsid w:val="0D3861DB"/>
    <w:rsid w:val="0D4903E8"/>
    <w:rsid w:val="0D611BD6"/>
    <w:rsid w:val="0D7614B1"/>
    <w:rsid w:val="0D805053"/>
    <w:rsid w:val="0D883FB7"/>
    <w:rsid w:val="0D941001"/>
    <w:rsid w:val="0D984ECC"/>
    <w:rsid w:val="0DAD6BC9"/>
    <w:rsid w:val="0DC84CFE"/>
    <w:rsid w:val="0DD27C3B"/>
    <w:rsid w:val="0DF465A6"/>
    <w:rsid w:val="0DFF5A76"/>
    <w:rsid w:val="0E43752E"/>
    <w:rsid w:val="0E4C2636"/>
    <w:rsid w:val="0E625C06"/>
    <w:rsid w:val="0E7019A5"/>
    <w:rsid w:val="0E772A13"/>
    <w:rsid w:val="0E820056"/>
    <w:rsid w:val="0EB43F87"/>
    <w:rsid w:val="0EB65F51"/>
    <w:rsid w:val="0ECD5FBD"/>
    <w:rsid w:val="0ECE5049"/>
    <w:rsid w:val="0EEC1973"/>
    <w:rsid w:val="0F1F58A5"/>
    <w:rsid w:val="0F2E3D3A"/>
    <w:rsid w:val="0F384BB8"/>
    <w:rsid w:val="0F5372FC"/>
    <w:rsid w:val="0F6A70B0"/>
    <w:rsid w:val="0F8030D6"/>
    <w:rsid w:val="0F8D0424"/>
    <w:rsid w:val="0F911FA0"/>
    <w:rsid w:val="0F985657"/>
    <w:rsid w:val="0FCE2E27"/>
    <w:rsid w:val="0FF17498"/>
    <w:rsid w:val="1017657C"/>
    <w:rsid w:val="101A2510"/>
    <w:rsid w:val="1025513D"/>
    <w:rsid w:val="102B2027"/>
    <w:rsid w:val="103D635A"/>
    <w:rsid w:val="103F0832"/>
    <w:rsid w:val="104A6951"/>
    <w:rsid w:val="10651408"/>
    <w:rsid w:val="109B03A1"/>
    <w:rsid w:val="109E4D16"/>
    <w:rsid w:val="10B145AD"/>
    <w:rsid w:val="10CA7A92"/>
    <w:rsid w:val="10F66AD9"/>
    <w:rsid w:val="10FB4F6D"/>
    <w:rsid w:val="10FB7C4C"/>
    <w:rsid w:val="10FE6C5F"/>
    <w:rsid w:val="11072A94"/>
    <w:rsid w:val="11194576"/>
    <w:rsid w:val="112459A8"/>
    <w:rsid w:val="112D27A2"/>
    <w:rsid w:val="114C04A7"/>
    <w:rsid w:val="117515D7"/>
    <w:rsid w:val="119E69ED"/>
    <w:rsid w:val="11A71B81"/>
    <w:rsid w:val="11AB78C4"/>
    <w:rsid w:val="11BA5F58"/>
    <w:rsid w:val="11C6025A"/>
    <w:rsid w:val="11D87F8D"/>
    <w:rsid w:val="11FA7F03"/>
    <w:rsid w:val="12056664"/>
    <w:rsid w:val="12121331"/>
    <w:rsid w:val="12156EB2"/>
    <w:rsid w:val="122777BF"/>
    <w:rsid w:val="12527D3F"/>
    <w:rsid w:val="12717393"/>
    <w:rsid w:val="127600BD"/>
    <w:rsid w:val="128A74D9"/>
    <w:rsid w:val="128B6AA4"/>
    <w:rsid w:val="12922832"/>
    <w:rsid w:val="12966A93"/>
    <w:rsid w:val="12A13D28"/>
    <w:rsid w:val="12AD766B"/>
    <w:rsid w:val="12C0114D"/>
    <w:rsid w:val="12CF3776"/>
    <w:rsid w:val="12DF627E"/>
    <w:rsid w:val="12E34E3B"/>
    <w:rsid w:val="12ED1816"/>
    <w:rsid w:val="12EE01CF"/>
    <w:rsid w:val="12F029B2"/>
    <w:rsid w:val="12F57DC2"/>
    <w:rsid w:val="12FE7EC7"/>
    <w:rsid w:val="130D3782"/>
    <w:rsid w:val="132F1E2E"/>
    <w:rsid w:val="13315BA7"/>
    <w:rsid w:val="133B07D3"/>
    <w:rsid w:val="137D703E"/>
    <w:rsid w:val="13806B2E"/>
    <w:rsid w:val="13833F28"/>
    <w:rsid w:val="13871E77"/>
    <w:rsid w:val="1393060F"/>
    <w:rsid w:val="13A97E33"/>
    <w:rsid w:val="13AE5449"/>
    <w:rsid w:val="13C07F81"/>
    <w:rsid w:val="13C34C6E"/>
    <w:rsid w:val="13D36C5E"/>
    <w:rsid w:val="13E250F3"/>
    <w:rsid w:val="140714E0"/>
    <w:rsid w:val="140A72D3"/>
    <w:rsid w:val="140C34CD"/>
    <w:rsid w:val="141352AC"/>
    <w:rsid w:val="142A364C"/>
    <w:rsid w:val="142E658A"/>
    <w:rsid w:val="143532F8"/>
    <w:rsid w:val="144D4C62"/>
    <w:rsid w:val="145558C5"/>
    <w:rsid w:val="145E6E6F"/>
    <w:rsid w:val="147C5A32"/>
    <w:rsid w:val="147E7A19"/>
    <w:rsid w:val="14F45230"/>
    <w:rsid w:val="14FF68C9"/>
    <w:rsid w:val="15493D25"/>
    <w:rsid w:val="154B11F8"/>
    <w:rsid w:val="154E656D"/>
    <w:rsid w:val="155B515D"/>
    <w:rsid w:val="156A35F2"/>
    <w:rsid w:val="15763D45"/>
    <w:rsid w:val="157D50D3"/>
    <w:rsid w:val="159C1150"/>
    <w:rsid w:val="15F815D5"/>
    <w:rsid w:val="160F71A0"/>
    <w:rsid w:val="16204C39"/>
    <w:rsid w:val="164D0165"/>
    <w:rsid w:val="16810BF3"/>
    <w:rsid w:val="16AF430F"/>
    <w:rsid w:val="16B5089D"/>
    <w:rsid w:val="16CE49B4"/>
    <w:rsid w:val="16D52CED"/>
    <w:rsid w:val="17584BB6"/>
    <w:rsid w:val="17852F91"/>
    <w:rsid w:val="18115FA7"/>
    <w:rsid w:val="1835084F"/>
    <w:rsid w:val="18422604"/>
    <w:rsid w:val="185F4F64"/>
    <w:rsid w:val="186366E1"/>
    <w:rsid w:val="187B6E22"/>
    <w:rsid w:val="188148E7"/>
    <w:rsid w:val="1890511D"/>
    <w:rsid w:val="18B2778A"/>
    <w:rsid w:val="18C9062F"/>
    <w:rsid w:val="18E57DF3"/>
    <w:rsid w:val="1912647A"/>
    <w:rsid w:val="194D300E"/>
    <w:rsid w:val="19523115"/>
    <w:rsid w:val="195F20C2"/>
    <w:rsid w:val="198253AE"/>
    <w:rsid w:val="19911A88"/>
    <w:rsid w:val="19A5109C"/>
    <w:rsid w:val="19B97804"/>
    <w:rsid w:val="19D76D7C"/>
    <w:rsid w:val="19ED5937"/>
    <w:rsid w:val="1A0E6F51"/>
    <w:rsid w:val="1A1B3FFE"/>
    <w:rsid w:val="1A7F18ED"/>
    <w:rsid w:val="1A9D32AC"/>
    <w:rsid w:val="1AE2543D"/>
    <w:rsid w:val="1AEB6F83"/>
    <w:rsid w:val="1B001ECC"/>
    <w:rsid w:val="1B0C6C17"/>
    <w:rsid w:val="1B0D6EF9"/>
    <w:rsid w:val="1B2343CE"/>
    <w:rsid w:val="1B530684"/>
    <w:rsid w:val="1B5B06D2"/>
    <w:rsid w:val="1B8659D3"/>
    <w:rsid w:val="1BA05747"/>
    <w:rsid w:val="1BA86C22"/>
    <w:rsid w:val="1BD548BA"/>
    <w:rsid w:val="1BD6094D"/>
    <w:rsid w:val="1BEC10B9"/>
    <w:rsid w:val="1BF63E31"/>
    <w:rsid w:val="1C104D98"/>
    <w:rsid w:val="1C281B11"/>
    <w:rsid w:val="1C3C005D"/>
    <w:rsid w:val="1C670C0E"/>
    <w:rsid w:val="1C715266"/>
    <w:rsid w:val="1C735482"/>
    <w:rsid w:val="1C9A47BD"/>
    <w:rsid w:val="1CA52F9D"/>
    <w:rsid w:val="1CAA7CA8"/>
    <w:rsid w:val="1CC903F7"/>
    <w:rsid w:val="1CD74DF2"/>
    <w:rsid w:val="1CE83C63"/>
    <w:rsid w:val="1D2814C9"/>
    <w:rsid w:val="1D4E6551"/>
    <w:rsid w:val="1DA5394B"/>
    <w:rsid w:val="1DA653E3"/>
    <w:rsid w:val="1DAD6772"/>
    <w:rsid w:val="1DB95116"/>
    <w:rsid w:val="1DBB3AE0"/>
    <w:rsid w:val="1DC615E1"/>
    <w:rsid w:val="1DCD648A"/>
    <w:rsid w:val="1DE96EED"/>
    <w:rsid w:val="1DF30976"/>
    <w:rsid w:val="1E0345E3"/>
    <w:rsid w:val="1E307D1D"/>
    <w:rsid w:val="1E384CE9"/>
    <w:rsid w:val="1E9D0594"/>
    <w:rsid w:val="1EC14E79"/>
    <w:rsid w:val="1EC24FC1"/>
    <w:rsid w:val="1ED26EA1"/>
    <w:rsid w:val="1ED54905"/>
    <w:rsid w:val="1EE2244B"/>
    <w:rsid w:val="1EF451A9"/>
    <w:rsid w:val="1F016D75"/>
    <w:rsid w:val="1F072441"/>
    <w:rsid w:val="1F2E216C"/>
    <w:rsid w:val="1F3B3EA1"/>
    <w:rsid w:val="1F4D7DD7"/>
    <w:rsid w:val="1F6B283A"/>
    <w:rsid w:val="1F711E07"/>
    <w:rsid w:val="1F9574BD"/>
    <w:rsid w:val="1FA54D79"/>
    <w:rsid w:val="1FBE5DED"/>
    <w:rsid w:val="1FCE291C"/>
    <w:rsid w:val="20041DFF"/>
    <w:rsid w:val="200F2FFB"/>
    <w:rsid w:val="201460E8"/>
    <w:rsid w:val="201B5C14"/>
    <w:rsid w:val="20210D51"/>
    <w:rsid w:val="203F1E1A"/>
    <w:rsid w:val="20445051"/>
    <w:rsid w:val="20452C91"/>
    <w:rsid w:val="20601879"/>
    <w:rsid w:val="207E5B72"/>
    <w:rsid w:val="20BD02AB"/>
    <w:rsid w:val="20D250B8"/>
    <w:rsid w:val="2126769F"/>
    <w:rsid w:val="21463165"/>
    <w:rsid w:val="215F1C47"/>
    <w:rsid w:val="21613AFB"/>
    <w:rsid w:val="21CF2746"/>
    <w:rsid w:val="21D4251F"/>
    <w:rsid w:val="21E550D0"/>
    <w:rsid w:val="21FB6297"/>
    <w:rsid w:val="22625D7D"/>
    <w:rsid w:val="22743D02"/>
    <w:rsid w:val="22A74638"/>
    <w:rsid w:val="22C73E32"/>
    <w:rsid w:val="22F56BF1"/>
    <w:rsid w:val="22F608E2"/>
    <w:rsid w:val="230737DC"/>
    <w:rsid w:val="234A4691"/>
    <w:rsid w:val="234F5BD5"/>
    <w:rsid w:val="2351194D"/>
    <w:rsid w:val="235A4CA6"/>
    <w:rsid w:val="236B6EB3"/>
    <w:rsid w:val="236D13E1"/>
    <w:rsid w:val="238C6E29"/>
    <w:rsid w:val="23A67E9D"/>
    <w:rsid w:val="23D74A11"/>
    <w:rsid w:val="23FF584D"/>
    <w:rsid w:val="241A2687"/>
    <w:rsid w:val="24277076"/>
    <w:rsid w:val="24401886"/>
    <w:rsid w:val="24482D50"/>
    <w:rsid w:val="244A09D9"/>
    <w:rsid w:val="246A53BC"/>
    <w:rsid w:val="24913DFD"/>
    <w:rsid w:val="249266C1"/>
    <w:rsid w:val="24945F95"/>
    <w:rsid w:val="249C4E4A"/>
    <w:rsid w:val="24A140F3"/>
    <w:rsid w:val="24A6668C"/>
    <w:rsid w:val="24E24F53"/>
    <w:rsid w:val="24EC7B7F"/>
    <w:rsid w:val="25130BC6"/>
    <w:rsid w:val="251470D6"/>
    <w:rsid w:val="2532799E"/>
    <w:rsid w:val="253B6663"/>
    <w:rsid w:val="25445C26"/>
    <w:rsid w:val="254C4AC2"/>
    <w:rsid w:val="256112DB"/>
    <w:rsid w:val="25755DC7"/>
    <w:rsid w:val="25EB42DB"/>
    <w:rsid w:val="25F5515A"/>
    <w:rsid w:val="260D4251"/>
    <w:rsid w:val="26415CA9"/>
    <w:rsid w:val="265C0D35"/>
    <w:rsid w:val="2666151B"/>
    <w:rsid w:val="26795443"/>
    <w:rsid w:val="268362C1"/>
    <w:rsid w:val="26893CCE"/>
    <w:rsid w:val="26924756"/>
    <w:rsid w:val="2694099E"/>
    <w:rsid w:val="26A556B1"/>
    <w:rsid w:val="26BF6F42"/>
    <w:rsid w:val="26D152FC"/>
    <w:rsid w:val="26D233BC"/>
    <w:rsid w:val="26E11D97"/>
    <w:rsid w:val="270C62B7"/>
    <w:rsid w:val="27184CEA"/>
    <w:rsid w:val="27253C8E"/>
    <w:rsid w:val="272F41A2"/>
    <w:rsid w:val="2734580E"/>
    <w:rsid w:val="27734588"/>
    <w:rsid w:val="278850B6"/>
    <w:rsid w:val="279E0BE0"/>
    <w:rsid w:val="27C0561D"/>
    <w:rsid w:val="27C272BD"/>
    <w:rsid w:val="27C9064C"/>
    <w:rsid w:val="27EB12CB"/>
    <w:rsid w:val="27EC60E8"/>
    <w:rsid w:val="27FC3114"/>
    <w:rsid w:val="281F026C"/>
    <w:rsid w:val="28284C32"/>
    <w:rsid w:val="284D6B87"/>
    <w:rsid w:val="28584E1E"/>
    <w:rsid w:val="28731691"/>
    <w:rsid w:val="28894FF8"/>
    <w:rsid w:val="28981042"/>
    <w:rsid w:val="28996270"/>
    <w:rsid w:val="28A16ED3"/>
    <w:rsid w:val="28C9029D"/>
    <w:rsid w:val="28E84B02"/>
    <w:rsid w:val="29192782"/>
    <w:rsid w:val="294A57BC"/>
    <w:rsid w:val="297168A5"/>
    <w:rsid w:val="2989763D"/>
    <w:rsid w:val="299C6612"/>
    <w:rsid w:val="29A76DE1"/>
    <w:rsid w:val="29D137E8"/>
    <w:rsid w:val="2A291581"/>
    <w:rsid w:val="2A30050E"/>
    <w:rsid w:val="2A392506"/>
    <w:rsid w:val="2A4A556C"/>
    <w:rsid w:val="2A742AF1"/>
    <w:rsid w:val="2A77613D"/>
    <w:rsid w:val="2A7A571B"/>
    <w:rsid w:val="2A9A62D0"/>
    <w:rsid w:val="2AAF2DEC"/>
    <w:rsid w:val="2AE5754B"/>
    <w:rsid w:val="2AF05EF0"/>
    <w:rsid w:val="2B0E0484"/>
    <w:rsid w:val="2B1E3E27"/>
    <w:rsid w:val="2B2269EC"/>
    <w:rsid w:val="2B2303E8"/>
    <w:rsid w:val="2B307EC5"/>
    <w:rsid w:val="2B326508"/>
    <w:rsid w:val="2B43793F"/>
    <w:rsid w:val="2B484342"/>
    <w:rsid w:val="2B5B780D"/>
    <w:rsid w:val="2B8E5A74"/>
    <w:rsid w:val="2BA14258"/>
    <w:rsid w:val="2BAE3DE1"/>
    <w:rsid w:val="2BB15A59"/>
    <w:rsid w:val="2BC2788C"/>
    <w:rsid w:val="2BD21769"/>
    <w:rsid w:val="2BD61589"/>
    <w:rsid w:val="2BEF7F55"/>
    <w:rsid w:val="2BF65788"/>
    <w:rsid w:val="2C066316"/>
    <w:rsid w:val="2C1F4CDE"/>
    <w:rsid w:val="2C2D78F8"/>
    <w:rsid w:val="2C416A03"/>
    <w:rsid w:val="2C8814EE"/>
    <w:rsid w:val="2CA174A1"/>
    <w:rsid w:val="2CAB0320"/>
    <w:rsid w:val="2CCF22A3"/>
    <w:rsid w:val="2CD86C3B"/>
    <w:rsid w:val="2CDB6437"/>
    <w:rsid w:val="2CE455E0"/>
    <w:rsid w:val="2CEC7DD7"/>
    <w:rsid w:val="2CFC1C4B"/>
    <w:rsid w:val="2D2D6F87"/>
    <w:rsid w:val="2D300825"/>
    <w:rsid w:val="2D5167F7"/>
    <w:rsid w:val="2D6329A9"/>
    <w:rsid w:val="2D656721"/>
    <w:rsid w:val="2D796670"/>
    <w:rsid w:val="2D9B2143"/>
    <w:rsid w:val="2DD45655"/>
    <w:rsid w:val="2E0C1292"/>
    <w:rsid w:val="2E166395"/>
    <w:rsid w:val="2E183D6D"/>
    <w:rsid w:val="2E254332"/>
    <w:rsid w:val="2E3A4661"/>
    <w:rsid w:val="2E554EA6"/>
    <w:rsid w:val="2E6116C2"/>
    <w:rsid w:val="2E7035CF"/>
    <w:rsid w:val="2EB63FE1"/>
    <w:rsid w:val="2EB77450"/>
    <w:rsid w:val="2EBA6F40"/>
    <w:rsid w:val="2ECD65F4"/>
    <w:rsid w:val="2F320859"/>
    <w:rsid w:val="2F3740ED"/>
    <w:rsid w:val="2F4B1946"/>
    <w:rsid w:val="2F5729E1"/>
    <w:rsid w:val="2F6D3FB3"/>
    <w:rsid w:val="2F7670FF"/>
    <w:rsid w:val="2F805A94"/>
    <w:rsid w:val="2F8134C8"/>
    <w:rsid w:val="2F8C4439"/>
    <w:rsid w:val="2FA06136"/>
    <w:rsid w:val="2FD45DE0"/>
    <w:rsid w:val="2FD96E95"/>
    <w:rsid w:val="2FE11968"/>
    <w:rsid w:val="2FE51D9B"/>
    <w:rsid w:val="2FF901F3"/>
    <w:rsid w:val="2FFF77F2"/>
    <w:rsid w:val="302021BA"/>
    <w:rsid w:val="302A76CE"/>
    <w:rsid w:val="304376ED"/>
    <w:rsid w:val="304B610E"/>
    <w:rsid w:val="30AA629D"/>
    <w:rsid w:val="311A1F18"/>
    <w:rsid w:val="312A215B"/>
    <w:rsid w:val="31390688"/>
    <w:rsid w:val="316B62D0"/>
    <w:rsid w:val="316F0D52"/>
    <w:rsid w:val="318D26EA"/>
    <w:rsid w:val="319A0963"/>
    <w:rsid w:val="31AF08B2"/>
    <w:rsid w:val="31CF685F"/>
    <w:rsid w:val="32056724"/>
    <w:rsid w:val="322A4336"/>
    <w:rsid w:val="32456B21"/>
    <w:rsid w:val="325D5AAF"/>
    <w:rsid w:val="3263399B"/>
    <w:rsid w:val="32655932"/>
    <w:rsid w:val="327E38FF"/>
    <w:rsid w:val="32944E37"/>
    <w:rsid w:val="32A93554"/>
    <w:rsid w:val="32C72463"/>
    <w:rsid w:val="32C76D5F"/>
    <w:rsid w:val="32E54E6D"/>
    <w:rsid w:val="32FE7748"/>
    <w:rsid w:val="33263E15"/>
    <w:rsid w:val="332A6896"/>
    <w:rsid w:val="332F0517"/>
    <w:rsid w:val="334528E2"/>
    <w:rsid w:val="334C2FA8"/>
    <w:rsid w:val="33802C51"/>
    <w:rsid w:val="338F44F8"/>
    <w:rsid w:val="33A24A40"/>
    <w:rsid w:val="33A55097"/>
    <w:rsid w:val="33AD3D27"/>
    <w:rsid w:val="33C30645"/>
    <w:rsid w:val="33C63C64"/>
    <w:rsid w:val="33CB6FF2"/>
    <w:rsid w:val="34131A8D"/>
    <w:rsid w:val="34192013"/>
    <w:rsid w:val="343A07DF"/>
    <w:rsid w:val="34452E08"/>
    <w:rsid w:val="34B11A93"/>
    <w:rsid w:val="35020CF9"/>
    <w:rsid w:val="35157471"/>
    <w:rsid w:val="351E2BED"/>
    <w:rsid w:val="35845BB2"/>
    <w:rsid w:val="35AB75E3"/>
    <w:rsid w:val="35CA11B9"/>
    <w:rsid w:val="36281F27"/>
    <w:rsid w:val="36387908"/>
    <w:rsid w:val="363C7858"/>
    <w:rsid w:val="368F480F"/>
    <w:rsid w:val="369C2236"/>
    <w:rsid w:val="36A007CA"/>
    <w:rsid w:val="36A4475E"/>
    <w:rsid w:val="36B659A6"/>
    <w:rsid w:val="36D6068F"/>
    <w:rsid w:val="371051CA"/>
    <w:rsid w:val="371F5B92"/>
    <w:rsid w:val="372F6355"/>
    <w:rsid w:val="37321D6A"/>
    <w:rsid w:val="37464A5F"/>
    <w:rsid w:val="374675C3"/>
    <w:rsid w:val="377A54BF"/>
    <w:rsid w:val="37865C12"/>
    <w:rsid w:val="37BE35FD"/>
    <w:rsid w:val="37BF2ED1"/>
    <w:rsid w:val="37CB68FE"/>
    <w:rsid w:val="37D72911"/>
    <w:rsid w:val="37EE37B7"/>
    <w:rsid w:val="38214302"/>
    <w:rsid w:val="3821593A"/>
    <w:rsid w:val="38237904"/>
    <w:rsid w:val="3858381B"/>
    <w:rsid w:val="385C4BC4"/>
    <w:rsid w:val="387E4B3B"/>
    <w:rsid w:val="388760E5"/>
    <w:rsid w:val="38B14F10"/>
    <w:rsid w:val="38D27FE0"/>
    <w:rsid w:val="38ED5EE2"/>
    <w:rsid w:val="38F44A04"/>
    <w:rsid w:val="38F66DC7"/>
    <w:rsid w:val="38FE5C7B"/>
    <w:rsid w:val="3908596B"/>
    <w:rsid w:val="390B6DE3"/>
    <w:rsid w:val="391A0D07"/>
    <w:rsid w:val="391F631E"/>
    <w:rsid w:val="392F4087"/>
    <w:rsid w:val="39447B32"/>
    <w:rsid w:val="39513FFD"/>
    <w:rsid w:val="39563F10"/>
    <w:rsid w:val="39755F3E"/>
    <w:rsid w:val="397A79F8"/>
    <w:rsid w:val="398408EC"/>
    <w:rsid w:val="39916AF0"/>
    <w:rsid w:val="39D76BF8"/>
    <w:rsid w:val="39D87645"/>
    <w:rsid w:val="39DF3CFF"/>
    <w:rsid w:val="39F3020A"/>
    <w:rsid w:val="39F8016F"/>
    <w:rsid w:val="3A1C2D45"/>
    <w:rsid w:val="3A2E128F"/>
    <w:rsid w:val="3A39340F"/>
    <w:rsid w:val="3A616928"/>
    <w:rsid w:val="3AC214F7"/>
    <w:rsid w:val="3AC24099"/>
    <w:rsid w:val="3ADE5D64"/>
    <w:rsid w:val="3AFD443D"/>
    <w:rsid w:val="3B010116"/>
    <w:rsid w:val="3B9308FD"/>
    <w:rsid w:val="3BA04057"/>
    <w:rsid w:val="3BCE7B87"/>
    <w:rsid w:val="3BDC22A4"/>
    <w:rsid w:val="3BE13D5E"/>
    <w:rsid w:val="3BE41B48"/>
    <w:rsid w:val="3C033842"/>
    <w:rsid w:val="3C0E030A"/>
    <w:rsid w:val="3C123F18"/>
    <w:rsid w:val="3C1F4887"/>
    <w:rsid w:val="3C29300F"/>
    <w:rsid w:val="3C4936B2"/>
    <w:rsid w:val="3C4D567C"/>
    <w:rsid w:val="3C5200CC"/>
    <w:rsid w:val="3C526A0A"/>
    <w:rsid w:val="3C672DB4"/>
    <w:rsid w:val="3C6D73A0"/>
    <w:rsid w:val="3C8F37BA"/>
    <w:rsid w:val="3C8F7316"/>
    <w:rsid w:val="3C916256"/>
    <w:rsid w:val="3CA64660"/>
    <w:rsid w:val="3CA8662A"/>
    <w:rsid w:val="3CAD59EE"/>
    <w:rsid w:val="3CAF1F69"/>
    <w:rsid w:val="3CB341B9"/>
    <w:rsid w:val="3CB43221"/>
    <w:rsid w:val="3CE11781"/>
    <w:rsid w:val="3D1B6DFC"/>
    <w:rsid w:val="3D377CAF"/>
    <w:rsid w:val="3D39545D"/>
    <w:rsid w:val="3D3D3216"/>
    <w:rsid w:val="3D3F6F8E"/>
    <w:rsid w:val="3D536F18"/>
    <w:rsid w:val="3D8175A7"/>
    <w:rsid w:val="3D823421"/>
    <w:rsid w:val="3E3E6CD1"/>
    <w:rsid w:val="3E4D56DB"/>
    <w:rsid w:val="3EA370A9"/>
    <w:rsid w:val="3EB412B6"/>
    <w:rsid w:val="3EF773F5"/>
    <w:rsid w:val="3F1B741F"/>
    <w:rsid w:val="3F2C3542"/>
    <w:rsid w:val="3F555D0E"/>
    <w:rsid w:val="3F632CA0"/>
    <w:rsid w:val="3F80563C"/>
    <w:rsid w:val="3F8143AF"/>
    <w:rsid w:val="3F9707F3"/>
    <w:rsid w:val="3F9B5486"/>
    <w:rsid w:val="3FC7326B"/>
    <w:rsid w:val="3FCE074A"/>
    <w:rsid w:val="3FD15E98"/>
    <w:rsid w:val="3FDC49A8"/>
    <w:rsid w:val="40104C12"/>
    <w:rsid w:val="40237CFB"/>
    <w:rsid w:val="402B1A4C"/>
    <w:rsid w:val="403F78E5"/>
    <w:rsid w:val="40774C91"/>
    <w:rsid w:val="40AD420F"/>
    <w:rsid w:val="40ED4629"/>
    <w:rsid w:val="40F2256A"/>
    <w:rsid w:val="40FF039C"/>
    <w:rsid w:val="41140AD6"/>
    <w:rsid w:val="411D5655"/>
    <w:rsid w:val="41320BB8"/>
    <w:rsid w:val="41587604"/>
    <w:rsid w:val="4171639E"/>
    <w:rsid w:val="41720FB5"/>
    <w:rsid w:val="41A978CD"/>
    <w:rsid w:val="41AF3FB7"/>
    <w:rsid w:val="41CA7043"/>
    <w:rsid w:val="42306978"/>
    <w:rsid w:val="4241050E"/>
    <w:rsid w:val="42442526"/>
    <w:rsid w:val="424B0D42"/>
    <w:rsid w:val="426258BF"/>
    <w:rsid w:val="427F3613"/>
    <w:rsid w:val="42D57A4D"/>
    <w:rsid w:val="42EC5BE6"/>
    <w:rsid w:val="42F44DB5"/>
    <w:rsid w:val="43042CFF"/>
    <w:rsid w:val="43082E88"/>
    <w:rsid w:val="4316534F"/>
    <w:rsid w:val="434846C3"/>
    <w:rsid w:val="439A3F21"/>
    <w:rsid w:val="43AF7095"/>
    <w:rsid w:val="43B835F7"/>
    <w:rsid w:val="43CB255C"/>
    <w:rsid w:val="43EF2076"/>
    <w:rsid w:val="441A7E0D"/>
    <w:rsid w:val="44366A11"/>
    <w:rsid w:val="44390AFF"/>
    <w:rsid w:val="445467CB"/>
    <w:rsid w:val="44590400"/>
    <w:rsid w:val="44AB7E26"/>
    <w:rsid w:val="44AD0C81"/>
    <w:rsid w:val="44D34460"/>
    <w:rsid w:val="4545710C"/>
    <w:rsid w:val="45646BA5"/>
    <w:rsid w:val="45D40794"/>
    <w:rsid w:val="45E613B2"/>
    <w:rsid w:val="46205483"/>
    <w:rsid w:val="46301063"/>
    <w:rsid w:val="463644CA"/>
    <w:rsid w:val="463C108D"/>
    <w:rsid w:val="467F03FC"/>
    <w:rsid w:val="46821902"/>
    <w:rsid w:val="468A43CA"/>
    <w:rsid w:val="46957C1F"/>
    <w:rsid w:val="46A00372"/>
    <w:rsid w:val="46A312F1"/>
    <w:rsid w:val="46A46817"/>
    <w:rsid w:val="46D1677D"/>
    <w:rsid w:val="46E6047B"/>
    <w:rsid w:val="46FD732B"/>
    <w:rsid w:val="47136D96"/>
    <w:rsid w:val="473C453F"/>
    <w:rsid w:val="479779C7"/>
    <w:rsid w:val="47CF0F0F"/>
    <w:rsid w:val="47E50732"/>
    <w:rsid w:val="47E56984"/>
    <w:rsid w:val="47F0713F"/>
    <w:rsid w:val="47FE35A2"/>
    <w:rsid w:val="480F755D"/>
    <w:rsid w:val="481A61B3"/>
    <w:rsid w:val="4835287D"/>
    <w:rsid w:val="48623AD0"/>
    <w:rsid w:val="487B2804"/>
    <w:rsid w:val="48A1462D"/>
    <w:rsid w:val="48A26623"/>
    <w:rsid w:val="48A7553D"/>
    <w:rsid w:val="48CB5B7A"/>
    <w:rsid w:val="48CD7A6E"/>
    <w:rsid w:val="48E45CA0"/>
    <w:rsid w:val="4904108C"/>
    <w:rsid w:val="49736367"/>
    <w:rsid w:val="4978044B"/>
    <w:rsid w:val="49B74350"/>
    <w:rsid w:val="49B90CB2"/>
    <w:rsid w:val="49C33CDD"/>
    <w:rsid w:val="49C53F81"/>
    <w:rsid w:val="49CD76D0"/>
    <w:rsid w:val="49E06E1C"/>
    <w:rsid w:val="49FA5FEB"/>
    <w:rsid w:val="4A0D1E66"/>
    <w:rsid w:val="4A11355A"/>
    <w:rsid w:val="4A230BB8"/>
    <w:rsid w:val="4A985F30"/>
    <w:rsid w:val="4AA83FBD"/>
    <w:rsid w:val="4AAF6DD6"/>
    <w:rsid w:val="4AB8125E"/>
    <w:rsid w:val="4AC07235"/>
    <w:rsid w:val="4AFB201B"/>
    <w:rsid w:val="4B090BDC"/>
    <w:rsid w:val="4B191794"/>
    <w:rsid w:val="4B211301"/>
    <w:rsid w:val="4B245023"/>
    <w:rsid w:val="4B644064"/>
    <w:rsid w:val="4B702A09"/>
    <w:rsid w:val="4B893ACB"/>
    <w:rsid w:val="4B92472D"/>
    <w:rsid w:val="4BE9543E"/>
    <w:rsid w:val="4BEF7DD1"/>
    <w:rsid w:val="4C03387D"/>
    <w:rsid w:val="4C0575F5"/>
    <w:rsid w:val="4C1C66ED"/>
    <w:rsid w:val="4C7F75EE"/>
    <w:rsid w:val="4C891FD4"/>
    <w:rsid w:val="4CA20757"/>
    <w:rsid w:val="4CBD57DA"/>
    <w:rsid w:val="4CC76FF4"/>
    <w:rsid w:val="4CD7109B"/>
    <w:rsid w:val="4CE73470"/>
    <w:rsid w:val="4CF53AD9"/>
    <w:rsid w:val="4D1F61F8"/>
    <w:rsid w:val="4D2B308B"/>
    <w:rsid w:val="4D573E80"/>
    <w:rsid w:val="4D5B7378"/>
    <w:rsid w:val="4D5D0D6B"/>
    <w:rsid w:val="4D6245D3"/>
    <w:rsid w:val="4D6B60A2"/>
    <w:rsid w:val="4D896004"/>
    <w:rsid w:val="4D9C4A24"/>
    <w:rsid w:val="4DA846DC"/>
    <w:rsid w:val="4DBC2B9E"/>
    <w:rsid w:val="4DC4661C"/>
    <w:rsid w:val="4DC64B62"/>
    <w:rsid w:val="4DCD4142"/>
    <w:rsid w:val="4DE47949"/>
    <w:rsid w:val="4DE849E6"/>
    <w:rsid w:val="4E0C2E80"/>
    <w:rsid w:val="4E2D317E"/>
    <w:rsid w:val="4E3A4FCB"/>
    <w:rsid w:val="4E3C2197"/>
    <w:rsid w:val="4E802F63"/>
    <w:rsid w:val="4EEC05F8"/>
    <w:rsid w:val="4F022516"/>
    <w:rsid w:val="4F135B85"/>
    <w:rsid w:val="4F170310"/>
    <w:rsid w:val="4F43131F"/>
    <w:rsid w:val="4F7D4451"/>
    <w:rsid w:val="4F8151E4"/>
    <w:rsid w:val="4F8E345D"/>
    <w:rsid w:val="4F9C0232"/>
    <w:rsid w:val="4FC155E1"/>
    <w:rsid w:val="4FDD6193"/>
    <w:rsid w:val="4FE146B6"/>
    <w:rsid w:val="4FE37C4D"/>
    <w:rsid w:val="4FE542DB"/>
    <w:rsid w:val="4FF0236A"/>
    <w:rsid w:val="4FFC08D3"/>
    <w:rsid w:val="50224E65"/>
    <w:rsid w:val="50241EE0"/>
    <w:rsid w:val="502D7210"/>
    <w:rsid w:val="50373AF5"/>
    <w:rsid w:val="503A5393"/>
    <w:rsid w:val="508E1A12"/>
    <w:rsid w:val="50926F7D"/>
    <w:rsid w:val="50A82954"/>
    <w:rsid w:val="50B1368E"/>
    <w:rsid w:val="50C241B2"/>
    <w:rsid w:val="50C636F7"/>
    <w:rsid w:val="50E640CD"/>
    <w:rsid w:val="50EF0654"/>
    <w:rsid w:val="51084EAA"/>
    <w:rsid w:val="51642A74"/>
    <w:rsid w:val="516C09D9"/>
    <w:rsid w:val="51CE2237"/>
    <w:rsid w:val="51D13AD5"/>
    <w:rsid w:val="51E952C3"/>
    <w:rsid w:val="51ED37E4"/>
    <w:rsid w:val="524424F9"/>
    <w:rsid w:val="5253273C"/>
    <w:rsid w:val="525A4431"/>
    <w:rsid w:val="526B5CD8"/>
    <w:rsid w:val="528154FB"/>
    <w:rsid w:val="52816979"/>
    <w:rsid w:val="528C2E2C"/>
    <w:rsid w:val="52AB4326"/>
    <w:rsid w:val="52B87C51"/>
    <w:rsid w:val="52BA27BB"/>
    <w:rsid w:val="52C76C27"/>
    <w:rsid w:val="530D6F1F"/>
    <w:rsid w:val="531C4DAC"/>
    <w:rsid w:val="534E7AD3"/>
    <w:rsid w:val="5361397A"/>
    <w:rsid w:val="53670B95"/>
    <w:rsid w:val="536777EC"/>
    <w:rsid w:val="537931CB"/>
    <w:rsid w:val="53A019B1"/>
    <w:rsid w:val="53A71A66"/>
    <w:rsid w:val="53AB0430"/>
    <w:rsid w:val="53B65679"/>
    <w:rsid w:val="53C25DCC"/>
    <w:rsid w:val="53C84157"/>
    <w:rsid w:val="53FC752F"/>
    <w:rsid w:val="540D34EB"/>
    <w:rsid w:val="541144C3"/>
    <w:rsid w:val="542D76E9"/>
    <w:rsid w:val="54483C93"/>
    <w:rsid w:val="54534C76"/>
    <w:rsid w:val="54A41A2E"/>
    <w:rsid w:val="54AD082A"/>
    <w:rsid w:val="54AE1CA1"/>
    <w:rsid w:val="54BC2E90"/>
    <w:rsid w:val="54F31178"/>
    <w:rsid w:val="550F67BC"/>
    <w:rsid w:val="551B5959"/>
    <w:rsid w:val="55B61960"/>
    <w:rsid w:val="55EC1538"/>
    <w:rsid w:val="561A2ADD"/>
    <w:rsid w:val="562E599A"/>
    <w:rsid w:val="56772E9D"/>
    <w:rsid w:val="56925F29"/>
    <w:rsid w:val="56AC4060"/>
    <w:rsid w:val="56B74F73"/>
    <w:rsid w:val="56C34335"/>
    <w:rsid w:val="575E5E0B"/>
    <w:rsid w:val="57805DDE"/>
    <w:rsid w:val="57A02969"/>
    <w:rsid w:val="57B974E6"/>
    <w:rsid w:val="57C40364"/>
    <w:rsid w:val="57E91301"/>
    <w:rsid w:val="57FB18AC"/>
    <w:rsid w:val="580245BB"/>
    <w:rsid w:val="581035A9"/>
    <w:rsid w:val="5813309A"/>
    <w:rsid w:val="58226E39"/>
    <w:rsid w:val="584363C9"/>
    <w:rsid w:val="58533496"/>
    <w:rsid w:val="586345C7"/>
    <w:rsid w:val="5881576E"/>
    <w:rsid w:val="589E6E07"/>
    <w:rsid w:val="58A16421"/>
    <w:rsid w:val="58B57CAD"/>
    <w:rsid w:val="58C35579"/>
    <w:rsid w:val="58C6432E"/>
    <w:rsid w:val="58CD6275"/>
    <w:rsid w:val="58F973B7"/>
    <w:rsid w:val="59050C3E"/>
    <w:rsid w:val="59161253"/>
    <w:rsid w:val="594136DC"/>
    <w:rsid w:val="59436C86"/>
    <w:rsid w:val="596F4300"/>
    <w:rsid w:val="59F557F4"/>
    <w:rsid w:val="5A1153B7"/>
    <w:rsid w:val="5A1577FE"/>
    <w:rsid w:val="5A201A9E"/>
    <w:rsid w:val="5A2734CC"/>
    <w:rsid w:val="5A924D04"/>
    <w:rsid w:val="5AA32075"/>
    <w:rsid w:val="5AB3432F"/>
    <w:rsid w:val="5AC661A1"/>
    <w:rsid w:val="5B0D769E"/>
    <w:rsid w:val="5B1433B1"/>
    <w:rsid w:val="5B184523"/>
    <w:rsid w:val="5B2A2BD4"/>
    <w:rsid w:val="5B8D4F11"/>
    <w:rsid w:val="5C1D7BD9"/>
    <w:rsid w:val="5C1E2A49"/>
    <w:rsid w:val="5C221AFD"/>
    <w:rsid w:val="5C3E620B"/>
    <w:rsid w:val="5C5B05BA"/>
    <w:rsid w:val="5CB56981"/>
    <w:rsid w:val="5CC86E35"/>
    <w:rsid w:val="5CCB7A9F"/>
    <w:rsid w:val="5CD31049"/>
    <w:rsid w:val="5CD67877"/>
    <w:rsid w:val="5CDD64CE"/>
    <w:rsid w:val="5CE424FC"/>
    <w:rsid w:val="5CF57041"/>
    <w:rsid w:val="5D075AA1"/>
    <w:rsid w:val="5D261179"/>
    <w:rsid w:val="5D283143"/>
    <w:rsid w:val="5D344EFD"/>
    <w:rsid w:val="5D4F550A"/>
    <w:rsid w:val="5D900CE9"/>
    <w:rsid w:val="5D971A5B"/>
    <w:rsid w:val="5DA327CA"/>
    <w:rsid w:val="5DCA1430"/>
    <w:rsid w:val="5DD064B1"/>
    <w:rsid w:val="5DE05449"/>
    <w:rsid w:val="5DFD637E"/>
    <w:rsid w:val="5E2E66D9"/>
    <w:rsid w:val="5E653F23"/>
    <w:rsid w:val="5E7459BA"/>
    <w:rsid w:val="5E8C32F0"/>
    <w:rsid w:val="5E987B01"/>
    <w:rsid w:val="5E9D190F"/>
    <w:rsid w:val="5EAC1B52"/>
    <w:rsid w:val="5EBB550C"/>
    <w:rsid w:val="5EC04977"/>
    <w:rsid w:val="5EC92914"/>
    <w:rsid w:val="5EEB4428"/>
    <w:rsid w:val="5EF37781"/>
    <w:rsid w:val="5F0E6369"/>
    <w:rsid w:val="5F1A3805"/>
    <w:rsid w:val="5F337B7D"/>
    <w:rsid w:val="5F497D13"/>
    <w:rsid w:val="5F4F0E5B"/>
    <w:rsid w:val="5F5226F9"/>
    <w:rsid w:val="5F54223D"/>
    <w:rsid w:val="5F555D46"/>
    <w:rsid w:val="5F6B06D5"/>
    <w:rsid w:val="5FA40A7B"/>
    <w:rsid w:val="5FB07420"/>
    <w:rsid w:val="5FB16619"/>
    <w:rsid w:val="5FBF3755"/>
    <w:rsid w:val="5FC97D53"/>
    <w:rsid w:val="5FCD42C2"/>
    <w:rsid w:val="5FE61094"/>
    <w:rsid w:val="60082A96"/>
    <w:rsid w:val="603B4F3C"/>
    <w:rsid w:val="603C0CB4"/>
    <w:rsid w:val="6062696C"/>
    <w:rsid w:val="609B3C2C"/>
    <w:rsid w:val="60A30D33"/>
    <w:rsid w:val="60F375C4"/>
    <w:rsid w:val="6102426A"/>
    <w:rsid w:val="61227EAA"/>
    <w:rsid w:val="6151253D"/>
    <w:rsid w:val="618D7A19"/>
    <w:rsid w:val="618E553F"/>
    <w:rsid w:val="61AD1E69"/>
    <w:rsid w:val="61B50D1E"/>
    <w:rsid w:val="61DA0784"/>
    <w:rsid w:val="61EF437A"/>
    <w:rsid w:val="61F23D20"/>
    <w:rsid w:val="620146DB"/>
    <w:rsid w:val="62467BC8"/>
    <w:rsid w:val="624B51DE"/>
    <w:rsid w:val="62501F8C"/>
    <w:rsid w:val="62546789"/>
    <w:rsid w:val="625C5B39"/>
    <w:rsid w:val="627209BD"/>
    <w:rsid w:val="6296758D"/>
    <w:rsid w:val="62A52FDD"/>
    <w:rsid w:val="62A82630"/>
    <w:rsid w:val="62BD102E"/>
    <w:rsid w:val="62CC4571"/>
    <w:rsid w:val="62DD22DA"/>
    <w:rsid w:val="63375E69"/>
    <w:rsid w:val="633B16F7"/>
    <w:rsid w:val="63416D0D"/>
    <w:rsid w:val="635E6171"/>
    <w:rsid w:val="63642537"/>
    <w:rsid w:val="638D4AAC"/>
    <w:rsid w:val="63A0151F"/>
    <w:rsid w:val="63AE1EC8"/>
    <w:rsid w:val="63B868A3"/>
    <w:rsid w:val="640351E9"/>
    <w:rsid w:val="64280032"/>
    <w:rsid w:val="644D1897"/>
    <w:rsid w:val="64630F05"/>
    <w:rsid w:val="646F1658"/>
    <w:rsid w:val="647C7E94"/>
    <w:rsid w:val="647E1898"/>
    <w:rsid w:val="648275DD"/>
    <w:rsid w:val="64915A72"/>
    <w:rsid w:val="64B74DAD"/>
    <w:rsid w:val="64C23E7D"/>
    <w:rsid w:val="64CF0348"/>
    <w:rsid w:val="64D308D6"/>
    <w:rsid w:val="64F658D5"/>
    <w:rsid w:val="65705687"/>
    <w:rsid w:val="65F810A8"/>
    <w:rsid w:val="6615622F"/>
    <w:rsid w:val="66344907"/>
    <w:rsid w:val="66AC5941"/>
    <w:rsid w:val="66F069CB"/>
    <w:rsid w:val="67087B42"/>
    <w:rsid w:val="67102742"/>
    <w:rsid w:val="67157556"/>
    <w:rsid w:val="673E3563"/>
    <w:rsid w:val="6745578A"/>
    <w:rsid w:val="679D1703"/>
    <w:rsid w:val="67B41D77"/>
    <w:rsid w:val="67B804DF"/>
    <w:rsid w:val="67C021CA"/>
    <w:rsid w:val="67D01074"/>
    <w:rsid w:val="67FA274C"/>
    <w:rsid w:val="680C3022"/>
    <w:rsid w:val="6833299C"/>
    <w:rsid w:val="68333474"/>
    <w:rsid w:val="683A3D2B"/>
    <w:rsid w:val="683C7AA3"/>
    <w:rsid w:val="68482324"/>
    <w:rsid w:val="68701E42"/>
    <w:rsid w:val="68835F8B"/>
    <w:rsid w:val="688C27CF"/>
    <w:rsid w:val="689B6EBF"/>
    <w:rsid w:val="68B82D90"/>
    <w:rsid w:val="68E432FE"/>
    <w:rsid w:val="690540D6"/>
    <w:rsid w:val="691B6C02"/>
    <w:rsid w:val="69320EA6"/>
    <w:rsid w:val="693764F2"/>
    <w:rsid w:val="6938369A"/>
    <w:rsid w:val="696E6382"/>
    <w:rsid w:val="697A1BEC"/>
    <w:rsid w:val="698A6F34"/>
    <w:rsid w:val="69A2773D"/>
    <w:rsid w:val="69A354B9"/>
    <w:rsid w:val="69AA6C20"/>
    <w:rsid w:val="69C17983"/>
    <w:rsid w:val="69C9662A"/>
    <w:rsid w:val="69D10BC4"/>
    <w:rsid w:val="69E07DF2"/>
    <w:rsid w:val="69E55FFC"/>
    <w:rsid w:val="69F85C4B"/>
    <w:rsid w:val="6A220F1A"/>
    <w:rsid w:val="6A325601"/>
    <w:rsid w:val="6A7C6C08"/>
    <w:rsid w:val="6A9D67C2"/>
    <w:rsid w:val="6A9E67F3"/>
    <w:rsid w:val="6AEA5EDC"/>
    <w:rsid w:val="6AEA7C8A"/>
    <w:rsid w:val="6AFB47F0"/>
    <w:rsid w:val="6AFC528E"/>
    <w:rsid w:val="6B1E1F77"/>
    <w:rsid w:val="6B1E6FED"/>
    <w:rsid w:val="6B517D09"/>
    <w:rsid w:val="6B7E4876"/>
    <w:rsid w:val="6B981494"/>
    <w:rsid w:val="6BCB6C2F"/>
    <w:rsid w:val="6BE72DB3"/>
    <w:rsid w:val="6BE956D3"/>
    <w:rsid w:val="6C2216A6"/>
    <w:rsid w:val="6C4D6722"/>
    <w:rsid w:val="6C7E07B4"/>
    <w:rsid w:val="6C8A44EC"/>
    <w:rsid w:val="6D023443"/>
    <w:rsid w:val="6D0F729D"/>
    <w:rsid w:val="6D1D180E"/>
    <w:rsid w:val="6D606FE1"/>
    <w:rsid w:val="6D8223FC"/>
    <w:rsid w:val="6D9B2372"/>
    <w:rsid w:val="6DAD0487"/>
    <w:rsid w:val="6DDE55E9"/>
    <w:rsid w:val="6DE45ECC"/>
    <w:rsid w:val="6E0C7F17"/>
    <w:rsid w:val="6E0F6A32"/>
    <w:rsid w:val="6E1D6C0B"/>
    <w:rsid w:val="6E241705"/>
    <w:rsid w:val="6E2D3BDC"/>
    <w:rsid w:val="6E42318B"/>
    <w:rsid w:val="6E4C0C5C"/>
    <w:rsid w:val="6E775CD9"/>
    <w:rsid w:val="6E7F2DDF"/>
    <w:rsid w:val="6E8D72AA"/>
    <w:rsid w:val="6EA20FE3"/>
    <w:rsid w:val="6EAC3D4F"/>
    <w:rsid w:val="6EBC193D"/>
    <w:rsid w:val="6ED749C9"/>
    <w:rsid w:val="6EE80820"/>
    <w:rsid w:val="6F3040D9"/>
    <w:rsid w:val="6F490CF7"/>
    <w:rsid w:val="6F93306C"/>
    <w:rsid w:val="6F954628"/>
    <w:rsid w:val="6FB1261C"/>
    <w:rsid w:val="6FC76537"/>
    <w:rsid w:val="6FD55AC2"/>
    <w:rsid w:val="6FE23626"/>
    <w:rsid w:val="6FEA34FF"/>
    <w:rsid w:val="7016644C"/>
    <w:rsid w:val="701B2E02"/>
    <w:rsid w:val="701D7AE5"/>
    <w:rsid w:val="702E686B"/>
    <w:rsid w:val="703134FA"/>
    <w:rsid w:val="70581963"/>
    <w:rsid w:val="70722C7F"/>
    <w:rsid w:val="70787AE6"/>
    <w:rsid w:val="7084648B"/>
    <w:rsid w:val="70A95155"/>
    <w:rsid w:val="70B54896"/>
    <w:rsid w:val="70C1323B"/>
    <w:rsid w:val="711E68DF"/>
    <w:rsid w:val="71A22EB7"/>
    <w:rsid w:val="71D92806"/>
    <w:rsid w:val="71EA0570"/>
    <w:rsid w:val="71F70889"/>
    <w:rsid w:val="7209630E"/>
    <w:rsid w:val="7214383E"/>
    <w:rsid w:val="721F290F"/>
    <w:rsid w:val="726F4F19"/>
    <w:rsid w:val="729F4552"/>
    <w:rsid w:val="72C77ED3"/>
    <w:rsid w:val="73661E78"/>
    <w:rsid w:val="73836593"/>
    <w:rsid w:val="73FE0302"/>
    <w:rsid w:val="73FE47A6"/>
    <w:rsid w:val="740A7456"/>
    <w:rsid w:val="74602D6B"/>
    <w:rsid w:val="747D391D"/>
    <w:rsid w:val="748A31AB"/>
    <w:rsid w:val="74CE3248"/>
    <w:rsid w:val="74DA0D6F"/>
    <w:rsid w:val="751E4A0B"/>
    <w:rsid w:val="752E2E69"/>
    <w:rsid w:val="75381CFD"/>
    <w:rsid w:val="754D75D9"/>
    <w:rsid w:val="756F67BD"/>
    <w:rsid w:val="75B25848"/>
    <w:rsid w:val="75D30D25"/>
    <w:rsid w:val="75EA6D90"/>
    <w:rsid w:val="764433BB"/>
    <w:rsid w:val="767D7C04"/>
    <w:rsid w:val="76857E42"/>
    <w:rsid w:val="76AD7DBE"/>
    <w:rsid w:val="76AE6010"/>
    <w:rsid w:val="76D8308D"/>
    <w:rsid w:val="76F313A4"/>
    <w:rsid w:val="76F65C09"/>
    <w:rsid w:val="77014FC9"/>
    <w:rsid w:val="770C71DA"/>
    <w:rsid w:val="77373AD8"/>
    <w:rsid w:val="77434053"/>
    <w:rsid w:val="775070C7"/>
    <w:rsid w:val="77562203"/>
    <w:rsid w:val="778209E5"/>
    <w:rsid w:val="77AB69F3"/>
    <w:rsid w:val="77E45A61"/>
    <w:rsid w:val="77E85551"/>
    <w:rsid w:val="77FF07FF"/>
    <w:rsid w:val="78340796"/>
    <w:rsid w:val="786F609A"/>
    <w:rsid w:val="78A603D1"/>
    <w:rsid w:val="78E8332F"/>
    <w:rsid w:val="78F31440"/>
    <w:rsid w:val="79272CBF"/>
    <w:rsid w:val="792F71B0"/>
    <w:rsid w:val="79437954"/>
    <w:rsid w:val="79444A09"/>
    <w:rsid w:val="796E7CD8"/>
    <w:rsid w:val="797C0647"/>
    <w:rsid w:val="797F5A41"/>
    <w:rsid w:val="79865022"/>
    <w:rsid w:val="79910680"/>
    <w:rsid w:val="79A13ED1"/>
    <w:rsid w:val="79A923A1"/>
    <w:rsid w:val="79BF7459"/>
    <w:rsid w:val="79C8563A"/>
    <w:rsid w:val="79CB3C80"/>
    <w:rsid w:val="79D713A8"/>
    <w:rsid w:val="79DB3703"/>
    <w:rsid w:val="79DF58A7"/>
    <w:rsid w:val="79E32474"/>
    <w:rsid w:val="79E44F47"/>
    <w:rsid w:val="79F106E6"/>
    <w:rsid w:val="7A04063C"/>
    <w:rsid w:val="7A044199"/>
    <w:rsid w:val="7A236D15"/>
    <w:rsid w:val="7A2E1215"/>
    <w:rsid w:val="7A53759E"/>
    <w:rsid w:val="7A8A48D5"/>
    <w:rsid w:val="7ABD0F17"/>
    <w:rsid w:val="7AD0398B"/>
    <w:rsid w:val="7AD64E30"/>
    <w:rsid w:val="7AE73374"/>
    <w:rsid w:val="7B087CB8"/>
    <w:rsid w:val="7B187EFC"/>
    <w:rsid w:val="7B7A0049"/>
    <w:rsid w:val="7B833FE0"/>
    <w:rsid w:val="7B894744"/>
    <w:rsid w:val="7B98103C"/>
    <w:rsid w:val="7BA24981"/>
    <w:rsid w:val="7BB4126D"/>
    <w:rsid w:val="7BF24BF0"/>
    <w:rsid w:val="7BFE37B1"/>
    <w:rsid w:val="7C1A7CA3"/>
    <w:rsid w:val="7C3B682D"/>
    <w:rsid w:val="7C5C650E"/>
    <w:rsid w:val="7CA64986"/>
    <w:rsid w:val="7CB912D6"/>
    <w:rsid w:val="7CC24239"/>
    <w:rsid w:val="7CD75D15"/>
    <w:rsid w:val="7D032E2D"/>
    <w:rsid w:val="7D243F1B"/>
    <w:rsid w:val="7D472D1A"/>
    <w:rsid w:val="7D4F01AF"/>
    <w:rsid w:val="7D52346D"/>
    <w:rsid w:val="7D6602F4"/>
    <w:rsid w:val="7D823D52"/>
    <w:rsid w:val="7D8555F0"/>
    <w:rsid w:val="7D8604EC"/>
    <w:rsid w:val="7D9940B1"/>
    <w:rsid w:val="7DC0487A"/>
    <w:rsid w:val="7DC43985"/>
    <w:rsid w:val="7DDA2F1B"/>
    <w:rsid w:val="7DEE7639"/>
    <w:rsid w:val="7E0230E5"/>
    <w:rsid w:val="7E1075B0"/>
    <w:rsid w:val="7E280463"/>
    <w:rsid w:val="7E3E411D"/>
    <w:rsid w:val="7E464563"/>
    <w:rsid w:val="7E6D7415"/>
    <w:rsid w:val="7E865AC4"/>
    <w:rsid w:val="7EC46155"/>
    <w:rsid w:val="7EFC353B"/>
    <w:rsid w:val="7F0D1D41"/>
    <w:rsid w:val="7F1430D0"/>
    <w:rsid w:val="7F1B454B"/>
    <w:rsid w:val="7F21759B"/>
    <w:rsid w:val="7F4409B1"/>
    <w:rsid w:val="7F73429A"/>
    <w:rsid w:val="7F746D59"/>
    <w:rsid w:val="7F833DB1"/>
    <w:rsid w:val="7F8B421F"/>
    <w:rsid w:val="7F961332"/>
    <w:rsid w:val="7F9B09AC"/>
    <w:rsid w:val="7FA426A6"/>
    <w:rsid w:val="7FB53059"/>
    <w:rsid w:val="7FBA3585"/>
    <w:rsid w:val="7FDD5B6B"/>
    <w:rsid w:val="7FDF36DE"/>
    <w:rsid w:val="7FE14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340" w:after="330" w:line="576" w:lineRule="auto"/>
      <w:outlineLvl w:val="0"/>
    </w:pPr>
    <w:rPr>
      <w:b/>
      <w:kern w:val="44"/>
      <w:sz w:val="44"/>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character" w:default="1" w:styleId="13">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toa heading"/>
    <w:basedOn w:val="1"/>
    <w:next w:val="1"/>
    <w:unhideWhenUsed/>
    <w:qFormat/>
    <w:uiPriority w:val="99"/>
    <w:pPr>
      <w:spacing w:before="120"/>
    </w:pPr>
    <w:rPr>
      <w:rFonts w:ascii="Arial" w:hAnsi="Arial"/>
      <w:sz w:val="24"/>
    </w:rPr>
  </w:style>
  <w:style w:type="paragraph" w:styleId="5">
    <w:name w:val="toc 3"/>
    <w:basedOn w:val="1"/>
    <w:next w:val="1"/>
    <w:qFormat/>
    <w:uiPriority w:val="0"/>
    <w:pPr>
      <w:ind w:left="840" w:leftChars="400"/>
    </w:pPr>
  </w:style>
  <w:style w:type="paragraph" w:styleId="6">
    <w:name w:val="Balloon Text"/>
    <w:basedOn w:val="1"/>
    <w:qFormat/>
    <w:uiPriority w:val="0"/>
    <w:rPr>
      <w:sz w:val="18"/>
    </w:rPr>
  </w:style>
  <w:style w:type="paragraph" w:styleId="7">
    <w:name w:val="footer"/>
    <w:basedOn w:val="1"/>
    <w:link w:val="24"/>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jc w:val="left"/>
    </w:pPr>
    <w:rPr>
      <w:rFonts w:cs="Times New Roman"/>
      <w:kern w:val="0"/>
      <w:sz w:val="24"/>
    </w:rPr>
  </w:style>
  <w:style w:type="character" w:styleId="14">
    <w:name w:val="Strong"/>
    <w:basedOn w:val="13"/>
    <w:qFormat/>
    <w:uiPriority w:val="0"/>
    <w:rPr>
      <w:b/>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7">
    <w:name w:val="正文文本 21"/>
    <w:basedOn w:val="1"/>
    <w:qFormat/>
    <w:uiPriority w:val="0"/>
    <w:pPr>
      <w:spacing w:after="120" w:line="480" w:lineRule="auto"/>
    </w:pPr>
  </w:style>
  <w:style w:type="character" w:customStyle="1" w:styleId="18">
    <w:name w:val="font181"/>
    <w:basedOn w:val="13"/>
    <w:qFormat/>
    <w:uiPriority w:val="0"/>
    <w:rPr>
      <w:rFonts w:hint="eastAsia" w:ascii="宋体" w:hAnsi="宋体" w:eastAsia="宋体" w:cs="宋体"/>
      <w:b/>
      <w:bCs/>
      <w:color w:val="0070C0"/>
      <w:sz w:val="20"/>
      <w:szCs w:val="20"/>
      <w:u w:val="none"/>
    </w:rPr>
  </w:style>
  <w:style w:type="character" w:customStyle="1" w:styleId="19">
    <w:name w:val="font41"/>
    <w:basedOn w:val="13"/>
    <w:qFormat/>
    <w:uiPriority w:val="0"/>
    <w:rPr>
      <w:rFonts w:hint="eastAsia" w:ascii="宋体" w:hAnsi="宋体" w:eastAsia="宋体" w:cs="宋体"/>
      <w:b/>
      <w:bCs/>
      <w:color w:val="000000"/>
      <w:sz w:val="20"/>
      <w:szCs w:val="20"/>
      <w:u w:val="none"/>
    </w:rPr>
  </w:style>
  <w:style w:type="character" w:customStyle="1" w:styleId="20">
    <w:name w:val="font112"/>
    <w:basedOn w:val="13"/>
    <w:qFormat/>
    <w:uiPriority w:val="0"/>
    <w:rPr>
      <w:rFonts w:hint="eastAsia" w:ascii="宋体" w:hAnsi="宋体" w:eastAsia="宋体" w:cs="宋体"/>
      <w:color w:val="000000"/>
      <w:sz w:val="20"/>
      <w:szCs w:val="20"/>
      <w:u w:val="none"/>
    </w:rPr>
  </w:style>
  <w:style w:type="character" w:customStyle="1" w:styleId="21">
    <w:name w:val="font101"/>
    <w:basedOn w:val="13"/>
    <w:qFormat/>
    <w:uiPriority w:val="0"/>
    <w:rPr>
      <w:rFonts w:hint="eastAsia" w:ascii="宋体" w:hAnsi="宋体" w:eastAsia="宋体" w:cs="宋体"/>
      <w:color w:val="FF0000"/>
      <w:sz w:val="20"/>
      <w:szCs w:val="20"/>
      <w:u w:val="none"/>
    </w:rPr>
  </w:style>
  <w:style w:type="character" w:customStyle="1" w:styleId="22">
    <w:name w:val="标题 1 Char"/>
    <w:link w:val="2"/>
    <w:qFormat/>
    <w:uiPriority w:val="0"/>
    <w:rPr>
      <w:b/>
      <w:kern w:val="44"/>
      <w:sz w:val="44"/>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4">
    <w:name w:val="页脚 Char"/>
    <w:link w:val="7"/>
    <w:qFormat/>
    <w:uiPriority w:val="0"/>
    <w:rPr>
      <w:sz w:val="18"/>
    </w:rPr>
  </w:style>
  <w:style w:type="character" w:customStyle="1" w:styleId="25">
    <w:name w:val="font231"/>
    <w:basedOn w:val="13"/>
    <w:qFormat/>
    <w:uiPriority w:val="0"/>
    <w:rPr>
      <w:rFonts w:hint="eastAsia" w:ascii="宋体" w:hAnsi="宋体" w:eastAsia="宋体" w:cs="宋体"/>
      <w:b/>
      <w:bCs/>
      <w:color w:val="000000"/>
      <w:sz w:val="18"/>
      <w:szCs w:val="18"/>
      <w:u w:val="none"/>
    </w:rPr>
  </w:style>
  <w:style w:type="character" w:customStyle="1" w:styleId="26">
    <w:name w:val="font281"/>
    <w:basedOn w:val="13"/>
    <w:qFormat/>
    <w:uiPriority w:val="0"/>
    <w:rPr>
      <w:rFonts w:hint="eastAsia" w:ascii="宋体" w:hAnsi="宋体" w:eastAsia="宋体" w:cs="宋体"/>
      <w:color w:val="000000"/>
      <w:sz w:val="18"/>
      <w:szCs w:val="18"/>
      <w:u w:val="none"/>
    </w:rPr>
  </w:style>
  <w:style w:type="character" w:customStyle="1" w:styleId="27">
    <w:name w:val="font291"/>
    <w:basedOn w:val="13"/>
    <w:qFormat/>
    <w:uiPriority w:val="0"/>
    <w:rPr>
      <w:rFonts w:hint="eastAsia" w:ascii="宋体" w:hAnsi="宋体" w:eastAsia="宋体" w:cs="宋体"/>
      <w:color w:val="000000"/>
      <w:sz w:val="16"/>
      <w:szCs w:val="16"/>
      <w:u w:val="none"/>
    </w:rPr>
  </w:style>
  <w:style w:type="character" w:customStyle="1" w:styleId="28">
    <w:name w:val="font21"/>
    <w:basedOn w:val="13"/>
    <w:qFormat/>
    <w:uiPriority w:val="0"/>
    <w:rPr>
      <w:rFonts w:hint="eastAsia" w:ascii="宋体" w:hAnsi="宋体" w:eastAsia="宋体" w:cs="宋体"/>
      <w:b/>
      <w:bCs/>
      <w:color w:val="002060"/>
      <w:sz w:val="18"/>
      <w:szCs w:val="18"/>
      <w:u w:val="none"/>
    </w:rPr>
  </w:style>
  <w:style w:type="character" w:customStyle="1" w:styleId="29">
    <w:name w:val="font131"/>
    <w:basedOn w:val="13"/>
    <w:qFormat/>
    <w:uiPriority w:val="0"/>
    <w:rPr>
      <w:rFonts w:hint="eastAsia" w:ascii="宋体" w:hAnsi="宋体" w:eastAsia="宋体" w:cs="宋体"/>
      <w:b/>
      <w:bCs/>
      <w:color w:val="000000"/>
      <w:sz w:val="18"/>
      <w:szCs w:val="18"/>
      <w:u w:val="none"/>
    </w:rPr>
  </w:style>
  <w:style w:type="character" w:customStyle="1" w:styleId="30">
    <w:name w:val="font271"/>
    <w:basedOn w:val="13"/>
    <w:qFormat/>
    <w:uiPriority w:val="0"/>
    <w:rPr>
      <w:rFonts w:hint="eastAsia" w:ascii="宋体" w:hAnsi="宋体" w:eastAsia="宋体" w:cs="宋体"/>
      <w:color w:val="000000"/>
      <w:sz w:val="18"/>
      <w:szCs w:val="18"/>
      <w:u w:val="none"/>
    </w:rPr>
  </w:style>
  <w:style w:type="character" w:customStyle="1" w:styleId="31">
    <w:name w:val="font51"/>
    <w:basedOn w:val="13"/>
    <w:qFormat/>
    <w:uiPriority w:val="0"/>
    <w:rPr>
      <w:rFonts w:hint="eastAsia" w:ascii="宋体" w:hAnsi="宋体" w:eastAsia="宋体" w:cs="宋体"/>
      <w:color w:val="000000"/>
      <w:sz w:val="16"/>
      <w:szCs w:val="16"/>
      <w:u w:val="none"/>
    </w:rPr>
  </w:style>
  <w:style w:type="character" w:customStyle="1" w:styleId="32">
    <w:name w:val="font151"/>
    <w:basedOn w:val="13"/>
    <w:qFormat/>
    <w:uiPriority w:val="0"/>
    <w:rPr>
      <w:rFonts w:hint="eastAsia" w:ascii="宋体" w:hAnsi="宋体" w:eastAsia="宋体" w:cs="宋体"/>
      <w:b/>
      <w:bCs/>
      <w:color w:val="000000"/>
      <w:sz w:val="18"/>
      <w:szCs w:val="18"/>
      <w:u w:val="none"/>
    </w:rPr>
  </w:style>
  <w:style w:type="character" w:customStyle="1" w:styleId="33">
    <w:name w:val="font261"/>
    <w:basedOn w:val="13"/>
    <w:qFormat/>
    <w:uiPriority w:val="0"/>
    <w:rPr>
      <w:rFonts w:hint="eastAsia" w:ascii="宋体" w:hAnsi="宋体" w:eastAsia="宋体" w:cs="宋体"/>
      <w:color w:val="000000"/>
      <w:sz w:val="18"/>
      <w:szCs w:val="18"/>
      <w:u w:val="none"/>
    </w:rPr>
  </w:style>
  <w:style w:type="character" w:customStyle="1" w:styleId="34">
    <w:name w:val="font71"/>
    <w:basedOn w:val="13"/>
    <w:qFormat/>
    <w:uiPriority w:val="0"/>
    <w:rPr>
      <w:rFonts w:hint="eastAsia" w:ascii="宋体" w:hAnsi="宋体" w:eastAsia="宋体" w:cs="宋体"/>
      <w:b/>
      <w:bCs/>
      <w:color w:val="002060"/>
      <w:sz w:val="18"/>
      <w:szCs w:val="18"/>
      <w:u w:val="none"/>
    </w:rPr>
  </w:style>
  <w:style w:type="character" w:customStyle="1" w:styleId="35">
    <w:name w:val="font91"/>
    <w:basedOn w:val="13"/>
    <w:qFormat/>
    <w:uiPriority w:val="0"/>
    <w:rPr>
      <w:rFonts w:hint="eastAsia" w:ascii="宋体" w:hAnsi="宋体" w:eastAsia="宋体" w:cs="宋体"/>
      <w:color w:val="00206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4.xml"/><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E:\0-3.&#29305;&#26816;&#38498;\2-1.&#20998;&#38498;&#36164;&#26009;&#65288;&#32489;&#25928;&#35780;&#20215;&#65289;\3.&#27719;&#24635;&#65288;&#26680;&#23545;&#21518;&#65289;\1.&#39044;%20&#31639;&#23433;&#25490;&#21450;&#25209;&#22797;(&#27719;&#24635;)-2(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0-3.&#29305;&#26816;&#38498;\2-1.&#20998;&#38498;&#36164;&#26009;&#65288;&#32489;&#25928;&#35780;&#20215;&#65289;\3.&#27719;&#24635;&#65288;&#26680;&#23545;&#21518;&#65289;\1.&#39044;%20&#31639;&#23433;&#25490;&#21450;&#25209;&#22797;(&#27719;&#2463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0-3.&#29305;&#26816;&#38498;\2-1.&#20998;&#38498;&#36164;&#26009;&#65288;&#32489;&#25928;&#35780;&#20215;&#65289;\3.&#27719;&#24635;&#65288;&#26680;&#23545;&#21518;&#65289;\1.&#39044;%20&#31639;&#23433;&#25490;&#21450;&#25209;&#22797;(&#27719;&#2463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0-3.&#29305;&#26816;&#38498;\2-1.&#20998;&#38498;&#36164;&#26009;&#65288;&#32489;&#25928;&#35780;&#20215;&#65289;\3.&#27719;&#24635;&#65288;&#26680;&#23545;&#21518;&#65289;\&#20840;&#38498;&#25253;&#21578;-&#38468;&#20214;\5.&#20154;&#2596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80" b="1" i="0" u="none" strike="noStrike" kern="1200" spc="0" baseline="0">
                <a:solidFill>
                  <a:schemeClr val="tx1">
                    <a:lumMod val="65000"/>
                    <a:lumOff val="35000"/>
                  </a:schemeClr>
                </a:solidFill>
                <a:latin typeface="+mn-lt"/>
                <a:ea typeface="+mn-ea"/>
                <a:cs typeface="+mn-cs"/>
              </a:defRPr>
            </a:pPr>
            <a:r>
              <a:rPr lang="zh-CN" altLang="en-US" sz="1080" b="1"/>
              <a:t>全院</a:t>
            </a:r>
            <a:r>
              <a:rPr lang="en-US" altLang="zh-CN" sz="1080" b="1"/>
              <a:t>2022</a:t>
            </a:r>
            <a:r>
              <a:rPr lang="zh-CN" altLang="en-US" sz="1080" b="1"/>
              <a:t>年项目支出预算汇总占比</a:t>
            </a:r>
            <a:endParaRPr lang="zh-CN" altLang="en-US" sz="1080" b="1"/>
          </a:p>
        </c:rich>
      </c:tx>
      <c:layout>
        <c:manualLayout>
          <c:xMode val="edge"/>
          <c:yMode val="edge"/>
          <c:x val="0.413048041512654"/>
          <c:y val="0.018539350800286"/>
        </c:manualLayout>
      </c:layout>
      <c:overlay val="0"/>
      <c:spPr>
        <a:noFill/>
        <a:ln>
          <a:noFill/>
        </a:ln>
        <a:effectLst/>
      </c:spPr>
    </c:title>
    <c:autoTitleDeleted val="0"/>
    <c:plotArea>
      <c:layout>
        <c:manualLayout>
          <c:layoutTarget val="inner"/>
          <c:xMode val="edge"/>
          <c:yMode val="edge"/>
          <c:x val="0.0926468671421078"/>
          <c:y val="0.171052631578947"/>
          <c:w val="0.464925684122795"/>
          <c:h val="0.772622345337027"/>
        </c:manualLayout>
      </c:layout>
      <c:pieChart>
        <c:varyColors val="1"/>
        <c:ser>
          <c:idx val="0"/>
          <c:order val="0"/>
          <c:tx>
            <c:strRef>
              <c:f>'[1.预 算安排及批复(汇总)-2(4).xlsx]图'!$F$4</c:f>
              <c:strCache>
                <c:ptCount val="1"/>
                <c:pt idx="0">
                  <c:v>预算汇总</c:v>
                </c:pt>
              </c:strCache>
            </c:strRef>
          </c:tx>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dLbl>
              <c:idx val="0"/>
              <c:layout>
                <c:manualLayout>
                  <c:x val="-0.00866149324349618"/>
                  <c:y val="0.13996063849473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41724354940214"/>
                      <c:h val="0.230104429240187"/>
                    </c:manualLayout>
                  </c15:layout>
                </c:ext>
              </c:extLst>
            </c:dLbl>
            <c:dLbl>
              <c:idx val="1"/>
              <c:layout>
                <c:manualLayout>
                  <c:x val="-0.0792752912332091"/>
                  <c:y val="-0.1226050920230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23399008234867"/>
                  <c:y val="0.041869464642923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90308370044053"/>
                      <c:h val="0.163125675189053"/>
                    </c:manualLayout>
                  </c15:layout>
                </c:ext>
              </c:extLst>
            </c:dLbl>
            <c:spPr>
              <a:noFill/>
              <a:ln>
                <a:noFill/>
              </a:ln>
              <a:effectLst/>
            </c:spPr>
            <c:txPr>
              <a:bodyPr rot="0" spcFirstLastPara="0" vertOverflow="ellipsis" vert="horz" wrap="square" lIns="38100" tIns="19050" rIns="38100" bIns="19050" anchor="ctr" anchorCtr="1"/>
              <a:lstStyle/>
              <a:p>
                <a:pPr>
                  <a:defRPr lang="zh-CN" sz="750" b="1"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'[1.预 算安排及批复(汇总)-2(4).xlsx]图'!$E$5:$E$7</c:f>
              <c:strCache>
                <c:ptCount val="3"/>
                <c:pt idx="0">
                  <c:v>50601-资本性支出小计</c:v>
                </c:pt>
                <c:pt idx="1">
                  <c:v>50503-商品和服务支出小计</c:v>
                </c:pt>
                <c:pt idx="2">
                  <c:v>50502-工资福利支出小计</c:v>
                </c:pt>
              </c:strCache>
            </c:strRef>
          </c:cat>
          <c:val>
            <c:numRef>
              <c:f>'[1.预 算安排及批复(汇总)-2(4).xlsx]图'!$F$5:$F$7</c:f>
              <c:numCache>
                <c:formatCode>#,##0.00_ </c:formatCode>
                <c:ptCount val="3"/>
                <c:pt idx="0">
                  <c:v>3829.248862</c:v>
                </c:pt>
                <c:pt idx="1">
                  <c:v>7936.402536</c:v>
                </c:pt>
                <c:pt idx="2">
                  <c:v>9977.092169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manualLayout>
          <c:xMode val="edge"/>
          <c:yMode val="edge"/>
          <c:x val="0.657348431233782"/>
          <c:y val="0.426021727884118"/>
          <c:w val="0.328497287096013"/>
          <c:h val="0.229953440248319"/>
        </c:manualLayout>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b="1"/>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080" b="1" i="0" u="none" strike="noStrike" kern="1200" spc="0" baseline="0">
                <a:solidFill>
                  <a:sysClr val="windowText" lastClr="000000"/>
                </a:solidFill>
                <a:latin typeface="+mn-lt"/>
                <a:ea typeface="+mn-ea"/>
                <a:cs typeface="+mn-cs"/>
              </a:defRPr>
            </a:pPr>
            <a:r>
              <a:rPr lang="zh-CN" altLang="en-US" sz="1080" b="1"/>
              <a:t>全院</a:t>
            </a:r>
            <a:r>
              <a:rPr lang="en-US" altLang="zh-CN" sz="1080" b="1"/>
              <a:t>2022</a:t>
            </a:r>
            <a:r>
              <a:rPr lang="zh-CN" altLang="en-US" sz="1080" b="1"/>
              <a:t>年项目支出决算汇总占比</a:t>
            </a:r>
            <a:endParaRPr lang="zh-CN" altLang="en-US" sz="1080" b="1"/>
          </a:p>
        </c:rich>
      </c:tx>
      <c:layout>
        <c:manualLayout>
          <c:xMode val="edge"/>
          <c:yMode val="edge"/>
          <c:x val="0.412907535816039"/>
          <c:y val="0.0192047757794717"/>
        </c:manualLayout>
      </c:layout>
      <c:overlay val="0"/>
      <c:spPr>
        <a:noFill/>
        <a:ln>
          <a:noFill/>
        </a:ln>
        <a:effectLst/>
      </c:spPr>
    </c:title>
    <c:autoTitleDeleted val="0"/>
    <c:plotArea>
      <c:layout/>
      <c:pieChart>
        <c:varyColors val="1"/>
        <c:ser>
          <c:idx val="0"/>
          <c:order val="0"/>
          <c:tx>
            <c:strRef>
              <c:f>'[1.预 算安排及批复(汇总)-2(4).xlsx]图'!$B$4</c:f>
              <c:strCache>
                <c:ptCount val="1"/>
                <c:pt idx="0">
                  <c:v>决算汇总</c:v>
                </c:pt>
              </c:strCache>
            </c:strRef>
          </c:tx>
          <c:spPr>
            <a:ln w="15875">
              <a:solidFill>
                <a:schemeClr val="bg1"/>
              </a:solidFill>
            </a:ln>
            <a:effectLst>
              <a:outerShdw blurRad="63500" sx="102000" sy="102000" algn="ctr" rotWithShape="0">
                <a:schemeClr val="bg1">
                  <a:lumMod val="50000"/>
                  <a:alpha val="40000"/>
                </a:schemeClr>
              </a:outerShdw>
            </a:effectLst>
            <a:sp3d contourW="15875"/>
          </c:spPr>
          <c:explosion val="0"/>
          <c:dPt>
            <c:idx val="0"/>
            <c:bubble3D val="0"/>
            <c:spPr>
              <a:solidFill>
                <a:schemeClr val="accent1"/>
              </a:solidFill>
              <a:ln w="15875">
                <a:solidFill>
                  <a:schemeClr val="bg1"/>
                </a:solidFill>
              </a:ln>
              <a:effectLst>
                <a:innerShdw blurRad="101600">
                  <a:schemeClr val="accent1">
                    <a:lumMod val="50000"/>
                    <a:alpha val="70000"/>
                  </a:schemeClr>
                </a:innerShdw>
              </a:effectLst>
              <a:sp3d contourW="15875"/>
            </c:spPr>
          </c:dPt>
          <c:dPt>
            <c:idx val="1"/>
            <c:bubble3D val="0"/>
            <c:spPr>
              <a:solidFill>
                <a:schemeClr val="accent2"/>
              </a:solidFill>
              <a:ln w="15875">
                <a:solidFill>
                  <a:schemeClr val="bg1"/>
                </a:solidFill>
              </a:ln>
              <a:effectLst>
                <a:innerShdw blurRad="101600">
                  <a:schemeClr val="accent2">
                    <a:lumMod val="50000"/>
                    <a:alpha val="70000"/>
                  </a:schemeClr>
                </a:innerShdw>
              </a:effectLst>
              <a:sp3d contourW="15875"/>
            </c:spPr>
          </c:dPt>
          <c:dPt>
            <c:idx val="2"/>
            <c:bubble3D val="0"/>
            <c:spPr>
              <a:solidFill>
                <a:schemeClr val="accent3"/>
              </a:solidFill>
              <a:ln w="19050">
                <a:solidFill>
                  <a:schemeClr val="bg1"/>
                </a:solidFill>
              </a:ln>
              <a:effectLst>
                <a:innerShdw blurRad="101600">
                  <a:schemeClr val="accent3">
                    <a:lumMod val="50000"/>
                    <a:alpha val="70000"/>
                  </a:schemeClr>
                </a:innerShdw>
              </a:effectLst>
              <a:sp3d contourW="19050"/>
            </c:spPr>
          </c:dPt>
          <c:dLbls>
            <c:dLbl>
              <c:idx val="0"/>
              <c:layout>
                <c:manualLayout>
                  <c:x val="-0.0235867915578381"/>
                  <c:y val="0.16009671931632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99233296687423"/>
                  <c:y val="-0.13823365190174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5932344378206"/>
                      <c:h val="0.236583769633508"/>
                    </c:manualLayout>
                  </c15:layout>
                </c:ext>
              </c:extLst>
            </c:dLbl>
            <c:dLbl>
              <c:idx val="2"/>
              <c:layout>
                <c:manualLayout>
                  <c:x val="0.106989274278105"/>
                  <c:y val="0.042508917287685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forceAA="0"/>
              <a:lstStyle/>
              <a:p>
                <a:pPr>
                  <a:defRPr lang="zh-CN" sz="900" b="1" i="0" u="none" strike="noStrike" kern="1200" baseline="0">
                    <a:solidFill>
                      <a:sysClr val="windowText" lastClr="000000"/>
                    </a:solidFill>
                    <a:effectLst>
                      <a:outerShdw blurRad="50800" dist="38100" dir="2700000" algn="tl" rotWithShape="0">
                        <a:prstClr val="black">
                          <a:alpha val="40000"/>
                        </a:prstClr>
                      </a:outerShdw>
                    </a:effectLst>
                    <a:latin typeface="宋体" panose="02010600030101010101" charset="-122"/>
                    <a:ea typeface="宋体" panose="02010600030101010101" charset="-122"/>
                    <a:cs typeface="宋体" panose="02010600030101010101" charset="-122"/>
                    <a:sym typeface="宋体" panose="02010600030101010101" charset="-122"/>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'[1.预 算安排及批复(汇总)-2(4).xlsx]图'!$A$5:$A$7</c:f>
              <c:strCache>
                <c:ptCount val="3"/>
                <c:pt idx="0">
                  <c:v>50601-资本性支出小计</c:v>
                </c:pt>
                <c:pt idx="1">
                  <c:v>50503-商品和服务支出小计</c:v>
                </c:pt>
                <c:pt idx="2">
                  <c:v>50502-工资福利支出小计</c:v>
                </c:pt>
              </c:strCache>
            </c:strRef>
          </c:cat>
          <c:val>
            <c:numRef>
              <c:f>'[1.预 算安排及批复(汇总)-2(4).xlsx]图'!$B$5:$B$7</c:f>
              <c:numCache>
                <c:formatCode>#,##0.00_ </c:formatCode>
                <c:ptCount val="3"/>
                <c:pt idx="0">
                  <c:v>3113.343412</c:v>
                </c:pt>
                <c:pt idx="1">
                  <c:v>8160.037735</c:v>
                </c:pt>
                <c:pt idx="2">
                  <c:v>10256.310119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legendEntry>
      <c:legendEntry>
        <c:idx val="2"/>
        <c:txPr>
          <a:bodyPr rot="0" spcFirstLastPara="0" vertOverflow="ellipsis" vert="horz" wrap="square" anchor="ctr" anchorCtr="1"/>
          <a:lstStyle/>
          <a:p>
            <a:pPr>
              <a:defRPr lang="zh-CN" sz="900" b="1" i="0" u="none" strike="noStrike" kern="1200" baseline="0">
                <a:solidFill>
                  <a:sysClr val="windowText" lastClr="000000"/>
                </a:solidFill>
                <a:latin typeface="+mn-lt"/>
                <a:ea typeface="+mn-ea"/>
                <a:cs typeface="+mn-cs"/>
              </a:defRPr>
            </a:pPr>
          </a:p>
        </c:txPr>
      </c:legendEntry>
      <c:layout>
        <c:manualLayout>
          <c:xMode val="edge"/>
          <c:yMode val="edge"/>
          <c:x val="0.604351631861948"/>
          <c:y val="0.336971350613915"/>
          <c:w val="0.382268350631487"/>
          <c:h val="0.408367439745339"/>
        </c:manualLayout>
      </c:layout>
      <c:overlay val="0"/>
      <c:spPr>
        <a:noFill/>
        <a:ln>
          <a:noFill/>
        </a:ln>
        <a:effectLst/>
      </c:spPr>
      <c:txPr>
        <a:bodyPr rot="0" spcFirstLastPara="0" vertOverflow="ellipsis" vert="horz" wrap="square" anchor="ctr" anchorCtr="1" forceAA="0"/>
        <a:lstStyle/>
        <a:p>
          <a:pPr>
            <a:defRPr lang="zh-CN" sz="900" b="1"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bg1">
          <a:lumMod val="85000"/>
        </a:schemeClr>
      </a:solidFill>
      <a:prstDash val="solid"/>
      <a:round/>
    </a:ln>
    <a:effectLst>
      <a:outerShdw blurRad="63500" dist="37357" dir="2700000" sx="0" sy="0" rotWithShape="0">
        <a:scrgbClr r="0" g="0" b="0"/>
      </a:outerShdw>
    </a:effectLst>
  </c:spPr>
  <c:txPr>
    <a:bodyPr/>
    <a:lstStyle/>
    <a:p>
      <a:pPr>
        <a:defRPr lang="zh-CN" sz="900" b="1">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600" b="1" i="0" u="none" strike="noStrike" kern="1200" baseline="0">
                <a:solidFill>
                  <a:schemeClr val="tx2"/>
                </a:solidFill>
                <a:latin typeface="+mn-lt"/>
                <a:ea typeface="+mn-ea"/>
                <a:cs typeface="+mn-cs"/>
              </a:defRPr>
            </a:pPr>
            <a:r>
              <a:rPr lang="zh-CN" altLang="en-US" sz="1000" b="1"/>
              <a:t>各院</a:t>
            </a:r>
            <a:r>
              <a:rPr lang="en-US" altLang="zh-CN" sz="1000" b="1"/>
              <a:t>2022</a:t>
            </a:r>
            <a:r>
              <a:rPr lang="zh-CN" altLang="en-US" sz="1000" b="1"/>
              <a:t>年项目支出预决算比较</a:t>
            </a:r>
            <a:endParaRPr lang="zh-CN" altLang="en-US" sz="1000" b="1"/>
          </a:p>
        </c:rich>
      </c:tx>
      <c:layout/>
      <c:overlay val="0"/>
      <c:spPr>
        <a:noFill/>
        <a:ln>
          <a:noFill/>
        </a:ln>
        <a:effectLst/>
      </c:spPr>
    </c:title>
    <c:autoTitleDeleted val="0"/>
    <c:plotArea>
      <c:layout/>
      <c:barChart>
        <c:barDir val="col"/>
        <c:grouping val="clustered"/>
        <c:varyColors val="0"/>
        <c:ser>
          <c:idx val="0"/>
          <c:order val="0"/>
          <c:tx>
            <c:strRef>
              <c:f>'[1.预 算安排及批复(汇总)-2(4).xlsx]图2'!$B$2</c:f>
              <c:strCache>
                <c:ptCount val="1"/>
                <c:pt idx="0">
                  <c:v>预算总额（万元）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elete val="1"/>
          </c:dLbls>
          <c:cat>
            <c:strRef>
              <c:f>'[1.预 算安排及批复(汇总)-2(4).xlsx]图2'!$A$3:$A$16</c:f>
              <c:strCache>
                <c:ptCount val="14"/>
                <c:pt idx="0">
                  <c:v>总院</c:v>
                </c:pt>
                <c:pt idx="1">
                  <c:v>鄂尔多斯分院</c:v>
                </c:pt>
                <c:pt idx="2">
                  <c:v>包头分院</c:v>
                </c:pt>
                <c:pt idx="3">
                  <c:v>赤峰分院</c:v>
                </c:pt>
                <c:pt idx="4">
                  <c:v>通辽分院</c:v>
                </c:pt>
                <c:pt idx="5">
                  <c:v>呼伦贝尔分院</c:v>
                </c:pt>
                <c:pt idx="6">
                  <c:v>乌兰察布分院</c:v>
                </c:pt>
                <c:pt idx="7">
                  <c:v>乌海分院</c:v>
                </c:pt>
                <c:pt idx="8">
                  <c:v>巴彦淖尔分院</c:v>
                </c:pt>
                <c:pt idx="9">
                  <c:v>兴安盟分院</c:v>
                </c:pt>
                <c:pt idx="10">
                  <c:v>阿拉善盟分院</c:v>
                </c:pt>
                <c:pt idx="11">
                  <c:v>锡林郭勒分院</c:v>
                </c:pt>
                <c:pt idx="12">
                  <c:v>满洲里分院</c:v>
                </c:pt>
                <c:pt idx="13">
                  <c:v>二连浩特分院</c:v>
                </c:pt>
              </c:strCache>
            </c:strRef>
          </c:cat>
          <c:val>
            <c:numRef>
              <c:f>'[1.预 算安排及批复(汇总)-2(4).xlsx]图2'!$B$3:$B$16</c:f>
              <c:numCache>
                <c:formatCode>#,##0.00_ </c:formatCode>
                <c:ptCount val="14"/>
                <c:pt idx="0">
                  <c:v>5035.9663</c:v>
                </c:pt>
                <c:pt idx="1">
                  <c:v>3420.797483</c:v>
                </c:pt>
                <c:pt idx="2">
                  <c:v>2757.241939</c:v>
                </c:pt>
                <c:pt idx="3">
                  <c:v>2219.98987</c:v>
                </c:pt>
                <c:pt idx="4">
                  <c:v>1364.013604</c:v>
                </c:pt>
                <c:pt idx="5">
                  <c:v>1198.987548</c:v>
                </c:pt>
                <c:pt idx="6">
                  <c:v>1105.335</c:v>
                </c:pt>
                <c:pt idx="7">
                  <c:v>1067.635996</c:v>
                </c:pt>
                <c:pt idx="8">
                  <c:v>994.275288</c:v>
                </c:pt>
                <c:pt idx="9">
                  <c:v>780</c:v>
                </c:pt>
                <c:pt idx="10">
                  <c:v>766.5458</c:v>
                </c:pt>
                <c:pt idx="11">
                  <c:v>760</c:v>
                </c:pt>
                <c:pt idx="12">
                  <c:v>270</c:v>
                </c:pt>
                <c:pt idx="13">
                  <c:v>60</c:v>
                </c:pt>
              </c:numCache>
            </c:numRef>
          </c:val>
        </c:ser>
        <c:ser>
          <c:idx val="1"/>
          <c:order val="1"/>
          <c:tx>
            <c:strRef>
              <c:f>'[1.预 算安排及批复(汇总)-2(4).xlsx]图2'!$C$2</c:f>
              <c:strCache>
                <c:ptCount val="1"/>
                <c:pt idx="0">
                  <c:v>决算总额（万元）</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elete val="1"/>
          </c:dLbls>
          <c:cat>
            <c:strRef>
              <c:f>'[1.预 算安排及批复(汇总)-2(4).xlsx]图2'!$A$3:$A$16</c:f>
              <c:strCache>
                <c:ptCount val="14"/>
                <c:pt idx="0">
                  <c:v>总院</c:v>
                </c:pt>
                <c:pt idx="1">
                  <c:v>鄂尔多斯分院</c:v>
                </c:pt>
                <c:pt idx="2">
                  <c:v>包头分院</c:v>
                </c:pt>
                <c:pt idx="3">
                  <c:v>赤峰分院</c:v>
                </c:pt>
                <c:pt idx="4">
                  <c:v>通辽分院</c:v>
                </c:pt>
                <c:pt idx="5">
                  <c:v>呼伦贝尔分院</c:v>
                </c:pt>
                <c:pt idx="6">
                  <c:v>乌兰察布分院</c:v>
                </c:pt>
                <c:pt idx="7">
                  <c:v>乌海分院</c:v>
                </c:pt>
                <c:pt idx="8">
                  <c:v>巴彦淖尔分院</c:v>
                </c:pt>
                <c:pt idx="9">
                  <c:v>兴安盟分院</c:v>
                </c:pt>
                <c:pt idx="10">
                  <c:v>阿拉善盟分院</c:v>
                </c:pt>
                <c:pt idx="11">
                  <c:v>锡林郭勒分院</c:v>
                </c:pt>
                <c:pt idx="12">
                  <c:v>满洲里分院</c:v>
                </c:pt>
                <c:pt idx="13">
                  <c:v>二连浩特分院</c:v>
                </c:pt>
              </c:strCache>
            </c:strRef>
          </c:cat>
          <c:val>
            <c:numRef>
              <c:f>'[1.预 算安排及批复(汇总)-2(4).xlsx]图2'!$C$3:$C$16</c:f>
              <c:numCache>
                <c:formatCode>#,##0.00</c:formatCode>
                <c:ptCount val="14"/>
                <c:pt idx="0">
                  <c:v>4764.868738</c:v>
                </c:pt>
                <c:pt idx="1">
                  <c:v>3420.797483</c:v>
                </c:pt>
                <c:pt idx="2">
                  <c:v>2757.241939</c:v>
                </c:pt>
                <c:pt idx="3" c:formatCode="#,##0.00_ ">
                  <c:v>2219.98987</c:v>
                </c:pt>
                <c:pt idx="4" c:formatCode="_(* #,##0.00_);_(* \(#,##0.00\);_(* &quot;-&quot;??_);_(@_)">
                  <c:v>1364.013604</c:v>
                </c:pt>
                <c:pt idx="5" c:formatCode="#,##0.00_ ">
                  <c:v>1198.987548</c:v>
                </c:pt>
                <c:pt idx="6" c:formatCode="_(* #,##0.00_);_(* \(#,##0.00\);_(* &quot;-&quot;??_);_(@_)">
                  <c:v>1105.335</c:v>
                </c:pt>
                <c:pt idx="7" c:formatCode="_(* #,##0.00_);_(* \(#,##0.00\);_(* &quot;-&quot;??_);_(@_)">
                  <c:v>1067.635996</c:v>
                </c:pt>
                <c:pt idx="8" c:formatCode="_(* #,##0.00_);_(* \(#,##0.00\);_(* &quot;-&quot;??_);_(@_)">
                  <c:v>994.275288</c:v>
                </c:pt>
                <c:pt idx="9" c:formatCode="#,##0.00_ ">
                  <c:v>780</c:v>
                </c:pt>
                <c:pt idx="10" c:formatCode="_(* #,##0.00_);_(* \(#,##0.00\);_(* &quot;-&quot;??_);_(@_)">
                  <c:v>766.5458</c:v>
                </c:pt>
                <c:pt idx="11" c:formatCode="#,##0.00_ ">
                  <c:v>760</c:v>
                </c:pt>
                <c:pt idx="12" c:formatCode="#,##0.00_ ">
                  <c:v>270</c:v>
                </c:pt>
                <c:pt idx="13" c:formatCode="#,##0.00_ ">
                  <c:v>60</c:v>
                </c:pt>
              </c:numCache>
            </c:numRef>
          </c:val>
        </c:ser>
        <c:dLbls>
          <c:showLegendKey val="0"/>
          <c:showVal val="0"/>
          <c:showCatName val="0"/>
          <c:showSerName val="0"/>
          <c:showPercent val="0"/>
          <c:showBubbleSize val="0"/>
        </c:dLbls>
        <c:gapWidth val="100"/>
        <c:overlap val="-24"/>
        <c:axId val="262150016"/>
        <c:axId val="262151552"/>
      </c:barChart>
      <c:catAx>
        <c:axId val="262150016"/>
        <c:scaling>
          <c:orientation val="minMax"/>
        </c:scaling>
        <c:delete val="0"/>
        <c:axPos val="b"/>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0" vertOverflow="ellipsis" vert="horz" wrap="square" anchor="ctr" anchorCtr="1"/>
          <a:lstStyle/>
          <a:p>
            <a:pPr>
              <a:defRPr lang="zh-CN" sz="900" b="1" i="0" u="none" strike="noStrike" kern="1200" baseline="0">
                <a:solidFill>
                  <a:schemeClr val="tx2"/>
                </a:solidFill>
                <a:latin typeface="+mn-lt"/>
                <a:ea typeface="+mn-ea"/>
                <a:cs typeface="+mn-cs"/>
              </a:defRPr>
            </a:pPr>
          </a:p>
        </c:txPr>
        <c:crossAx val="262151552"/>
        <c:crosses val="autoZero"/>
        <c:auto val="1"/>
        <c:lblAlgn val="ctr"/>
        <c:lblOffset val="100"/>
        <c:noMultiLvlLbl val="0"/>
      </c:catAx>
      <c:valAx>
        <c:axId val="262151552"/>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0.00_ "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1" i="0" u="none" strike="noStrike" kern="1200" baseline="0">
                <a:solidFill>
                  <a:schemeClr val="tx2"/>
                </a:solidFill>
                <a:latin typeface="+mn-lt"/>
                <a:ea typeface="+mn-ea"/>
                <a:cs typeface="+mn-cs"/>
              </a:defRPr>
            </a:pPr>
          </a:p>
        </c:txPr>
        <c:crossAx val="2621500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2"/>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2"/>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b="1"/>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200" b="1" i="0" u="none" strike="noStrike" kern="1200" baseline="0">
                <a:solidFill>
                  <a:schemeClr val="tx2"/>
                </a:solidFill>
                <a:latin typeface="隶书" panose="02010509060101010101" charset="-122"/>
                <a:ea typeface="隶书" panose="02010509060101010101" charset="-122"/>
                <a:cs typeface="隶书" panose="02010509060101010101" charset="-122"/>
                <a:sym typeface="隶书" panose="02010509060101010101" charset="-122"/>
              </a:defRPr>
            </a:pPr>
            <a:r>
              <a:rPr lang="zh-CN" altLang="en-US" sz="1200">
                <a:latin typeface="隶书" panose="02010509060101010101" charset="-122"/>
                <a:ea typeface="隶书" panose="02010509060101010101" charset="-122"/>
                <a:cs typeface="隶书" panose="02010509060101010101" charset="-122"/>
                <a:sym typeface="隶书" panose="02010509060101010101" charset="-122"/>
              </a:rPr>
              <a:t>项目当年预算安排人均支出（即成本）比较（元</a:t>
            </a:r>
            <a:r>
              <a:rPr lang="en-US" altLang="zh-CN" sz="1200">
                <a:latin typeface="隶书" panose="02010509060101010101" charset="-122"/>
                <a:ea typeface="隶书" panose="02010509060101010101" charset="-122"/>
                <a:cs typeface="隶书" panose="02010509060101010101" charset="-122"/>
                <a:sym typeface="隶书" panose="02010509060101010101" charset="-122"/>
              </a:rPr>
              <a:t>/</a:t>
            </a:r>
            <a:r>
              <a:rPr lang="zh-CN" altLang="en-US" sz="1200">
                <a:latin typeface="隶书" panose="02010509060101010101" charset="-122"/>
                <a:ea typeface="隶书" panose="02010509060101010101" charset="-122"/>
                <a:cs typeface="隶书" panose="02010509060101010101" charset="-122"/>
                <a:sym typeface="隶书" panose="02010509060101010101" charset="-122"/>
              </a:rPr>
              <a:t>人）</a:t>
            </a:r>
            <a:endParaRPr lang="zh-CN" altLang="en-US" sz="1200">
              <a:latin typeface="隶书" panose="02010509060101010101" charset="-122"/>
              <a:ea typeface="隶书" panose="02010509060101010101" charset="-122"/>
              <a:cs typeface="隶书" panose="02010509060101010101" charset="-122"/>
              <a:sym typeface="隶书" panose="02010509060101010101" charset="-122"/>
            </a:endParaRPr>
          </a:p>
        </c:rich>
      </c:tx>
      <c:layout>
        <c:manualLayout>
          <c:xMode val="edge"/>
          <c:yMode val="edge"/>
          <c:x val="0.286698012404199"/>
          <c:y val="0.0222551928783383"/>
        </c:manualLayout>
      </c:layout>
      <c:overlay val="0"/>
      <c:spPr>
        <a:noFill/>
        <a:ln>
          <a:noFill/>
        </a:ln>
        <a:effectLst/>
      </c:spPr>
    </c:title>
    <c:autoTitleDeleted val="0"/>
    <c:plotArea>
      <c:layout/>
      <c:barChart>
        <c:barDir val="bar"/>
        <c:grouping val="clustered"/>
        <c:varyColors val="0"/>
        <c:ser>
          <c:idx val="0"/>
          <c:order val="0"/>
          <c:tx>
            <c:strRef>
              <c:f>[5.人数.xlsx]图!$B$4</c:f>
              <c:strCache>
                <c:ptCount val="1"/>
                <c:pt idx="0">
                  <c:v>人均成本</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2"/>
                    </a:solidFill>
                    <a:latin typeface="隶书" panose="02010509060101010101" charset="-122"/>
                    <a:ea typeface="隶书" panose="02010509060101010101" charset="-122"/>
                    <a:cs typeface="隶书" panose="02010509060101010101" charset="-122"/>
                    <a:sym typeface="隶书" panose="020105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2">
                          <a:lumMod val="35000"/>
                          <a:lumOff val="65000"/>
                        </a:schemeClr>
                      </a:solidFill>
                      <a:prstDash val="solid"/>
                      <a:round/>
                    </a:ln>
                    <a:effectLst/>
                  </c:spPr>
                </c15:leaderLines>
              </c:ext>
            </c:extLst>
          </c:dLbls>
          <c:cat>
            <c:strRef>
              <c:f>[5.人数.xlsx]图!$A$5:$A$19</c:f>
              <c:strCache>
                <c:ptCount val="15"/>
                <c:pt idx="0">
                  <c:v>总院</c:v>
                </c:pt>
                <c:pt idx="1">
                  <c:v>阿拉善分院</c:v>
                </c:pt>
                <c:pt idx="2">
                  <c:v>二连浩特分院</c:v>
                </c:pt>
                <c:pt idx="3">
                  <c:v>满洲里分院</c:v>
                </c:pt>
                <c:pt idx="4">
                  <c:v>鄂尔多斯分院</c:v>
                </c:pt>
                <c:pt idx="5">
                  <c:v>巴彦淖尔分院</c:v>
                </c:pt>
                <c:pt idx="6">
                  <c:v>乌兰察布分院</c:v>
                </c:pt>
                <c:pt idx="7">
                  <c:v>包头分院</c:v>
                </c:pt>
                <c:pt idx="8">
                  <c:v>锡林郭勒分院</c:v>
                </c:pt>
                <c:pt idx="9">
                  <c:v>呼伦贝尔分院</c:v>
                </c:pt>
                <c:pt idx="10">
                  <c:v>乌海分院</c:v>
                </c:pt>
                <c:pt idx="11">
                  <c:v>赤峰分院</c:v>
                </c:pt>
                <c:pt idx="12">
                  <c:v>通辽分院</c:v>
                </c:pt>
                <c:pt idx="13">
                  <c:v>兴安分院</c:v>
                </c:pt>
                <c:pt idx="14">
                  <c:v>全院平均成本</c:v>
                </c:pt>
              </c:strCache>
            </c:strRef>
          </c:cat>
          <c:val>
            <c:numRef>
              <c:f>[5.人数.xlsx]图!$B$5:$B$19</c:f>
              <c:numCache>
                <c:formatCode>#,##0.00_ </c:formatCode>
                <c:ptCount val="15"/>
                <c:pt idx="0">
                  <c:v>13.5652173913043</c:v>
                </c:pt>
                <c:pt idx="1">
                  <c:v>15.9574468085106</c:v>
                </c:pt>
                <c:pt idx="2">
                  <c:v>5.45454545454545</c:v>
                </c:pt>
                <c:pt idx="3">
                  <c:v>11.7391304347826</c:v>
                </c:pt>
                <c:pt idx="4">
                  <c:v>24.4025157232704</c:v>
                </c:pt>
                <c:pt idx="5">
                  <c:v>10</c:v>
                </c:pt>
                <c:pt idx="6">
                  <c:v>11.6470588235294</c:v>
                </c:pt>
                <c:pt idx="7">
                  <c:v>16.5644171779141</c:v>
                </c:pt>
                <c:pt idx="8">
                  <c:v>11.875</c:v>
                </c:pt>
                <c:pt idx="9">
                  <c:v>16.4383561643836</c:v>
                </c:pt>
                <c:pt idx="10">
                  <c:v>15.6716417910448</c:v>
                </c:pt>
                <c:pt idx="11">
                  <c:v>16.9230769230769</c:v>
                </c:pt>
                <c:pt idx="12">
                  <c:v>14.0816326530612</c:v>
                </c:pt>
                <c:pt idx="13">
                  <c:v>10.4</c:v>
                </c:pt>
                <c:pt idx="14">
                  <c:v>15.1117478510029</c:v>
                </c:pt>
              </c:numCache>
            </c:numRef>
          </c:val>
        </c:ser>
        <c:dLbls>
          <c:showLegendKey val="0"/>
          <c:showVal val="1"/>
          <c:showCatName val="0"/>
          <c:showSerName val="0"/>
          <c:showPercent val="0"/>
          <c:showBubbleSize val="0"/>
        </c:dLbls>
        <c:gapWidth val="100"/>
        <c:axId val="262204800"/>
        <c:axId val="285890816"/>
      </c:barChart>
      <c:catAx>
        <c:axId val="262204800"/>
        <c:scaling>
          <c:orientation val="minMax"/>
        </c:scaling>
        <c:delete val="0"/>
        <c:axPos val="l"/>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2"/>
                </a:solidFill>
                <a:latin typeface="隶书" panose="02010509060101010101" charset="-122"/>
                <a:ea typeface="隶书" panose="02010509060101010101" charset="-122"/>
                <a:cs typeface="隶书" panose="02010509060101010101" charset="-122"/>
                <a:sym typeface="隶书" panose="02010509060101010101" charset="-122"/>
              </a:defRPr>
            </a:pPr>
          </a:p>
        </c:txPr>
        <c:crossAx val="285890816"/>
        <c:crosses val="autoZero"/>
        <c:auto val="1"/>
        <c:lblAlgn val="ctr"/>
        <c:lblOffset val="100"/>
        <c:noMultiLvlLbl val="0"/>
      </c:catAx>
      <c:valAx>
        <c:axId val="285890816"/>
        <c:scaling>
          <c:orientation val="minMax"/>
        </c:scaling>
        <c:delete val="0"/>
        <c:axPos val="b"/>
        <c:majorGridlines>
          <c:spPr>
            <a:ln w="9525" cap="flat" cmpd="sng" algn="ctr">
              <a:solidFill>
                <a:schemeClr val="tx2">
                  <a:lumMod val="15000"/>
                  <a:lumOff val="85000"/>
                </a:schemeClr>
              </a:solidFill>
              <a:prstDash val="solid"/>
              <a:round/>
            </a:ln>
            <a:effectLst/>
          </c:spPr>
        </c:majorGridlines>
        <c:numFmt formatCode="General" sourceLinked="0"/>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2"/>
                </a:solidFill>
                <a:latin typeface="隶书" panose="02010509060101010101" charset="-122"/>
                <a:ea typeface="隶书" panose="02010509060101010101" charset="-122"/>
                <a:cs typeface="隶书" panose="02010509060101010101" charset="-122"/>
                <a:sym typeface="隶书" panose="02010509060101010101" charset="-122"/>
              </a:defRPr>
            </a:pPr>
          </a:p>
        </c:txPr>
        <c:crossAx val="26220480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2"/>
                </a:solidFill>
                <a:latin typeface="隶书" panose="02010509060101010101" charset="-122"/>
                <a:ea typeface="隶书" panose="02010509060101010101" charset="-122"/>
                <a:cs typeface="隶书" panose="02010509060101010101" charset="-122"/>
                <a:sym typeface="隶书" panose="02010509060101010101" charset="-122"/>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2"/>
              </a:solidFill>
              <a:latin typeface="隶书" panose="02010509060101010101" charset="-122"/>
              <a:ea typeface="隶书" panose="02010509060101010101" charset="-122"/>
              <a:cs typeface="隶书" panose="02010509060101010101" charset="-122"/>
              <a:sym typeface="隶书" panose="02010509060101010101" charset="-122"/>
            </a:defRPr>
          </a:pPr>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sz="1000">
          <a:latin typeface="隶书" panose="02010509060101010101" charset="-122"/>
          <a:ea typeface="隶书" panose="02010509060101010101" charset="-122"/>
          <a:cs typeface="隶书" panose="02010509060101010101" charset="-122"/>
          <a:sym typeface="隶书" panose="0201050906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2720</Words>
  <Characters>15508</Characters>
  <Lines>129</Lines>
  <Paragraphs>36</Paragraphs>
  <TotalTime>277</TotalTime>
  <ScaleCrop>false</ScaleCrop>
  <LinksUpToDate>false</LinksUpToDate>
  <CharactersWithSpaces>18192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2023-09-04T02:35:00Z</dcterms:created>
  <dc:creator>丹</dc:creator>
  <cp:lastModifiedBy>Administrator</cp:lastModifiedBy>
  <cp:lastPrinted>2023-05-08T03:14:00Z</cp:lastPrinted>
  <dcterms:modified xsi:type="dcterms:W3CDTF">2023-09-05T09:07:17Z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EC3B6F97E69A44F3A8B0FA345D291F1B_13</vt:lpwstr>
  </property>
</Properties>
</file>