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曳引驱动电梯施工自检报告</w:t>
      </w:r>
    </w:p>
    <w:p/>
    <w:p/>
    <w:p>
      <w:pPr>
        <w:jc w:val="center"/>
        <w:rPr>
          <w:rFonts w:asciiTheme="majorEastAsia" w:hAnsiTheme="majorEastAsia" w:eastAsiaTheme="majorEastAsia"/>
          <w:sz w:val="32"/>
          <w:szCs w:val="32"/>
        </w:rPr>
      </w:pPr>
      <w:r>
        <w:rPr>
          <w:rFonts w:hint="eastAsia" w:asciiTheme="minorEastAsia" w:hAnsiTheme="minorEastAsia"/>
          <w:b/>
          <w:sz w:val="28"/>
          <w:szCs w:val="28"/>
          <w:lang w:eastAsia="zh-CN"/>
        </w:rPr>
        <w:t>□</w:t>
      </w:r>
      <w:r>
        <w:rPr>
          <w:rFonts w:hint="eastAsia" w:asciiTheme="majorEastAsia" w:hAnsiTheme="majorEastAsia" w:eastAsiaTheme="majorEastAsia"/>
          <w:sz w:val="32"/>
          <w:szCs w:val="32"/>
        </w:rPr>
        <w:t>有机房/</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rPr>
        <w:t>无机房</w:t>
      </w:r>
    </w:p>
    <w:p/>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使用单位名称：</w:t>
            </w:r>
          </w:p>
        </w:tc>
        <w:tc>
          <w:tcPr>
            <w:tcW w:w="5891" w:type="dxa"/>
            <w:tcBorders>
              <w:top w:val="nil"/>
              <w:left w:val="nil"/>
              <w:right w:val="nil"/>
            </w:tcBorders>
          </w:tcPr>
          <w:p>
            <w:pPr>
              <w:jc w:val="left"/>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设备代码：</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asciiTheme="minorEastAsia" w:hAnsiTheme="minorEastAsia"/>
                <w:b/>
                <w:sz w:val="28"/>
                <w:szCs w:val="28"/>
                <w:lang w:eastAsia="zh-CN"/>
              </w:rPr>
              <w:t>□</w:t>
            </w:r>
            <w:r>
              <w:rPr>
                <w:rFonts w:hint="eastAsia" w:asciiTheme="minorEastAsia" w:hAnsiTheme="minorEastAsia"/>
                <w:b/>
                <w:sz w:val="28"/>
                <w:szCs w:val="28"/>
              </w:rPr>
              <w:t xml:space="preserve">3110       </w:t>
            </w:r>
            <w:r>
              <w:rPr>
                <w:rFonts w:hint="eastAsia" w:asciiTheme="minorEastAsia" w:hAnsiTheme="minorEastAsia"/>
                <w:b/>
                <w:sz w:val="28"/>
                <w:szCs w:val="28"/>
                <w:lang w:eastAsia="zh-CN"/>
              </w:rPr>
              <w:t>□</w:t>
            </w:r>
            <w:r>
              <w:rPr>
                <w:rFonts w:hint="eastAsia" w:asciiTheme="minorEastAsia" w:hAnsiTheme="minorEastAsia"/>
                <w:b/>
                <w:sz w:val="28"/>
                <w:szCs w:val="28"/>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设备类别：</w:t>
            </w:r>
          </w:p>
        </w:tc>
        <w:tc>
          <w:tcPr>
            <w:tcW w:w="5891" w:type="dxa"/>
            <w:tcBorders>
              <w:left w:val="nil"/>
              <w:right w:val="nil"/>
            </w:tcBorders>
          </w:tcPr>
          <w:p>
            <w:pPr>
              <w:rPr>
                <w:sz w:val="32"/>
                <w:szCs w:val="32"/>
              </w:rPr>
            </w:pPr>
            <w:r>
              <w:rPr>
                <w:rFonts w:hint="eastAsia"/>
                <w:sz w:val="32"/>
                <w:szCs w:val="32"/>
              </w:rPr>
              <w:t xml:space="preserve">    曳引与强制驱动电梯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设备品种：</w:t>
            </w:r>
          </w:p>
        </w:tc>
        <w:tc>
          <w:tcPr>
            <w:tcW w:w="5891" w:type="dxa"/>
            <w:tcBorders>
              <w:left w:val="nil"/>
              <w:right w:val="nil"/>
            </w:tcBorders>
          </w:tcPr>
          <w:p>
            <w:pPr>
              <w:rPr>
                <w:rFonts w:hint="eastAsia" w:eastAsiaTheme="minorEastAsia"/>
                <w:sz w:val="32"/>
                <w:szCs w:val="32"/>
                <w:lang w:eastAsia="zh-CN"/>
              </w:rPr>
            </w:pPr>
            <w:r>
              <w:rPr>
                <w:rFonts w:hint="eastAsia"/>
                <w:sz w:val="32"/>
                <w:szCs w:val="32"/>
              </w:rPr>
              <w:t xml:space="preserve">  </w:t>
            </w:r>
            <w:r>
              <w:rPr>
                <w:rFonts w:hint="eastAsia" w:asciiTheme="minorEastAsia" w:hAnsiTheme="minorEastAsia"/>
                <w:b/>
                <w:sz w:val="28"/>
                <w:szCs w:val="28"/>
                <w:lang w:eastAsia="zh-CN"/>
              </w:rPr>
              <w:t>□</w:t>
            </w:r>
            <w:r>
              <w:rPr>
                <w:rFonts w:hint="eastAsia" w:asciiTheme="minorEastAsia" w:hAnsiTheme="minorEastAsia"/>
                <w:b/>
                <w:sz w:val="28"/>
                <w:szCs w:val="28"/>
              </w:rPr>
              <w:t xml:space="preserve">乘客电梯     </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载货电梯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施工类别：</w:t>
            </w:r>
          </w:p>
        </w:tc>
        <w:tc>
          <w:tcPr>
            <w:tcW w:w="5891" w:type="dxa"/>
            <w:tcBorders>
              <w:left w:val="nil"/>
              <w:right w:val="nil"/>
            </w:tcBorders>
            <w:vAlign w:val="center"/>
          </w:tcPr>
          <w:p>
            <w:pPr>
              <w:ind w:firstLine="275" w:firstLineChars="98"/>
              <w:rPr>
                <w:b/>
                <w:sz w:val="28"/>
                <w:szCs w:val="28"/>
              </w:rPr>
            </w:pPr>
            <w:r>
              <w:rPr>
                <w:rFonts w:hint="eastAsia" w:asciiTheme="minorEastAsia" w:hAnsiTheme="minorEastAsia"/>
                <w:b/>
                <w:sz w:val="28"/>
                <w:szCs w:val="28"/>
                <w:lang w:eastAsia="zh-CN"/>
              </w:rPr>
              <w:t>□</w:t>
            </w:r>
            <w:r>
              <w:rPr>
                <w:rFonts w:hint="eastAsia"/>
                <w:b/>
                <w:sz w:val="28"/>
                <w:szCs w:val="28"/>
              </w:rPr>
              <w:t>安装</w:t>
            </w:r>
            <w:r>
              <w:rPr>
                <w:rFonts w:hint="eastAsia"/>
                <w:b/>
                <w:sz w:val="28"/>
                <w:szCs w:val="28"/>
                <w:lang w:val="en-US" w:eastAsia="zh-CN"/>
              </w:rPr>
              <w:t xml:space="preserve">    </w:t>
            </w:r>
            <w:r>
              <w:rPr>
                <w:rFonts w:hint="eastAsia"/>
                <w:b/>
                <w:sz w:val="28"/>
                <w:szCs w:val="28"/>
              </w:rPr>
              <w:t xml:space="preserve"> </w:t>
            </w:r>
            <w:r>
              <w:rPr>
                <w:rFonts w:hint="eastAsia" w:ascii="宋体" w:hAnsi="宋体" w:eastAsia="宋体"/>
                <w:b/>
                <w:sz w:val="28"/>
                <w:szCs w:val="28"/>
              </w:rPr>
              <w:t>□</w:t>
            </w:r>
            <w:r>
              <w:rPr>
                <w:rFonts w:hint="eastAsia"/>
                <w:b/>
                <w:sz w:val="28"/>
                <w:szCs w:val="28"/>
              </w:rPr>
              <w:t xml:space="preserve">改造    </w:t>
            </w:r>
            <w:r>
              <w:rPr>
                <w:rFonts w:hint="eastAsia" w:ascii="宋体" w:hAnsi="宋体" w:eastAsia="宋体"/>
                <w:b/>
                <w:sz w:val="28"/>
                <w:szCs w:val="28"/>
              </w:rPr>
              <w:t>□</w:t>
            </w:r>
            <w:r>
              <w:rPr>
                <w:rFonts w:hint="eastAsia"/>
                <w:b/>
                <w:sz w:val="28"/>
                <w:szCs w:val="28"/>
              </w:rPr>
              <w:t>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制造单位名称：</w:t>
            </w:r>
          </w:p>
        </w:tc>
        <w:tc>
          <w:tcPr>
            <w:tcW w:w="5891" w:type="dxa"/>
            <w:tcBorders>
              <w:left w:val="nil"/>
              <w:right w:val="nil"/>
            </w:tcBorders>
          </w:tcPr>
          <w:p>
            <w:pPr>
              <w:ind w:firstLine="640" w:firstLineChars="200"/>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施工单位名称：</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维护保养单位：</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施工开始日期：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年  </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施工结束日期：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p>
        </w:tc>
      </w:tr>
    </w:tbl>
    <w:p/>
    <w:p>
      <w:pPr>
        <w:widowControl/>
        <w:jc w:val="left"/>
      </w:pPr>
      <w:r>
        <w:br w:type="page"/>
      </w:r>
    </w:p>
    <w:p>
      <w:pPr>
        <w:spacing w:before="156" w:beforeLines="50" w:after="156" w:afterLines="50" w:line="440" w:lineRule="atLeast"/>
        <w:jc w:val="center"/>
        <w:rPr>
          <w:rFonts w:ascii="黑体" w:hAnsi="黑体" w:eastAsia="黑体"/>
          <w:sz w:val="32"/>
          <w:szCs w:val="32"/>
        </w:rPr>
      </w:pPr>
      <w:r>
        <w:rPr>
          <w:rFonts w:hint="eastAsia" w:ascii="黑体" w:hAnsi="黑体" w:eastAsia="黑体"/>
          <w:sz w:val="32"/>
          <w:szCs w:val="32"/>
        </w:rPr>
        <w:t>报告填写说明</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本报告书适用于曳引驱动电梯的安装（含移装）、改造、重大修理监督检验的自检，不适用于液压电梯、防爆电梯、杂物电梯、自动扶梯与自动人行道和消防员电梯；</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本报告书应使用黑色中性笔填写或使用计算机录入；</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本报告应在曳引驱动电梯现场检验环节及试验环节提供；</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自检结果填写检验合格项填写“○”、不合格项填写“×”、无此项填“/”，；</w:t>
      </w:r>
    </w:p>
    <w:p>
      <w:pPr>
        <w:pStyle w:val="17"/>
        <w:numPr>
          <w:ilvl w:val="0"/>
          <w:numId w:val="1"/>
        </w:numPr>
        <w:spacing w:line="440" w:lineRule="atLeast"/>
        <w:ind w:firstLineChars="0"/>
        <w:jc w:val="left"/>
        <w:rPr>
          <w:rFonts w:asciiTheme="minorEastAsia" w:hAnsiTheme="minorEastAsia"/>
          <w:sz w:val="28"/>
          <w:szCs w:val="28"/>
        </w:rPr>
      </w:pPr>
      <w:r>
        <w:rPr>
          <w:rFonts w:hint="eastAsia" w:asciiTheme="minorEastAsia" w:hAnsiTheme="minorEastAsia"/>
          <w:sz w:val="24"/>
          <w:szCs w:val="24"/>
        </w:rPr>
        <w:t>控制方式代号如下表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spacing w:line="440" w:lineRule="atLeast"/>
              <w:jc w:val="center"/>
              <w:rPr>
                <w:rFonts w:asciiTheme="minorEastAsia" w:hAnsiTheme="minorEastAsia"/>
                <w:szCs w:val="21"/>
              </w:rPr>
            </w:pPr>
            <w:r>
              <w:rPr>
                <w:rFonts w:hint="eastAsia" w:asciiTheme="minorEastAsia" w:hAnsiTheme="minorEastAsia"/>
                <w:szCs w:val="21"/>
              </w:rPr>
              <w:t>控制方式</w:t>
            </w:r>
          </w:p>
        </w:tc>
        <w:tc>
          <w:tcPr>
            <w:tcW w:w="1705" w:type="dxa"/>
          </w:tcPr>
          <w:p>
            <w:pPr>
              <w:spacing w:line="440" w:lineRule="atLeast"/>
              <w:jc w:val="center"/>
              <w:rPr>
                <w:rFonts w:asciiTheme="minorEastAsia" w:hAnsiTheme="minorEastAsia"/>
                <w:szCs w:val="21"/>
              </w:rPr>
            </w:pPr>
            <w:r>
              <w:rPr>
                <w:rFonts w:hint="eastAsia" w:asciiTheme="minorEastAsia" w:hAnsiTheme="minorEastAsia"/>
                <w:szCs w:val="21"/>
              </w:rPr>
              <w:t>信号控制</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集选控制</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并联控制</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梯群控制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spacing w:line="440" w:lineRule="atLeast"/>
              <w:jc w:val="center"/>
              <w:rPr>
                <w:rFonts w:asciiTheme="minorEastAsia" w:hAnsiTheme="minorEastAsia"/>
                <w:szCs w:val="21"/>
              </w:rPr>
            </w:pPr>
            <w:r>
              <w:rPr>
                <w:rFonts w:hint="eastAsia" w:asciiTheme="minorEastAsia" w:hAnsiTheme="minorEastAsia"/>
                <w:szCs w:val="21"/>
              </w:rPr>
              <w:t>代号</w:t>
            </w:r>
          </w:p>
        </w:tc>
        <w:tc>
          <w:tcPr>
            <w:tcW w:w="1705" w:type="dxa"/>
          </w:tcPr>
          <w:p>
            <w:pPr>
              <w:spacing w:line="440" w:lineRule="atLeast"/>
              <w:jc w:val="center"/>
              <w:rPr>
                <w:rFonts w:asciiTheme="minorEastAsia" w:hAnsiTheme="minorEastAsia"/>
                <w:szCs w:val="21"/>
              </w:rPr>
            </w:pPr>
            <w:r>
              <w:rPr>
                <w:rFonts w:hint="eastAsia" w:asciiTheme="minorEastAsia" w:hAnsiTheme="minorEastAsia"/>
                <w:szCs w:val="21"/>
              </w:rPr>
              <w:t>XH</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JX</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BL</w:t>
            </w:r>
          </w:p>
        </w:tc>
        <w:tc>
          <w:tcPr>
            <w:tcW w:w="1704" w:type="dxa"/>
            <w:vAlign w:val="center"/>
          </w:tcPr>
          <w:p>
            <w:pPr>
              <w:spacing w:line="440" w:lineRule="atLeast"/>
              <w:jc w:val="center"/>
              <w:rPr>
                <w:rFonts w:asciiTheme="minorEastAsia" w:hAnsiTheme="minorEastAsia"/>
                <w:szCs w:val="21"/>
              </w:rPr>
            </w:pPr>
            <w:r>
              <w:rPr>
                <w:rFonts w:hint="eastAsia" w:asciiTheme="minorEastAsia" w:hAnsiTheme="minorEastAsia"/>
                <w:szCs w:val="21"/>
              </w:rPr>
              <w:t>QK</w:t>
            </w:r>
          </w:p>
        </w:tc>
      </w:tr>
    </w:tbl>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有测试数据的项目将自检结果填写在自检结果栏中，测试数据填写在数据填写表相应的栏目中，有计算过程的需填写计算过程；</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本报告项目全部合格，报告结论判定为合格；</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对于安装（包括移装）及重大修理施工，本报告的结论页需有施工单位技术负责人与自检人员（注</w:t>
      </w:r>
      <w:r>
        <w:rPr>
          <w:rFonts w:hint="eastAsia" w:asciiTheme="minorEastAsia" w:hAnsiTheme="minorEastAsia"/>
          <w:sz w:val="24"/>
          <w:szCs w:val="24"/>
          <w:lang w:val="en-US" w:eastAsia="zh-CN"/>
        </w:rPr>
        <w:t>1</w:t>
      </w:r>
      <w:r>
        <w:rPr>
          <w:rFonts w:hint="eastAsia" w:asciiTheme="minorEastAsia" w:hAnsiTheme="minorEastAsia"/>
          <w:sz w:val="24"/>
          <w:szCs w:val="24"/>
        </w:rPr>
        <w:t>）签字，加盖安装单位公章或检验专用章，并经受检电梯制造单位确认并加盖公章或检验专用章后方可生效；</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对于改造电梯，</w:t>
      </w:r>
      <w:r>
        <w:rPr>
          <w:rFonts w:hint="eastAsia" w:asciiTheme="minorEastAsia" w:hAnsiTheme="minorEastAsia"/>
          <w:sz w:val="24"/>
          <w:szCs w:val="24"/>
        </w:rPr>
        <w:t>本报告的结论页需有施工单位技术负责人与自检人员签字，加盖改造单位公章或检验专用章，并经改造单位确认加盖公章或检验专用章，否则无效。</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设备的类别与品种按下表填写：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3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spacing w:line="440" w:lineRule="atLeast"/>
              <w:jc w:val="center"/>
              <w:rPr>
                <w:rFonts w:asciiTheme="minorEastAsia" w:hAnsiTheme="minorEastAsia"/>
                <w:sz w:val="24"/>
                <w:szCs w:val="24"/>
              </w:rPr>
            </w:pPr>
            <w:r>
              <w:rPr>
                <w:rFonts w:asciiTheme="minorEastAsia" w:hAnsiTheme="minorEastAsia"/>
                <w:sz w:val="24"/>
                <w:szCs w:val="24"/>
              </w:rPr>
              <w:t>设备类别</w:t>
            </w:r>
          </w:p>
        </w:tc>
        <w:tc>
          <w:tcPr>
            <w:tcW w:w="5670" w:type="dxa"/>
            <w:gridSpan w:val="2"/>
            <w:vAlign w:val="center"/>
          </w:tcPr>
          <w:p>
            <w:pPr>
              <w:spacing w:line="440" w:lineRule="atLeast"/>
              <w:jc w:val="center"/>
              <w:rPr>
                <w:rFonts w:asciiTheme="minorEastAsia" w:hAnsiTheme="minorEastAsia"/>
                <w:sz w:val="24"/>
                <w:szCs w:val="24"/>
              </w:rPr>
            </w:pPr>
            <w:r>
              <w:rPr>
                <w:rFonts w:asciiTheme="minorEastAsia" w:hAnsiTheme="minorEastAsia"/>
                <w:sz w:val="24"/>
                <w:szCs w:val="24"/>
              </w:rPr>
              <w:t>曳引与强制驱动电梯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spacing w:line="440" w:lineRule="atLeast"/>
              <w:jc w:val="center"/>
              <w:rPr>
                <w:rFonts w:asciiTheme="minorEastAsia" w:hAnsiTheme="minorEastAsia"/>
                <w:sz w:val="24"/>
                <w:szCs w:val="24"/>
              </w:rPr>
            </w:pPr>
            <w:r>
              <w:rPr>
                <w:rFonts w:asciiTheme="minorEastAsia" w:hAnsiTheme="minorEastAsia"/>
                <w:sz w:val="24"/>
                <w:szCs w:val="24"/>
              </w:rPr>
              <w:t>设备品种</w:t>
            </w:r>
          </w:p>
        </w:tc>
        <w:tc>
          <w:tcPr>
            <w:tcW w:w="2834" w:type="dxa"/>
            <w:vAlign w:val="center"/>
          </w:tcPr>
          <w:p>
            <w:pPr>
              <w:spacing w:line="440" w:lineRule="atLeast"/>
              <w:jc w:val="center"/>
              <w:rPr>
                <w:rFonts w:asciiTheme="minorEastAsia" w:hAnsiTheme="minorEastAsia"/>
                <w:sz w:val="24"/>
                <w:szCs w:val="24"/>
              </w:rPr>
            </w:pPr>
            <w:r>
              <w:rPr>
                <w:rFonts w:asciiTheme="minorEastAsia" w:hAnsiTheme="minorEastAsia"/>
                <w:sz w:val="24"/>
                <w:szCs w:val="24"/>
              </w:rPr>
              <w:t>曳引驱动乘客电梯</w:t>
            </w:r>
          </w:p>
        </w:tc>
        <w:tc>
          <w:tcPr>
            <w:tcW w:w="2836" w:type="dxa"/>
            <w:vAlign w:val="center"/>
          </w:tcPr>
          <w:p>
            <w:pPr>
              <w:spacing w:line="440" w:lineRule="atLeast"/>
              <w:jc w:val="center"/>
              <w:rPr>
                <w:rFonts w:asciiTheme="minorEastAsia" w:hAnsiTheme="minorEastAsia"/>
                <w:sz w:val="24"/>
                <w:szCs w:val="24"/>
              </w:rPr>
            </w:pPr>
            <w:r>
              <w:rPr>
                <w:rFonts w:asciiTheme="minorEastAsia" w:hAnsiTheme="minorEastAsia"/>
                <w:sz w:val="24"/>
                <w:szCs w:val="24"/>
              </w:rPr>
              <w:t>曳引驱动载货电梯</w:t>
            </w:r>
          </w:p>
        </w:tc>
      </w:tr>
    </w:tbl>
    <w:p>
      <w:pPr>
        <w:widowControl/>
        <w:spacing w:line="440" w:lineRule="atLeast"/>
        <w:jc w:val="left"/>
        <w:rPr>
          <w:sz w:val="48"/>
          <w:szCs w:val="48"/>
        </w:rPr>
      </w:pPr>
      <w:r>
        <w:rPr>
          <w:rFonts w:hint="eastAsia" w:asciiTheme="minorEastAsia" w:hAnsiTheme="minorEastAsia"/>
          <w:b/>
          <w:szCs w:val="21"/>
        </w:rPr>
        <w:t>注</w:t>
      </w:r>
      <w:r>
        <w:rPr>
          <w:rFonts w:hint="eastAsia" w:asciiTheme="minorEastAsia" w:hAnsiTheme="minorEastAsia"/>
          <w:b/>
          <w:szCs w:val="21"/>
          <w:lang w:val="en-US" w:eastAsia="zh-CN"/>
        </w:rPr>
        <w:t>1</w:t>
      </w:r>
      <w:r>
        <w:rPr>
          <w:rFonts w:hint="eastAsia" w:asciiTheme="minorEastAsia" w:hAnsiTheme="minorEastAsia"/>
          <w:b/>
          <w:szCs w:val="21"/>
        </w:rPr>
        <w:t>：自检人员应为施工单位的持有相应证书的人员。</w:t>
      </w:r>
      <w:r>
        <w:rPr>
          <w:sz w:val="48"/>
          <w:szCs w:val="48"/>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8"/>
        <w:gridCol w:w="1195"/>
        <w:gridCol w:w="652"/>
        <w:gridCol w:w="133"/>
        <w:gridCol w:w="5"/>
        <w:gridCol w:w="5"/>
        <w:gridCol w:w="1636"/>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设备品种</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产品编号</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设备代码</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制造日期</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位置信息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安装地区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安装地点</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楼盘名称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设备经度(东经E)</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设备纬度（北纬N）</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产权单位名称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使用单位地址</w:t>
            </w:r>
          </w:p>
        </w:tc>
        <w:tc>
          <w:tcPr>
            <w:tcW w:w="3393" w:type="pct"/>
            <w:gridSpan w:val="7"/>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使用单位代码</w:t>
            </w:r>
          </w:p>
        </w:tc>
        <w:tc>
          <w:tcPr>
            <w:tcW w:w="3393" w:type="pct"/>
            <w:gridSpan w:val="7"/>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安全管理部门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269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是否分支机构</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制造信息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制造许可证级别</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0"/>
                <w:szCs w:val="20"/>
                <w:u w:val="none"/>
              </w:rPr>
            </w:pPr>
            <w:r>
              <w:rPr>
                <w:rFonts w:hint="eastAsia" w:ascii="宋体" w:hAnsi="宋体" w:eastAsia="宋体" w:cs="宋体"/>
                <w:i w:val="0"/>
                <w:iCs w:val="0"/>
                <w:color w:val="000000"/>
                <w:kern w:val="0"/>
                <w:sz w:val="20"/>
                <w:szCs w:val="20"/>
                <w:u w:val="none"/>
                <w:lang w:val="en-US" w:eastAsia="zh-CN" w:bidi="ar"/>
              </w:rPr>
              <w:t>安装许可证编号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安装许可证级别</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0"/>
                <w:szCs w:val="20"/>
                <w:u w:val="none"/>
              </w:rPr>
            </w:pPr>
            <w:r>
              <w:rPr>
                <w:rFonts w:hint="eastAsia" w:ascii="宋体" w:hAnsi="宋体" w:eastAsia="宋体" w:cs="宋体"/>
                <w:i w:val="0"/>
                <w:iCs w:val="0"/>
                <w:color w:val="000000"/>
                <w:kern w:val="0"/>
                <w:sz w:val="20"/>
                <w:szCs w:val="20"/>
                <w:u w:val="none"/>
                <w:lang w:val="en-US" w:eastAsia="zh-CN" w:bidi="ar"/>
              </w:rPr>
              <w:t>安装单位联系人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安装单位联系人电话</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安装结束日期</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改造许可证级别</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0"/>
                <w:szCs w:val="20"/>
                <w:u w:val="none"/>
              </w:rPr>
            </w:pPr>
            <w:r>
              <w:rPr>
                <w:rFonts w:hint="eastAsia" w:ascii="宋体" w:hAnsi="宋体" w:eastAsia="宋体" w:cs="宋体"/>
                <w:i w:val="0"/>
                <w:iCs w:val="0"/>
                <w:color w:val="000000"/>
                <w:kern w:val="0"/>
                <w:sz w:val="20"/>
                <w:szCs w:val="20"/>
                <w:u w:val="none"/>
                <w:lang w:val="en-US" w:eastAsia="zh-CN" w:bidi="ar"/>
              </w:rPr>
              <w:t>改造单位联系人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改造单位联系人电话</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0"/>
                <w:szCs w:val="20"/>
                <w:u w:val="none"/>
              </w:rPr>
            </w:pPr>
            <w:r>
              <w:rPr>
                <w:rFonts w:hint="eastAsia" w:ascii="宋体" w:hAnsi="宋体" w:eastAsia="宋体" w:cs="宋体"/>
                <w:i w:val="0"/>
                <w:iCs w:val="0"/>
                <w:color w:val="000000"/>
                <w:kern w:val="0"/>
                <w:sz w:val="20"/>
                <w:szCs w:val="20"/>
                <w:u w:val="none"/>
                <w:lang w:val="en-US" w:eastAsia="zh-CN" w:bidi="ar"/>
              </w:rPr>
              <w:t>改造日期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重大修理许可证级别</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重大修理单位负责人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重大修理单位联系人</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重大修理单位联系电话</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重大修理日期</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维护保养单位名称</w:t>
            </w:r>
          </w:p>
        </w:tc>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维保单位许可证编号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维保许可证级别</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许可证有效期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维保救援电话</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使用登记证编号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bookmarkStart w:id="1" w:name="_GoBack"/>
            <w:bookmarkEnd w:id="1"/>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注册代码</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安全管理人员</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使用救援电话</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场所性质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使用单位内部编号</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是否有机房</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是否旧楼加装电梯</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是否特种设备</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p>
        </w:tc>
        <w:tc>
          <w:tcPr>
            <w:tcW w:w="14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是否公众聚集场所</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额定载重量</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额定速度</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额定载人</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提升高度</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层数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w:t>
            </w:r>
          </w:p>
        </w:tc>
        <w:tc>
          <w:tcPr>
            <w:tcW w:w="96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站数</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门数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w:t>
            </w:r>
          </w:p>
        </w:tc>
        <w:tc>
          <w:tcPr>
            <w:tcW w:w="96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轿厢高</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轿厢宽</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轿厢深</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轿厢装修情况</w:t>
            </w:r>
          </w:p>
        </w:tc>
        <w:tc>
          <w:tcPr>
            <w:tcW w:w="1164" w:type="pct"/>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962"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控制方式</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开门方式</w:t>
            </w:r>
          </w:p>
        </w:tc>
        <w:tc>
          <w:tcPr>
            <w:tcW w:w="1164" w:type="pct"/>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2"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开门方向</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对重块数量或总高度</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块/m</w:t>
            </w:r>
          </w:p>
        </w:tc>
        <w:tc>
          <w:tcPr>
            <w:tcW w:w="965" w:type="pct"/>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缓冲器型式 </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越程距离最大允许值</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mm</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楼层间距总超出值</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0"/>
                <w:szCs w:val="20"/>
                <w:u w:val="none"/>
              </w:rPr>
            </w:pPr>
            <w:r>
              <w:rPr>
                <w:rFonts w:hint="eastAsia" w:ascii="宋体" w:hAnsi="宋体" w:eastAsia="宋体" w:cs="宋体"/>
                <w:i w:val="0"/>
                <w:iCs w:val="0"/>
                <w:color w:val="000000"/>
                <w:kern w:val="0"/>
                <w:sz w:val="20"/>
                <w:szCs w:val="20"/>
                <w:u w:val="none"/>
                <w:lang w:val="en-US" w:eastAsia="zh-CN" w:bidi="ar"/>
              </w:rPr>
              <w:t>曳引绳根数</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曳引绳直径</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曳引轮节径</w:t>
            </w:r>
          </w:p>
        </w:tc>
        <w:tc>
          <w:tcPr>
            <w:tcW w:w="701"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曳引比</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是否具有能量回馈装置</w:t>
            </w:r>
          </w:p>
        </w:tc>
        <w:tc>
          <w:tcPr>
            <w:tcW w:w="1167"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95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是否具有IC卡装置</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是否具有自动救援装置</w:t>
            </w:r>
          </w:p>
        </w:tc>
        <w:tc>
          <w:tcPr>
            <w:tcW w:w="1167"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p>
        </w:tc>
        <w:tc>
          <w:tcPr>
            <w:tcW w:w="95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是否加装IC卡</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pPr>
        <w:rPr>
          <w:rFonts w:ascii="黑体" w:hAnsi="黑体" w:eastAsia="黑体"/>
          <w:b/>
          <w:sz w:val="28"/>
          <w:szCs w:val="28"/>
        </w:rPr>
      </w:pPr>
    </w:p>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96" w:type="dxa"/>
            <w:tcBorders>
              <w:top w:val="nil"/>
              <w:left w:val="nil"/>
              <w:bottom w:val="single" w:color="auto" w:sz="4" w:space="0"/>
              <w:right w:val="nil"/>
            </w:tcBorders>
            <w:vAlign w:val="center"/>
          </w:tcPr>
          <w:p>
            <w:pPr>
              <w:spacing w:line="440" w:lineRule="atLeast"/>
              <w:jc w:val="left"/>
              <w:rPr>
                <w:rFonts w:ascii="黑体" w:hAnsi="黑体" w:eastAsia="黑体"/>
                <w:b/>
                <w:sz w:val="28"/>
                <w:szCs w:val="28"/>
              </w:rPr>
            </w:pPr>
            <w:r>
              <w:rPr>
                <w:rFonts w:ascii="黑体" w:hAnsi="黑体" w:eastAsia="黑体"/>
                <w:b/>
                <w:sz w:val="28"/>
                <w:szCs w:val="28"/>
              </w:rPr>
              <w:t>自检结论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bottom w:val="single" w:color="auto" w:sz="4" w:space="0"/>
            </w:tcBorders>
            <w:vAlign w:val="center"/>
          </w:tcPr>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检验结论：</w:t>
            </w:r>
            <w:r>
              <w:rPr>
                <w:rFonts w:hint="eastAsia" w:ascii="黑体" w:hAnsi="黑体" w:eastAsia="黑体"/>
                <w:b/>
                <w:sz w:val="28"/>
                <w:szCs w:val="28"/>
              </w:rPr>
              <w:t xml:space="preserve">           </w:t>
            </w:r>
            <w:r>
              <w:rPr>
                <w:rFonts w:hint="eastAsia" w:ascii="黑体" w:hAnsi="黑体" w:eastAsia="黑体"/>
                <w:b/>
                <w:sz w:val="28"/>
                <w:szCs w:val="28"/>
                <w:lang w:eastAsia="zh-CN"/>
              </w:rPr>
              <w:t>□</w:t>
            </w:r>
            <w:r>
              <w:rPr>
                <w:rFonts w:ascii="黑体" w:hAnsi="黑体" w:eastAsia="黑体"/>
                <w:b/>
                <w:sz w:val="28"/>
                <w:szCs w:val="28"/>
              </w:rPr>
              <w:t>合格</w:t>
            </w:r>
            <w:r>
              <w:rPr>
                <w:rFonts w:hint="eastAsia" w:ascii="黑体" w:hAnsi="黑体" w:eastAsia="黑体"/>
                <w:b/>
                <w:sz w:val="28"/>
                <w:szCs w:val="28"/>
              </w:rPr>
              <w:t xml:space="preserve">    □不合格</w:t>
            </w:r>
          </w:p>
          <w:p>
            <w:pPr>
              <w:spacing w:before="156" w:beforeLines="50" w:after="156" w:afterLines="50" w:line="440" w:lineRule="atLeast"/>
              <w:jc w:val="left"/>
              <w:rPr>
                <w:rFonts w:ascii="黑体" w:hAnsi="黑体" w:eastAsia="黑体"/>
                <w:b/>
                <w:sz w:val="28"/>
                <w:szCs w:val="28"/>
              </w:rPr>
            </w:pPr>
            <w:r>
              <w:rPr>
                <w:rFonts w:hint="eastAsia" w:ascii="黑体" w:hAnsi="黑体" w:eastAsia="黑体"/>
                <w:b/>
                <w:sz w:val="28"/>
                <w:szCs w:val="28"/>
              </w:rPr>
              <w:t>自检人员（签章）：</w:t>
            </w:r>
          </w:p>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技术负责人（签章）：</w:t>
            </w:r>
          </w:p>
          <w:p>
            <w:pPr>
              <w:spacing w:before="156" w:beforeLines="50" w:after="156" w:afterLines="50" w:line="440" w:lineRule="atLeast"/>
              <w:ind w:firstLine="5138" w:firstLineChars="1828"/>
              <w:jc w:val="left"/>
              <w:rPr>
                <w:rFonts w:ascii="黑体" w:hAnsi="黑体" w:eastAsia="黑体"/>
                <w:b/>
                <w:sz w:val="28"/>
                <w:szCs w:val="28"/>
              </w:rPr>
            </w:pPr>
            <w:r>
              <w:rPr>
                <w:rFonts w:hint="eastAsia" w:ascii="黑体" w:hAnsi="黑体" w:eastAsia="黑体"/>
                <w:b/>
                <w:sz w:val="28"/>
                <w:szCs w:val="28"/>
              </w:rPr>
              <w:t>施工单位（盖章）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top w:val="nil"/>
              <w:left w:val="nil"/>
              <w:right w:val="nil"/>
            </w:tcBorders>
          </w:tcPr>
          <w:p>
            <w:pPr>
              <w:tabs>
                <w:tab w:val="left" w:pos="2925"/>
              </w:tabs>
              <w:spacing w:line="440" w:lineRule="atLeast"/>
              <w:jc w:val="left"/>
              <w:rPr>
                <w:rFonts w:ascii="黑体" w:hAnsi="黑体" w:eastAsia="黑体"/>
                <w:b/>
                <w:sz w:val="28"/>
                <w:szCs w:val="28"/>
              </w:rPr>
            </w:pPr>
            <w:r>
              <w:br w:type="page"/>
            </w:r>
            <w:r>
              <w:rPr>
                <w:rFonts w:hint="eastAsia" w:ascii="黑体" w:hAnsi="黑体" w:eastAsia="黑体"/>
                <w:b/>
                <w:sz w:val="28"/>
                <w:szCs w:val="28"/>
              </w:rPr>
              <w:t>七</w:t>
            </w:r>
            <w:r>
              <w:rPr>
                <w:rFonts w:ascii="黑体" w:hAnsi="黑体" w:eastAsia="黑体"/>
                <w:b/>
                <w:sz w:val="28"/>
                <w:szCs w:val="28"/>
              </w:rPr>
              <w:t>、制造单位确认</w:t>
            </w:r>
            <w:r>
              <w:rPr>
                <w:rFonts w:ascii="黑体" w:hAnsi="黑体" w:eastAsia="黑体"/>
                <w:b/>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Pr>
          <w:p>
            <w:pPr>
              <w:spacing w:before="156" w:beforeLines="50" w:after="156" w:afterLines="50" w:line="440" w:lineRule="atLeast"/>
              <w:ind w:firstLine="562" w:firstLineChars="200"/>
              <w:rPr>
                <w:rFonts w:ascii="黑体" w:hAnsi="黑体" w:eastAsia="黑体"/>
                <w:b/>
                <w:sz w:val="28"/>
                <w:szCs w:val="28"/>
              </w:rPr>
            </w:pPr>
            <w:r>
              <w:rPr>
                <w:rFonts w:ascii="黑体" w:hAnsi="黑体" w:eastAsia="黑体"/>
                <w:b/>
                <w:sz w:val="28"/>
                <w:szCs w:val="28"/>
              </w:rPr>
              <w:t>我司已对产品编号为</w:t>
            </w:r>
            <w:r>
              <w:rPr>
                <w:rFonts w:hint="eastAsia"/>
                <w:color w:val="0000FF"/>
                <w:sz w:val="28"/>
                <w:szCs w:val="28"/>
                <w:u w:val="single"/>
                <w:lang w:val="en-US" w:eastAsia="zh-CN"/>
              </w:rPr>
              <w:t xml:space="preserve">            </w:t>
            </w:r>
            <w:r>
              <w:rPr>
                <w:rFonts w:hint="eastAsia" w:ascii="黑体" w:hAnsi="黑体" w:eastAsia="黑体"/>
                <w:b/>
                <w:sz w:val="28"/>
                <w:szCs w:val="28"/>
              </w:rPr>
              <w:t>的曳引驱动电梯</w:t>
            </w:r>
            <w:r>
              <w:rPr>
                <w:rFonts w:ascii="黑体" w:hAnsi="黑体" w:eastAsia="黑体"/>
                <w:b/>
                <w:sz w:val="28"/>
                <w:szCs w:val="28"/>
              </w:rPr>
              <w:t>进行厂检并合格，且确认上述自检结论，并同意施工单位</w:t>
            </w:r>
            <w:r>
              <w:rPr>
                <w:rFonts w:hint="eastAsia" w:ascii="黑体" w:hAnsi="黑体" w:eastAsia="黑体"/>
                <w:b/>
                <w:sz w:val="28"/>
                <w:szCs w:val="28"/>
                <w:lang w:val="en-US" w:eastAsia="zh-CN"/>
              </w:rPr>
              <w:t>申报现场监督</w:t>
            </w:r>
            <w:r>
              <w:rPr>
                <w:rFonts w:ascii="黑体" w:hAnsi="黑体" w:eastAsia="黑体"/>
                <w:b/>
                <w:sz w:val="28"/>
                <w:szCs w:val="28"/>
              </w:rPr>
              <w:t>检验。</w:t>
            </w:r>
          </w:p>
          <w:p>
            <w:pPr>
              <w:spacing w:before="156" w:beforeLines="50" w:after="156" w:afterLines="50" w:line="440" w:lineRule="atLeast"/>
              <w:rPr>
                <w:rFonts w:ascii="黑体" w:hAnsi="黑体" w:eastAsia="黑体"/>
                <w:b/>
                <w:sz w:val="28"/>
                <w:szCs w:val="28"/>
              </w:rPr>
            </w:pPr>
            <w:r>
              <w:rPr>
                <w:rFonts w:ascii="黑体" w:hAnsi="黑体" w:eastAsia="黑体"/>
                <w:b/>
                <w:sz w:val="28"/>
                <w:szCs w:val="28"/>
              </w:rPr>
              <w:t>厂检人员（签章）：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制造单位（盖章）</w:t>
            </w:r>
          </w:p>
          <w:p>
            <w:pPr>
              <w:spacing w:before="156" w:beforeLines="50" w:after="156" w:afterLines="50" w:line="440" w:lineRule="atLeast"/>
              <w:ind w:firstLine="5138" w:firstLineChars="1828"/>
              <w:jc w:val="left"/>
              <w:rPr>
                <w:rFonts w:asciiTheme="minorEastAsia" w:hAnsiTheme="minorEastAsia"/>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p>
      <w:pPr>
        <w:widowControl/>
        <w:jc w:val="left"/>
      </w:pPr>
      <w:r>
        <w:br w:type="page"/>
      </w:r>
    </w:p>
    <w:tbl>
      <w:tblPr>
        <w:tblStyle w:val="6"/>
        <w:tblW w:w="83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2"/>
        <w:gridCol w:w="940"/>
        <w:gridCol w:w="424"/>
        <w:gridCol w:w="901"/>
        <w:gridCol w:w="580"/>
        <w:gridCol w:w="1017"/>
        <w:gridCol w:w="1019"/>
        <w:gridCol w:w="87"/>
        <w:gridCol w:w="1407"/>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7607" w:type="dxa"/>
            <w:gridSpan w:val="9"/>
            <w:vAlign w:val="center"/>
          </w:tcPr>
          <w:p>
            <w:pPr>
              <w:jc w:val="center"/>
              <w:rPr>
                <w:rFonts w:asciiTheme="minorEastAsia" w:hAnsiTheme="minorEastAsia"/>
                <w:szCs w:val="21"/>
              </w:rPr>
            </w:pPr>
            <w:r>
              <w:rPr>
                <w:b/>
                <w:szCs w:val="21"/>
              </w:rPr>
              <w:t>检验内容与要求</w:t>
            </w:r>
          </w:p>
        </w:tc>
        <w:tc>
          <w:tcPr>
            <w:tcW w:w="720" w:type="dxa"/>
            <w:vMerge w:val="restart"/>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自检结果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40"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5435" w:type="dxa"/>
            <w:gridSpan w:val="7"/>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Merge w:val="restart"/>
            <w:vAlign w:val="center"/>
          </w:tcPr>
          <w:p>
            <w:pPr>
              <w:jc w:val="center"/>
              <w:rPr>
                <w:rFonts w:asciiTheme="minorEastAsia" w:hAnsiTheme="minorEastAsia"/>
                <w:color w:val="000000" w:themeColor="text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A1.1.1</w:t>
            </w:r>
          </w:p>
        </w:tc>
        <w:tc>
          <w:tcPr>
            <w:tcW w:w="94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pacing w:val="10"/>
                <w:sz w:val="24"/>
                <w:szCs w:val="24"/>
              </w:rPr>
            </w:pPr>
            <w:r>
              <w:rPr>
                <w:rFonts w:ascii="宋体" w:hAnsi="宋体" w:eastAsia="宋体" w:cs="宋体"/>
                <w:color w:val="auto"/>
                <w:spacing w:val="10"/>
                <w:sz w:val="24"/>
                <w:szCs w:val="24"/>
              </w:rPr>
              <w:t>制造资料</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asciiTheme="minorEastAsia" w:hAnsiTheme="minorEastAsia"/>
                <w:color w:val="000000" w:themeColor="text1"/>
                <w:szCs w:val="21"/>
                <w:lang w:eastAsia="zh-CN"/>
                <w14:textFill>
                  <w14:solidFill>
                    <w14:schemeClr w14:val="tx1"/>
                  </w14:solidFill>
                </w14:textFill>
              </w:rPr>
            </w:pPr>
            <w:r>
              <w:rPr>
                <w:rFonts w:ascii="宋体" w:hAnsi="宋体" w:eastAsia="宋体" w:cs="宋体"/>
                <w:b/>
                <w:bCs/>
                <w:color w:val="auto"/>
                <w:spacing w:val="10"/>
                <w:sz w:val="13"/>
                <w:szCs w:val="13"/>
              </w:rPr>
              <w:t>注A1-1:</w:t>
            </w:r>
            <w:r>
              <w:rPr>
                <w:rFonts w:ascii="宋体" w:hAnsi="宋体" w:eastAsia="宋体" w:cs="宋体"/>
                <w:color w:val="auto"/>
                <w:spacing w:val="10"/>
                <w:sz w:val="13"/>
                <w:szCs w:val="13"/>
              </w:rPr>
              <w:t>提供的制造资料为复印件时，应当加盖整机制造单位(或者进口电梯的国内代理商)公章或者检验专用章</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1</w:t>
            </w:r>
            <w:r>
              <w:rPr>
                <w:rFonts w:hint="eastAsia" w:ascii="宋体" w:hAnsi="宋体" w:eastAsia="宋体" w:cs="宋体"/>
                <w:color w:val="auto"/>
                <w:spacing w:val="10"/>
                <w:sz w:val="24"/>
                <w:szCs w:val="24"/>
                <w:lang w:eastAsia="zh-CN"/>
              </w:rPr>
              <w:t>）</w:t>
            </w:r>
            <w:r>
              <w:rPr>
                <w:rFonts w:ascii="宋体" w:hAnsi="宋体" w:eastAsia="宋体" w:cs="宋体"/>
                <w:color w:val="auto"/>
                <w:spacing w:val="10"/>
                <w:sz w:val="24"/>
                <w:szCs w:val="24"/>
              </w:rPr>
              <w:t>配置说明，按照电梯的实际配置，列明其产品编号、型号、主要技术参数[包括提升高度、轿厢有效面积、轿厢设计自重及范围、额定载重量、额定速度、层站数、控制方式、平衡系数范围、主要部件和安全保护装置(注A1-2)的产品名称、型号、编号、制造单位名称、型式试验证书编号、制造日期，悬挂装置的名称、型号、主要参数(如直径、数 量),其他制动装置的型式;配置说明加盖整机制造单位(或者进口电梯的国内代理商)公章或者检验专用章，并且注明签发日期；</w:t>
            </w:r>
          </w:p>
          <w:p>
            <w:pPr>
              <w:keepNext w:val="0"/>
              <w:keepLines w:val="0"/>
              <w:pageBreakBefore w:val="0"/>
              <w:widowControl w:val="0"/>
              <w:kinsoku/>
              <w:wordWrap/>
              <w:overflowPunct/>
              <w:topLinePunct w:val="0"/>
              <w:autoSpaceDE/>
              <w:autoSpaceDN/>
              <w:bidi w:val="0"/>
              <w:adjustRightInd/>
              <w:snapToGrid/>
              <w:spacing w:before="130" w:line="240" w:lineRule="exact"/>
              <w:ind w:right="130"/>
              <w:textAlignment w:val="auto"/>
              <w:rPr>
                <w:rFonts w:hint="eastAsia" w:ascii="宋体" w:hAnsi="宋体" w:eastAsia="宋体" w:cs="宋体"/>
                <w:spacing w:val="-6"/>
                <w:sz w:val="23"/>
                <w:szCs w:val="23"/>
                <w:lang w:eastAsia="zh-CN"/>
              </w:rPr>
            </w:pPr>
            <w:r>
              <w:rPr>
                <w:rFonts w:ascii="宋体" w:hAnsi="宋体" w:eastAsia="宋体" w:cs="宋体"/>
                <w:b/>
                <w:bCs/>
                <w:spacing w:val="7"/>
                <w:sz w:val="13"/>
                <w:szCs w:val="13"/>
              </w:rPr>
              <w:t>注A1-2</w:t>
            </w:r>
            <w:r>
              <w:rPr>
                <w:rFonts w:ascii="宋体" w:hAnsi="宋体" w:eastAsia="宋体" w:cs="宋体"/>
                <w:spacing w:val="7"/>
                <w:sz w:val="13"/>
                <w:szCs w:val="13"/>
              </w:rPr>
              <w:t>:主要部件包括绳头组合、控制柜、层门、玻璃轿门、玻璃轿壁、驱动主机;安全保护装置包括限速器、 安全钳、缓冲器、门锁装置、轿厢上行超速保护装置、含有电子元件的安全电路、可编程电子安全相关系统、轿厢意外移动保护装置。</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(2)《特种设备生产许可证》</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(3)型式试验证书，包括整机、主要部件和安全保护装置的型式试验证书。</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(4)限速器、渐进式安全钳</w:t>
            </w:r>
            <w:r>
              <w:rPr>
                <w:rFonts w:hint="eastAsia" w:ascii="宋体" w:hAnsi="宋体" w:eastAsia="宋体" w:cs="宋体"/>
                <w:color w:val="auto"/>
                <w:spacing w:val="10"/>
                <w:sz w:val="24"/>
                <w:szCs w:val="24"/>
                <w:lang w:val="en-US" w:eastAsia="zh-CN"/>
              </w:rPr>
              <w:t>的调试证书</w:t>
            </w:r>
            <w:r>
              <w:rPr>
                <w:rFonts w:hint="eastAsia" w:ascii="宋体" w:hAnsi="宋体" w:eastAsia="宋体" w:cs="宋体"/>
                <w:color w:val="auto"/>
                <w:spacing w:val="10"/>
                <w:sz w:val="24"/>
                <w:szCs w:val="24"/>
                <w:lang w:eastAsia="zh-CN"/>
              </w:rPr>
              <w:t>。</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lang w:eastAsia="zh-CN"/>
              </w:rPr>
              <w:t>)安装使用维护保养说明书，包括安装、使用、维护保养说明(含制动器维护保养内容，如拆解、清洁、润滑、更换等),应急救援说明，以及</w:t>
            </w:r>
            <w:r>
              <w:rPr>
                <w:rFonts w:hint="eastAsia" w:ascii="宋体" w:hAnsi="宋体" w:eastAsia="宋体" w:cs="宋体"/>
                <w:color w:val="auto"/>
                <w:spacing w:val="10"/>
                <w:sz w:val="24"/>
                <w:szCs w:val="24"/>
                <w:lang w:val="en-US" w:eastAsia="zh-CN"/>
              </w:rPr>
              <w:t>符合表A1-1的</w:t>
            </w:r>
            <w:r>
              <w:rPr>
                <w:rFonts w:hint="eastAsia" w:ascii="宋体" w:hAnsi="宋体" w:eastAsia="宋体" w:cs="宋体"/>
                <w:color w:val="auto"/>
                <w:spacing w:val="10"/>
                <w:sz w:val="24"/>
                <w:szCs w:val="24"/>
                <w:lang w:eastAsia="zh-CN"/>
              </w:rPr>
              <w:t>相关声明(配置适用时)。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表</w:t>
            </w:r>
            <w:r>
              <w:rPr>
                <w:rFonts w:hint="eastAsia" w:ascii="宋体" w:hAnsi="宋体" w:eastAsia="宋体" w:cs="宋体"/>
                <w:color w:val="auto"/>
                <w:spacing w:val="10"/>
                <w:sz w:val="24"/>
                <w:szCs w:val="24"/>
                <w:lang w:val="en-US" w:eastAsia="zh-CN"/>
              </w:rPr>
              <w:t>A</w:t>
            </w:r>
            <w:r>
              <w:rPr>
                <w:rFonts w:hint="eastAsia" w:ascii="宋体" w:hAnsi="宋体" w:eastAsia="宋体" w:cs="宋体"/>
                <w:color w:val="auto"/>
                <w:spacing w:val="10"/>
                <w:sz w:val="24"/>
                <w:szCs w:val="24"/>
                <w:lang w:eastAsia="zh-CN"/>
              </w:rPr>
              <w:t>1-1</w:t>
            </w:r>
            <w:r>
              <w:rPr>
                <w:rFonts w:hint="eastAsia" w:ascii="宋体" w:hAnsi="宋体" w:eastAsia="宋体" w:cs="宋体"/>
                <w:color w:val="auto"/>
                <w:spacing w:val="10"/>
                <w:sz w:val="24"/>
                <w:szCs w:val="24"/>
                <w:lang w:val="en-US" w:eastAsia="zh-CN"/>
              </w:rPr>
              <w:t xml:space="preserve">   </w:t>
            </w:r>
            <w:r>
              <w:rPr>
                <w:rFonts w:hint="eastAsia" w:ascii="宋体" w:hAnsi="宋体" w:eastAsia="宋体" w:cs="宋体"/>
                <w:color w:val="auto"/>
                <w:spacing w:val="10"/>
                <w:sz w:val="24"/>
                <w:szCs w:val="24"/>
                <w:lang w:eastAsia="zh-CN"/>
              </w:rPr>
              <w:t>相关声明内容和要求</w:t>
            </w:r>
          </w:p>
        </w:tc>
        <w:tc>
          <w:tcPr>
            <w:tcW w:w="720" w:type="dxa"/>
            <w:vMerge w:val="restart"/>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eastAsia="宋体" w:cs="宋体"/>
                <w:spacing w:val="7"/>
                <w:sz w:val="13"/>
                <w:szCs w:val="13"/>
                <w:lang w:val="en-US" w:eastAsia="zh-CN"/>
              </w:rPr>
            </w:pPr>
            <w:r>
              <w:rPr>
                <w:rFonts w:hint="eastAsia" w:ascii="宋体" w:hAnsi="宋体" w:eastAsia="宋体" w:cs="宋体"/>
                <w:spacing w:val="7"/>
                <w:sz w:val="13"/>
                <w:szCs w:val="13"/>
                <w:lang w:val="en-US" w:eastAsia="zh-CN"/>
              </w:rPr>
              <w:t>序号</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eastAsia="宋体" w:cs="宋体"/>
                <w:spacing w:val="7"/>
                <w:sz w:val="13"/>
                <w:szCs w:val="13"/>
                <w:lang w:val="en-US" w:eastAsia="zh-CN"/>
              </w:rPr>
            </w:pPr>
            <w:r>
              <w:rPr>
                <w:rFonts w:hint="eastAsia" w:ascii="宋体" w:hAnsi="宋体" w:eastAsia="宋体" w:cs="宋体"/>
                <w:spacing w:val="7"/>
                <w:sz w:val="13"/>
                <w:szCs w:val="13"/>
                <w:lang w:val="en-US" w:eastAsia="zh-CN"/>
              </w:rPr>
              <w:t>声明内容和要求</w:t>
            </w:r>
          </w:p>
        </w:tc>
        <w:tc>
          <w:tcPr>
            <w:tcW w:w="149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eastAsia" w:ascii="宋体" w:hAnsi="宋体" w:eastAsia="宋体" w:cs="宋体"/>
                <w:spacing w:val="7"/>
                <w:sz w:val="13"/>
                <w:szCs w:val="13"/>
                <w:lang w:eastAsia="zh-CN"/>
              </w:rPr>
            </w:pPr>
            <w:r>
              <w:rPr>
                <w:rFonts w:ascii="宋体" w:hAnsi="宋体" w:eastAsia="宋体" w:cs="宋体"/>
                <w:spacing w:val="7"/>
                <w:sz w:val="13"/>
                <w:szCs w:val="13"/>
              </w:rPr>
              <w:t>备注</w:t>
            </w: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pacing w:val="8"/>
                <w:sz w:val="13"/>
                <w:szCs w:val="13"/>
                <w:lang w:val="en-US" w:eastAsia="zh-CN"/>
              </w:rPr>
            </w:pPr>
            <w:r>
              <w:rPr>
                <w:rFonts w:hint="eastAsia" w:ascii="宋体" w:hAnsi="宋体" w:eastAsia="宋体" w:cs="宋体"/>
                <w:color w:val="auto"/>
                <w:spacing w:val="8"/>
                <w:sz w:val="13"/>
                <w:szCs w:val="13"/>
                <w:lang w:val="en-US" w:eastAsia="zh-CN"/>
              </w:rPr>
              <w:t>1</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textAlignment w:val="auto"/>
              <w:rPr>
                <w:rFonts w:hint="eastAsia" w:ascii="宋体" w:hAnsi="宋体" w:eastAsia="宋体" w:cs="宋体"/>
                <w:color w:val="auto"/>
                <w:spacing w:val="8"/>
                <w:sz w:val="13"/>
                <w:szCs w:val="13"/>
                <w:lang w:eastAsia="zh-CN"/>
              </w:rPr>
            </w:pPr>
            <w:r>
              <w:rPr>
                <w:rFonts w:ascii="宋体" w:hAnsi="宋体" w:eastAsia="宋体" w:cs="宋体"/>
                <w:spacing w:val="7"/>
                <w:sz w:val="13"/>
                <w:szCs w:val="13"/>
              </w:rPr>
              <w:t>在安装使用维护保养说明书给出的使用条件下，包覆带或者包覆钢丝绳(以下统称包覆带)使用年限不少于15年</w:t>
            </w:r>
            <w:r>
              <w:rPr>
                <w:rFonts w:ascii="宋体" w:hAnsi="宋体" w:eastAsia="宋体" w:cs="宋体"/>
                <w:spacing w:val="13"/>
                <w:sz w:val="13"/>
                <w:szCs w:val="13"/>
              </w:rPr>
              <w:t>或者电梯驱动主机启动次数不少于3</w:t>
            </w:r>
            <w:r>
              <w:rPr>
                <w:rFonts w:hint="eastAsia" w:ascii="宋体" w:hAnsi="宋体" w:eastAsia="宋体" w:cs="宋体"/>
                <w:spacing w:val="13"/>
                <w:sz w:val="13"/>
                <w:szCs w:val="13"/>
                <w:lang w:val="en-US" w:eastAsia="zh-CN"/>
              </w:rPr>
              <w:t>0</w:t>
            </w:r>
            <w:r>
              <w:rPr>
                <w:rFonts w:ascii="宋体" w:hAnsi="宋体" w:eastAsia="宋体" w:cs="宋体"/>
                <w:spacing w:val="13"/>
                <w:sz w:val="13"/>
                <w:szCs w:val="13"/>
              </w:rPr>
              <w:t>0万次，以及未到</w:t>
            </w:r>
            <w:r>
              <w:rPr>
                <w:rFonts w:ascii="宋体" w:hAnsi="宋体" w:eastAsia="宋体" w:cs="宋体"/>
                <w:spacing w:val="7"/>
                <w:sz w:val="13"/>
                <w:szCs w:val="13"/>
              </w:rPr>
              <w:t>其使用年限或者驱动主机启动次数而达到报废条件时予</w:t>
            </w:r>
            <w:r>
              <w:rPr>
                <w:rFonts w:ascii="宋体" w:hAnsi="宋体" w:eastAsia="宋体" w:cs="宋体"/>
                <w:spacing w:val="3"/>
                <w:sz w:val="13"/>
                <w:szCs w:val="13"/>
              </w:rPr>
              <w:t>以免费更换的声明</w:t>
            </w:r>
            <w:r>
              <w:rPr>
                <w:rFonts w:hint="eastAsia" w:ascii="宋体" w:hAnsi="宋体" w:eastAsia="宋体" w:cs="宋体"/>
                <w:spacing w:val="3"/>
                <w:sz w:val="13"/>
                <w:szCs w:val="13"/>
                <w:lang w:eastAsia="zh-CN"/>
              </w:rPr>
              <w:t>。</w:t>
            </w:r>
          </w:p>
        </w:tc>
        <w:tc>
          <w:tcPr>
            <w:tcW w:w="1494" w:type="dxa"/>
            <w:gridSpan w:val="2"/>
            <w:vMerge w:val="restart"/>
            <w:tcBorders>
              <w:top w:val="single" w:color="auto" w:sz="4" w:space="0"/>
              <w:left w:val="single" w:color="auto" w:sz="4" w:space="0"/>
            </w:tcBorders>
            <w:vAlign w:val="center"/>
          </w:tcPr>
          <w:p>
            <w:pPr>
              <w:numPr>
                <w:ilvl w:val="0"/>
                <w:numId w:val="0"/>
              </w:numPr>
              <w:rPr>
                <w:rFonts w:hint="eastAsia" w:ascii="宋体" w:hAnsi="宋体" w:eastAsia="宋体" w:cs="宋体"/>
                <w:color w:val="auto"/>
                <w:spacing w:val="8"/>
                <w:sz w:val="23"/>
                <w:szCs w:val="23"/>
                <w:lang w:eastAsia="zh-CN"/>
              </w:rPr>
            </w:pPr>
            <w:r>
              <w:rPr>
                <w:rFonts w:ascii="宋体" w:hAnsi="宋体" w:eastAsia="宋体" w:cs="宋体"/>
                <w:spacing w:val="7"/>
                <w:sz w:val="13"/>
                <w:szCs w:val="13"/>
              </w:rPr>
              <w:t>使用年限自监督检验合格之日起开始计算</w:t>
            </w:r>
            <w:r>
              <w:rPr>
                <w:rFonts w:hint="eastAsia" w:ascii="宋体" w:hAnsi="宋体" w:eastAsia="宋体" w:cs="宋体"/>
                <w:spacing w:val="7"/>
                <w:sz w:val="13"/>
                <w:szCs w:val="13"/>
                <w:lang w:eastAsia="zh-CN"/>
              </w:rPr>
              <w:t>。</w:t>
            </w: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9"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pacing w:val="8"/>
                <w:sz w:val="13"/>
                <w:szCs w:val="13"/>
                <w:lang w:val="en-US" w:eastAsia="zh-CN"/>
              </w:rPr>
            </w:pPr>
            <w:r>
              <w:rPr>
                <w:rFonts w:hint="eastAsia" w:ascii="宋体" w:hAnsi="宋体" w:eastAsia="宋体" w:cs="宋体"/>
                <w:color w:val="auto"/>
                <w:spacing w:val="8"/>
                <w:sz w:val="13"/>
                <w:szCs w:val="13"/>
                <w:lang w:val="en-US" w:eastAsia="zh-CN"/>
              </w:rPr>
              <w:t>2</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textAlignment w:val="auto"/>
              <w:rPr>
                <w:rFonts w:hint="eastAsia" w:ascii="宋体" w:hAnsi="宋体" w:eastAsia="宋体" w:cs="宋体"/>
                <w:color w:val="auto"/>
                <w:spacing w:val="8"/>
                <w:sz w:val="13"/>
                <w:szCs w:val="13"/>
                <w:lang w:eastAsia="zh-CN"/>
              </w:rPr>
            </w:pPr>
            <w:r>
              <w:rPr>
                <w:rFonts w:ascii="宋体" w:hAnsi="宋体" w:eastAsia="宋体" w:cs="宋体"/>
                <w:spacing w:val="19"/>
                <w:sz w:val="13"/>
                <w:szCs w:val="13"/>
              </w:rPr>
              <w:t>非金属材质非线性蓄能型缓冲器的使用年限不</w:t>
            </w:r>
            <w:r>
              <w:rPr>
                <w:rFonts w:ascii="宋体" w:hAnsi="宋体" w:eastAsia="宋体" w:cs="宋体"/>
                <w:spacing w:val="18"/>
                <w:sz w:val="13"/>
                <w:szCs w:val="13"/>
              </w:rPr>
              <w:t>少于10</w:t>
            </w:r>
            <w:r>
              <w:rPr>
                <w:rFonts w:ascii="宋体" w:hAnsi="宋体" w:eastAsia="宋体" w:cs="宋体"/>
                <w:spacing w:val="8"/>
                <w:sz w:val="13"/>
                <w:szCs w:val="13"/>
              </w:rPr>
              <w:t>年，以及未到其使用年限而达到报废条件时予以免费</w:t>
            </w:r>
            <w:r>
              <w:rPr>
                <w:rFonts w:ascii="宋体" w:hAnsi="宋体" w:eastAsia="宋体" w:cs="宋体"/>
                <w:spacing w:val="7"/>
                <w:sz w:val="13"/>
                <w:szCs w:val="13"/>
              </w:rPr>
              <w:t>更</w:t>
            </w:r>
            <w:r>
              <w:rPr>
                <w:rFonts w:ascii="宋体" w:hAnsi="宋体" w:eastAsia="宋体" w:cs="宋体"/>
                <w:spacing w:val="6"/>
                <w:sz w:val="13"/>
                <w:szCs w:val="13"/>
              </w:rPr>
              <w:t>换的声明</w:t>
            </w:r>
            <w:r>
              <w:rPr>
                <w:rFonts w:hint="eastAsia" w:ascii="宋体" w:hAnsi="宋体" w:eastAsia="宋体" w:cs="宋体"/>
                <w:spacing w:val="6"/>
                <w:sz w:val="13"/>
                <w:szCs w:val="13"/>
                <w:lang w:eastAsia="zh-CN"/>
              </w:rPr>
              <w:t>。</w:t>
            </w:r>
          </w:p>
        </w:tc>
        <w:tc>
          <w:tcPr>
            <w:tcW w:w="1494" w:type="dxa"/>
            <w:gridSpan w:val="2"/>
            <w:vMerge w:val="continue"/>
            <w:tcBorders>
              <w:left w:val="single" w:color="auto" w:sz="4" w:space="0"/>
              <w:bottom w:val="single" w:color="auto" w:sz="4" w:space="0"/>
            </w:tcBorders>
            <w:vAlign w:val="center"/>
          </w:tcPr>
          <w:p>
            <w:pPr>
              <w:numPr>
                <w:ilvl w:val="0"/>
                <w:numId w:val="0"/>
              </w:numPr>
              <w:rPr>
                <w:rFonts w:hint="eastAsia" w:ascii="宋体" w:hAnsi="宋体" w:eastAsia="宋体" w:cs="宋体"/>
                <w:color w:val="auto"/>
                <w:spacing w:val="8"/>
                <w:sz w:val="23"/>
                <w:szCs w:val="23"/>
                <w:lang w:eastAsia="zh-CN"/>
              </w:rPr>
            </w:pP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pacing w:val="8"/>
                <w:sz w:val="13"/>
                <w:szCs w:val="13"/>
                <w:lang w:val="en-US" w:eastAsia="zh-CN"/>
              </w:rPr>
            </w:pPr>
            <w:r>
              <w:rPr>
                <w:rFonts w:hint="eastAsia" w:ascii="宋体" w:hAnsi="宋体" w:eastAsia="宋体" w:cs="宋体"/>
                <w:color w:val="auto"/>
                <w:spacing w:val="8"/>
                <w:sz w:val="13"/>
                <w:szCs w:val="13"/>
                <w:lang w:val="en-US" w:eastAsia="zh-CN"/>
              </w:rPr>
              <w:t>3</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textAlignment w:val="auto"/>
              <w:rPr>
                <w:rFonts w:hint="eastAsia" w:ascii="宋体" w:hAnsi="宋体" w:eastAsia="宋体" w:cs="宋体"/>
                <w:color w:val="auto"/>
                <w:spacing w:val="8"/>
                <w:sz w:val="13"/>
                <w:szCs w:val="13"/>
                <w:lang w:eastAsia="zh-CN"/>
              </w:rPr>
            </w:pPr>
            <w:r>
              <w:rPr>
                <w:rFonts w:ascii="宋体" w:hAnsi="宋体" w:eastAsia="宋体" w:cs="宋体"/>
                <w:sz w:val="13"/>
                <w:szCs w:val="13"/>
              </w:rPr>
              <w:t>非金属材质对重(平衡重)块达到报废条件时予以免费更换</w:t>
            </w:r>
            <w:r>
              <w:rPr>
                <w:rFonts w:ascii="宋体" w:hAnsi="宋体" w:eastAsia="宋体" w:cs="宋体"/>
                <w:spacing w:val="8"/>
                <w:sz w:val="13"/>
                <w:szCs w:val="13"/>
              </w:rPr>
              <w:t>的声明</w:t>
            </w:r>
            <w:r>
              <w:rPr>
                <w:rFonts w:hint="eastAsia" w:ascii="宋体" w:hAnsi="宋体" w:eastAsia="宋体" w:cs="宋体"/>
                <w:spacing w:val="8"/>
                <w:sz w:val="13"/>
                <w:szCs w:val="13"/>
                <w:lang w:eastAsia="zh-CN"/>
              </w:rPr>
              <w:t>。</w:t>
            </w:r>
          </w:p>
        </w:tc>
        <w:tc>
          <w:tcPr>
            <w:tcW w:w="1494" w:type="dxa"/>
            <w:gridSpan w:val="2"/>
            <w:tcBorders>
              <w:top w:val="single" w:color="auto" w:sz="4" w:space="0"/>
              <w:left w:val="single" w:color="auto" w:sz="4" w:space="0"/>
              <w:bottom w:val="single" w:color="auto" w:sz="4" w:space="0"/>
            </w:tcBorders>
            <w:vAlign w:val="center"/>
          </w:tcPr>
          <w:p>
            <w:pPr>
              <w:numPr>
                <w:ilvl w:val="0"/>
                <w:numId w:val="0"/>
              </w:numPr>
              <w:rPr>
                <w:rFonts w:hint="eastAsia" w:ascii="宋体" w:hAnsi="宋体" w:eastAsia="宋体" w:cs="宋体"/>
                <w:color w:val="auto"/>
                <w:spacing w:val="8"/>
                <w:sz w:val="23"/>
                <w:szCs w:val="23"/>
                <w:lang w:eastAsia="zh-CN"/>
              </w:rPr>
            </w:pP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2"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pacing w:val="8"/>
                <w:sz w:val="13"/>
                <w:szCs w:val="13"/>
                <w:lang w:val="en-US" w:eastAsia="zh-CN"/>
              </w:rPr>
            </w:pPr>
            <w:r>
              <w:rPr>
                <w:rFonts w:hint="eastAsia" w:ascii="宋体" w:hAnsi="宋体" w:eastAsia="宋体" w:cs="宋体"/>
                <w:color w:val="auto"/>
                <w:spacing w:val="8"/>
                <w:sz w:val="13"/>
                <w:szCs w:val="13"/>
                <w:lang w:val="en-US" w:eastAsia="zh-CN"/>
              </w:rPr>
              <w:t>4</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textAlignment w:val="auto"/>
              <w:rPr>
                <w:rFonts w:hint="eastAsia" w:ascii="宋体" w:hAnsi="宋体" w:eastAsia="宋体" w:cs="宋体"/>
                <w:color w:val="auto"/>
                <w:spacing w:val="8"/>
                <w:sz w:val="13"/>
                <w:szCs w:val="13"/>
                <w:lang w:eastAsia="zh-CN"/>
              </w:rPr>
            </w:pPr>
            <w:r>
              <w:rPr>
                <w:rFonts w:ascii="宋体" w:hAnsi="宋体" w:eastAsia="宋体" w:cs="宋体"/>
                <w:spacing w:val="2"/>
                <w:sz w:val="13"/>
                <w:szCs w:val="13"/>
              </w:rPr>
              <w:t>非金属材质反绳轮达到报废条件时予以免费更换的声明</w:t>
            </w:r>
            <w:r>
              <w:rPr>
                <w:rFonts w:hint="eastAsia" w:ascii="宋体" w:hAnsi="宋体" w:eastAsia="宋体" w:cs="宋体"/>
                <w:spacing w:val="2"/>
                <w:sz w:val="13"/>
                <w:szCs w:val="13"/>
                <w:lang w:eastAsia="zh-CN"/>
              </w:rPr>
              <w:t>。</w:t>
            </w:r>
          </w:p>
        </w:tc>
        <w:tc>
          <w:tcPr>
            <w:tcW w:w="1494" w:type="dxa"/>
            <w:gridSpan w:val="2"/>
            <w:tcBorders>
              <w:top w:val="single" w:color="auto" w:sz="4" w:space="0"/>
              <w:left w:val="single" w:color="auto" w:sz="4" w:space="0"/>
              <w:bottom w:val="single" w:color="auto" w:sz="4" w:space="0"/>
            </w:tcBorders>
            <w:vAlign w:val="center"/>
          </w:tcPr>
          <w:p>
            <w:pPr>
              <w:numPr>
                <w:ilvl w:val="0"/>
                <w:numId w:val="0"/>
              </w:numPr>
              <w:rPr>
                <w:rFonts w:hint="eastAsia" w:ascii="宋体" w:hAnsi="宋体" w:eastAsia="宋体" w:cs="宋体"/>
                <w:color w:val="auto"/>
                <w:spacing w:val="8"/>
                <w:sz w:val="23"/>
                <w:szCs w:val="23"/>
                <w:lang w:eastAsia="zh-CN"/>
              </w:rPr>
            </w:pP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42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pacing w:val="8"/>
                <w:sz w:val="13"/>
                <w:szCs w:val="13"/>
                <w:lang w:val="en-US" w:eastAsia="zh-CN"/>
              </w:rPr>
            </w:pPr>
            <w:r>
              <w:rPr>
                <w:rFonts w:hint="eastAsia" w:ascii="宋体" w:hAnsi="宋体" w:eastAsia="宋体" w:cs="宋体"/>
                <w:color w:val="auto"/>
                <w:spacing w:val="8"/>
                <w:sz w:val="13"/>
                <w:szCs w:val="13"/>
                <w:lang w:val="en-US" w:eastAsia="zh-CN"/>
              </w:rPr>
              <w:t>5</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textAlignment w:val="auto"/>
              <w:rPr>
                <w:rFonts w:hint="eastAsia" w:ascii="宋体" w:hAnsi="宋体" w:eastAsia="宋体" w:cs="宋体"/>
                <w:color w:val="auto"/>
                <w:spacing w:val="8"/>
                <w:sz w:val="13"/>
                <w:szCs w:val="13"/>
                <w:lang w:eastAsia="zh-CN"/>
              </w:rPr>
            </w:pPr>
            <w:r>
              <w:rPr>
                <w:rFonts w:ascii="宋体" w:hAnsi="宋体" w:eastAsia="宋体" w:cs="宋体"/>
                <w:spacing w:val="8"/>
                <w:sz w:val="13"/>
                <w:szCs w:val="13"/>
              </w:rPr>
              <w:t>未配置人为通过操作权限设置限制电梯正常运行时间</w:t>
            </w:r>
            <w:r>
              <w:rPr>
                <w:rFonts w:ascii="宋体" w:hAnsi="宋体" w:eastAsia="宋体" w:cs="宋体"/>
                <w:spacing w:val="7"/>
                <w:sz w:val="13"/>
                <w:szCs w:val="13"/>
              </w:rPr>
              <w:t>或</w:t>
            </w:r>
            <w:r>
              <w:rPr>
                <w:rFonts w:ascii="宋体" w:hAnsi="宋体" w:eastAsia="宋体" w:cs="宋体"/>
                <w:sz w:val="13"/>
                <w:szCs w:val="13"/>
              </w:rPr>
              <w:t xml:space="preserve"> </w:t>
            </w:r>
            <w:r>
              <w:rPr>
                <w:rFonts w:ascii="宋体" w:hAnsi="宋体" w:eastAsia="宋体" w:cs="宋体"/>
                <w:spacing w:val="1"/>
                <w:sz w:val="13"/>
                <w:szCs w:val="13"/>
              </w:rPr>
              <w:t>者次数的技术障碍类功能的声明</w:t>
            </w:r>
            <w:r>
              <w:rPr>
                <w:rFonts w:hint="eastAsia" w:ascii="宋体" w:hAnsi="宋体" w:eastAsia="宋体" w:cs="宋体"/>
                <w:spacing w:val="1"/>
                <w:sz w:val="13"/>
                <w:szCs w:val="13"/>
                <w:lang w:eastAsia="zh-CN"/>
              </w:rPr>
              <w:t>。</w:t>
            </w:r>
          </w:p>
        </w:tc>
        <w:tc>
          <w:tcPr>
            <w:tcW w:w="1494" w:type="dxa"/>
            <w:gridSpan w:val="2"/>
            <w:tcBorders>
              <w:top w:val="single" w:color="auto" w:sz="4" w:space="0"/>
              <w:left w:val="single" w:color="auto" w:sz="4" w:space="0"/>
              <w:bottom w:val="single" w:color="auto" w:sz="4" w:space="0"/>
            </w:tcBorders>
            <w:vAlign w:val="center"/>
          </w:tcPr>
          <w:p>
            <w:pPr>
              <w:numPr>
                <w:ilvl w:val="0"/>
                <w:numId w:val="0"/>
              </w:numPr>
              <w:rPr>
                <w:rFonts w:hint="eastAsia" w:ascii="宋体" w:hAnsi="宋体" w:eastAsia="宋体" w:cs="宋体"/>
                <w:color w:val="auto"/>
                <w:spacing w:val="8"/>
                <w:sz w:val="23"/>
                <w:szCs w:val="23"/>
                <w:lang w:eastAsia="zh-CN"/>
              </w:rPr>
            </w:pPr>
          </w:p>
        </w:tc>
        <w:tc>
          <w:tcPr>
            <w:tcW w:w="720" w:type="dxa"/>
            <w:vMerge w:val="continue"/>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color w:val="FF0000"/>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(6)整机质量证明文件，包括整机制造单位的《特种设备生产许可证》编号，电梯的设备品种、产品编号、型号、主要技术参数，安装单位的《特种设备生产许可证》编号、安装竣工日期、安装地点，电梯符合相关安全技术规范的声明；整机质量证明文件加盖整机制造单位(或者进口电梯的国内代理商)公章或者检验专用章，并且 注明签发日期。</w:t>
            </w: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A1.1.2</w:t>
            </w:r>
          </w:p>
        </w:tc>
        <w:tc>
          <w:tcPr>
            <w:tcW w:w="94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pacing w:val="10"/>
                <w:sz w:val="24"/>
                <w:szCs w:val="24"/>
              </w:rPr>
            </w:pPr>
            <w:r>
              <w:rPr>
                <w:rFonts w:ascii="宋体" w:hAnsi="宋体" w:eastAsia="宋体" w:cs="宋体"/>
                <w:color w:val="auto"/>
                <w:spacing w:val="10"/>
                <w:sz w:val="24"/>
                <w:szCs w:val="24"/>
              </w:rPr>
              <w:t>安装资料</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Theme="minorEastAsia" w:hAnsiTheme="minorEastAsia"/>
                <w:color w:val="000000" w:themeColor="text1"/>
                <w:szCs w:val="21"/>
                <w14:textFill>
                  <w14:solidFill>
                    <w14:schemeClr w14:val="tx1"/>
                  </w14:solidFill>
                </w14:textFill>
              </w:rPr>
            </w:pPr>
            <w:r>
              <w:rPr>
                <w:rFonts w:ascii="宋体" w:hAnsi="宋体" w:eastAsia="宋体" w:cs="宋体"/>
                <w:b/>
                <w:bCs/>
                <w:color w:val="auto"/>
                <w:spacing w:val="10"/>
                <w:sz w:val="13"/>
                <w:szCs w:val="13"/>
              </w:rPr>
              <w:t>注A1-3:</w:t>
            </w:r>
            <w:r>
              <w:rPr>
                <w:rFonts w:ascii="宋体" w:hAnsi="宋体" w:eastAsia="宋体" w:cs="宋体"/>
                <w:color w:val="auto"/>
                <w:spacing w:val="10"/>
                <w:sz w:val="13"/>
                <w:szCs w:val="13"/>
              </w:rPr>
              <w:t>提供的安装资料为复印件时，应当加盖安装单位公章或者检验专用章</w:t>
            </w:r>
          </w:p>
        </w:tc>
        <w:tc>
          <w:tcPr>
            <w:tcW w:w="5435" w:type="dxa"/>
            <w:gridSpan w:val="7"/>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(1)安装单位的《特种设备生产许可证》。</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(2)安装告知证明资料。</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(3)电梯相关建筑接口符合性声明，表明用于安装该电梯的机器空间、井道、层站以及通道、井道下方人员可以到达的空间等按照相关规定进行了土建交接，并且满足相关要求，加盖安装单位公章或者检验专用章。</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(4)变更设计证明文件(适用于发生设计变更时),有由使用单位提出、经整机制造单位同意的见证。</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(5)安装自检报告，由整机制造单位(或者进口电梯的国内代理商)出具或者盖章确认。</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A1.1.3</w:t>
            </w:r>
          </w:p>
        </w:tc>
        <w:tc>
          <w:tcPr>
            <w:tcW w:w="94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pacing w:val="10"/>
                <w:sz w:val="24"/>
                <w:szCs w:val="24"/>
              </w:rPr>
            </w:pPr>
            <w:r>
              <w:rPr>
                <w:rFonts w:ascii="宋体" w:hAnsi="宋体" w:eastAsia="宋体" w:cs="宋体"/>
                <w:color w:val="auto"/>
                <w:spacing w:val="10"/>
                <w:sz w:val="24"/>
                <w:szCs w:val="24"/>
              </w:rPr>
              <w:t>改造或者重大修理资料</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宋体" w:hAnsi="宋体" w:eastAsia="宋体" w:cs="宋体"/>
                <w:color w:val="auto"/>
                <w:spacing w:val="10"/>
                <w:sz w:val="24"/>
                <w:szCs w:val="24"/>
              </w:rPr>
            </w:pPr>
            <w:r>
              <w:rPr>
                <w:rFonts w:ascii="宋体" w:hAnsi="宋体" w:eastAsia="宋体" w:cs="宋体"/>
                <w:b/>
                <w:bCs/>
                <w:color w:val="auto"/>
                <w:spacing w:val="10"/>
                <w:sz w:val="13"/>
                <w:szCs w:val="13"/>
              </w:rPr>
              <w:t>注:A1-4</w:t>
            </w:r>
            <w:r>
              <w:rPr>
                <w:rFonts w:ascii="宋体" w:hAnsi="宋体" w:eastAsia="宋体" w:cs="宋体"/>
                <w:color w:val="auto"/>
                <w:spacing w:val="10"/>
                <w:sz w:val="13"/>
                <w:szCs w:val="13"/>
              </w:rPr>
              <w:t>提供的改造或者重大修理资料为复印件时，应</w:t>
            </w:r>
            <w:r>
              <w:rPr>
                <w:rFonts w:ascii="宋体" w:hAnsi="宋体" w:eastAsia="宋体" w:cs="宋体"/>
                <w:color w:val="auto"/>
                <w:spacing w:val="10"/>
                <w:sz w:val="15"/>
                <w:szCs w:val="15"/>
              </w:rPr>
              <w:t>当加盖改造或者修理单位公章或者检验专用章</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(1)改造或者重大修理电梯的使用登记证。</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(2)改造或者修理单位的《特种设备生产许可证》。</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(3)改造或者重大修理告知证明资料</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4</w:t>
            </w:r>
            <w:r>
              <w:rPr>
                <w:rFonts w:hint="eastAsia" w:ascii="宋体" w:hAnsi="宋体" w:eastAsia="宋体" w:cs="宋体"/>
                <w:color w:val="auto"/>
                <w:spacing w:val="10"/>
                <w:sz w:val="24"/>
                <w:szCs w:val="24"/>
                <w:lang w:eastAsia="zh-CN"/>
              </w:rPr>
              <w:t>)改造或者重大修理方案，如果拟加装自动救援操作装置、能量回馈节能装置或者IC卡系统等，并且属于重大修理时，还应当提供其加装方案(含电气原理图和接线图)。</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(5)加装或者更换的各主要部件和安全保护装置的型式试验证书。</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(6)加装或者更换的限速器、渐进式安全钳调试证书。</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(7)安装使用维护保养说明书(补充件),根据改造或者重大修理情况增补的相关安装、使用和维护保养说明(改造或者重大修理涉及制动器的，有制动器的维护保养内容，如拆解、清洁、润滑、更换等),应急救援说明，以及</w:t>
            </w:r>
            <w:r>
              <w:rPr>
                <w:rFonts w:hint="eastAsia" w:ascii="宋体" w:hAnsi="宋体" w:eastAsia="宋体" w:cs="宋体"/>
                <w:color w:val="auto"/>
                <w:spacing w:val="10"/>
                <w:sz w:val="24"/>
                <w:szCs w:val="24"/>
                <w:lang w:val="en-US" w:eastAsia="zh-CN"/>
              </w:rPr>
              <w:t>符合表A1-1的</w:t>
            </w:r>
            <w:r>
              <w:rPr>
                <w:rFonts w:hint="eastAsia" w:ascii="宋体" w:hAnsi="宋体" w:eastAsia="宋体" w:cs="宋体"/>
                <w:color w:val="auto"/>
                <w:spacing w:val="10"/>
                <w:sz w:val="24"/>
                <w:szCs w:val="24"/>
                <w:lang w:eastAsia="zh-CN"/>
              </w:rPr>
              <w:t>相关声明(改造或者重大修理涉及时)。</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(8)改造或者重大修理自检报告。</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232" w:type="dxa"/>
            <w:vMerge w:val="continue"/>
            <w:vAlign w:val="center"/>
          </w:tcPr>
          <w:p>
            <w:pPr>
              <w:jc w:val="center"/>
              <w:rPr>
                <w:rFonts w:ascii="宋体" w:hAnsi="宋体" w:eastAsia="宋体" w:cs="宋体"/>
                <w:spacing w:val="7"/>
                <w:sz w:val="23"/>
                <w:szCs w:val="23"/>
              </w:rPr>
            </w:pPr>
          </w:p>
        </w:tc>
        <w:tc>
          <w:tcPr>
            <w:tcW w:w="940" w:type="dxa"/>
            <w:vMerge w:val="continue"/>
            <w:tcBorders>
              <w:right w:val="single" w:color="auto" w:sz="4" w:space="0"/>
            </w:tcBorders>
            <w:vAlign w:val="center"/>
          </w:tcPr>
          <w:p>
            <w:pPr>
              <w:jc w:val="center"/>
              <w:rPr>
                <w:rFonts w:ascii="宋体" w:hAnsi="宋体" w:eastAsia="宋体" w:cs="宋体"/>
                <w:spacing w:val="-4"/>
                <w:sz w:val="21"/>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(9)改造或者重大修理质量证明文件，包括电梯的设备品种、使用登记证编号、型号、主要技术参数，改造或者修理单位的《特种设备生产许可证》编号、改造或者 重大修理竣工日期，电梯符合相关安全技术规范的声明；改造或者重大修理质量证明文件加盖改造或者修理单位公章或者检验专用章，并且注明签发日期。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jc w:val="center"/>
        </w:trPr>
        <w:tc>
          <w:tcPr>
            <w:tcW w:w="1232" w:type="dxa"/>
            <w:vMerge w:val="restart"/>
            <w:vAlign w:val="center"/>
          </w:tcPr>
          <w:p>
            <w:pPr>
              <w:jc w:val="center"/>
              <w:rPr>
                <w:rFonts w:hint="eastAsia" w:ascii="宋体" w:hAnsi="宋体" w:eastAsia="宋体" w:cs="宋体"/>
                <w:color w:val="000000" w:themeColor="text1"/>
                <w:spacing w:val="4"/>
                <w:sz w:val="21"/>
                <w:szCs w:val="21"/>
                <w:lang w:val="en-US" w:eastAsia="zh-CN"/>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A1.1.</w:t>
            </w:r>
            <w:r>
              <w:rPr>
                <w:rFonts w:hint="eastAsia" w:ascii="宋体" w:hAnsi="宋体" w:eastAsia="宋体" w:cs="宋体"/>
                <w:color w:val="000000" w:themeColor="text1"/>
                <w:spacing w:val="4"/>
                <w:sz w:val="21"/>
                <w:szCs w:val="21"/>
                <w:lang w:val="en-US" w:eastAsia="zh-CN"/>
                <w14:textFill>
                  <w14:solidFill>
                    <w14:schemeClr w14:val="tx1"/>
                  </w14:solidFill>
                </w14:textFill>
              </w:rPr>
              <w:t>5</w:t>
            </w:r>
          </w:p>
        </w:tc>
        <w:tc>
          <w:tcPr>
            <w:tcW w:w="940" w:type="dxa"/>
            <w:vMerge w:val="restart"/>
            <w:tcBorders>
              <w:right w:val="single" w:color="auto" w:sz="4"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宋体" w:hAnsi="宋体" w:eastAsia="宋体" w:cs="宋体"/>
                <w:color w:val="auto"/>
                <w:spacing w:val="10"/>
                <w:sz w:val="24"/>
                <w:szCs w:val="24"/>
              </w:rPr>
              <w:t>技术资料与铭牌(可识别标志)的一致性</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主要部件(绳头组合、玻璃轿门和玻璃轿壁除外)和安全保护装置的铭牌或者可识别标志(含有电子元件的安全电路、可编程电子安全相关系统、层门、轿门可以采用可识别标志)上标注的产品型号、编号(制造批次号)、制造单位名称或者商标、型式试验证书编号(含有电子元件的安全电路、可编程电子安全相关系统、层门、轿门可以不标注型式试验证书编号)、制造日期与配置说明一致。</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(2)主要部件和安全保护装置的铭牌或者可识别标志上标注的内容与相应的型式试验证书内容相符。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改造、重大修理监督检验时，应当对加装或者更换的主要部件和安全保护装置的铭牌或者可识别标志上标注的内容与相应型式试验证书的一致性进行审查</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通道及照明</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(1)通往机器空间的通道保持通畅，相关人员能够安全、方便、无阻碍地使用；如果通往机器空间的通道高出楼梯所到平面不超过4.0m,可以采用固定的梯子作为通道。</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color w:val="auto"/>
                <w:spacing w:val="10"/>
                <w:sz w:val="24"/>
                <w:szCs w:val="24"/>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(2)进入机器空间的门附近的通道设有永久性电气照明。</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机房通道门及警示标志</w:t>
            </w: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(1)机房通道门不能向机房内开启，其高度不小于1.80m,宽度不小于0.60m；门上装有用钥匙开启的锁，门开启后不用钥匙能够将其关闭和锁住，门锁住后不用钥匙能够从机房内将门打开。</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vAlign w:val="center"/>
          </w:tcPr>
          <w:p>
            <w:pPr>
              <w:jc w:val="center"/>
              <w:rPr>
                <w:rFonts w:asciiTheme="minorEastAsia" w:hAnsiTheme="minorEastAsia"/>
                <w:szCs w:val="21"/>
              </w:rPr>
            </w:pP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(2)机房通道门外侧设有包含“电梯机器—危险未经允许禁止入内”文字的警示标志。</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Align w:val="center"/>
          </w:tcPr>
          <w:p>
            <w:pPr>
              <w:jc w:val="center"/>
              <w:rPr>
                <w:rFonts w:ascii="宋体" w:hAnsi="宋体" w:eastAsia="宋体" w:cs="宋体"/>
                <w:color w:val="000000" w:themeColor="text1"/>
                <w:spacing w:val="4"/>
                <w:sz w:val="21"/>
                <w:szCs w:val="21"/>
                <w:lang w:val="en-US" w:eastAsia="zh-CN"/>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color w:val="auto"/>
                <w:spacing w:val="10"/>
                <w:sz w:val="24"/>
                <w:szCs w:val="24"/>
                <w:lang w:val="en-US" w:eastAsia="zh-CN"/>
              </w:rPr>
            </w:pPr>
            <w:r>
              <w:rPr>
                <w:rFonts w:ascii="宋体" w:hAnsi="宋体" w:eastAsia="宋体" w:cs="宋体"/>
                <w:color w:val="auto"/>
                <w:spacing w:val="10"/>
                <w:sz w:val="24"/>
                <w:szCs w:val="24"/>
              </w:rPr>
              <w:t>机器空间专用</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检查机器空间未用于电梯以外的其他用途。</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活动区域</w:t>
            </w:r>
          </w:p>
        </w:tc>
        <w:tc>
          <w:tcPr>
            <w:tcW w:w="5435"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(1)活动区域的净高度不小于1.80m。</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0"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vAlign w:val="center"/>
          </w:tcPr>
          <w:p>
            <w:pPr>
              <w:jc w:val="center"/>
              <w:rPr>
                <w:rFonts w:asciiTheme="minorEastAsia" w:hAnsiTheme="minorEastAsia"/>
                <w:szCs w:val="21"/>
              </w:rPr>
            </w:pPr>
          </w:p>
        </w:tc>
        <w:tc>
          <w:tcPr>
            <w:tcW w:w="5435"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(2)机房地面高度不一并且相差大于0.50m时，设有楼梯或者高度不大于4.0m的固定的梯子，并且设有护栏。</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color w:val="auto"/>
                <w:spacing w:val="10"/>
                <w:sz w:val="24"/>
                <w:szCs w:val="24"/>
              </w:rPr>
              <w:t>工作区域尺寸</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(1)在控制柜、紧急和测试操作屏前有一块净空间，其深度不小于0.70m,宽度不小于0.50m与控制柜、紧急和测试操作屏全宽的较大者，其净高度不小于2.00m。</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(2)对运动部件进行维护和检查以及紧急操作的地方有一块不小于0.50m×0.60m的水平净空间，其净高度不小于2.00m。</w:t>
            </w: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"https://1.2.1.6"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1.2.1.6</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vAlign w:val="center"/>
          </w:tcPr>
          <w:p>
            <w:pPr>
              <w:jc w:val="center"/>
              <w:rPr>
                <w:rFonts w:asciiTheme="minorEastAsia" w:hAnsiTheme="minorEastAsia"/>
                <w:szCs w:val="21"/>
              </w:rPr>
            </w:pPr>
            <w:r>
              <w:rPr>
                <w:rFonts w:ascii="宋体" w:hAnsi="宋体" w:eastAsia="宋体" w:cs="宋体"/>
                <w:color w:val="auto"/>
                <w:spacing w:val="10"/>
                <w:sz w:val="24"/>
                <w:szCs w:val="24"/>
              </w:rPr>
              <w:t>轿厢工作区域</w:t>
            </w: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(1)设有机械锁定装置，防止轿厢产生危险移动。</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Pr>
          <w:p>
            <w:pPr>
              <w:rPr>
                <w:rFonts w:asciiTheme="minorEastAsia" w:hAnsiTheme="minorEastAsia"/>
                <w:szCs w:val="21"/>
              </w:rPr>
            </w:pP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(2)设置检查机械锁定装置位置的电气安全装置，当该机械锁定装置处于非停放位置时，能够防止轿厢的所有运行。</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Pr>
          <w:p>
            <w:pPr>
              <w:rPr>
                <w:rFonts w:asciiTheme="minorEastAsia" w:hAnsiTheme="minorEastAsia"/>
                <w:szCs w:val="21"/>
              </w:rPr>
            </w:pP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(3)轿壁上设置的检修门不能向轿厢外打开，并且装有用钥匙开启的锁，不用钥匙能够关闭和锁住；检查该门锁住位置的电气安全装置功能有效。</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底坑工作区域</w:t>
            </w:r>
          </w:p>
        </w:tc>
        <w:tc>
          <w:tcPr>
            <w:tcW w:w="5435" w:type="dxa"/>
            <w:gridSpan w:val="7"/>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(1)设置停止轿厢运动的机械制停装置，使工作区域可站人平面与轿厢最低部件或者运载装置最前端部件之间的距离不小于2.00m。</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 w:hRule="atLeast"/>
          <w:jc w:val="center"/>
        </w:trPr>
        <w:tc>
          <w:tcPr>
            <w:tcW w:w="1232" w:type="dxa"/>
            <w:vMerge w:val="continue"/>
            <w:vAlign w:val="center"/>
          </w:tcPr>
          <w:p>
            <w:pPr>
              <w:jc w:val="center"/>
              <w:rPr>
                <w:rFonts w:ascii="Times New Roman" w:hAnsi="Times New Roman" w:eastAsia="Times New Roman" w:cs="Times New Roman"/>
                <w:b/>
                <w:bCs/>
                <w:spacing w:val="9"/>
                <w:sz w:val="22"/>
                <w:szCs w:val="22"/>
              </w:rPr>
            </w:pPr>
          </w:p>
        </w:tc>
        <w:tc>
          <w:tcPr>
            <w:tcW w:w="940" w:type="dxa"/>
            <w:vMerge w:val="continue"/>
            <w:vAlign w:val="center"/>
          </w:tcPr>
          <w:p>
            <w:pPr>
              <w:jc w:val="center"/>
              <w:rPr>
                <w:rFonts w:ascii="宋体" w:hAnsi="宋体" w:eastAsia="宋体" w:cs="宋体"/>
                <w:spacing w:val="9"/>
                <w:sz w:val="22"/>
                <w:szCs w:val="22"/>
              </w:rPr>
            </w:pPr>
          </w:p>
        </w:tc>
        <w:tc>
          <w:tcPr>
            <w:tcW w:w="5435" w:type="dxa"/>
            <w:gridSpan w:val="7"/>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(2)设置检查机械制停装置位置的电气安全装置，当机械制停装置处于非停放位置并且未进入工作位置时，能够防止轿厢的所有运行，当机械制停装置进入工作位置后，仅能通过检修运行控制装置来控制轿厢运行。</w:t>
            </w: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continue"/>
          </w:tcPr>
          <w:p>
            <w:pPr>
              <w:jc w:val="center"/>
              <w:rPr>
                <w:rFonts w:asciiTheme="minorEastAsia" w:hAnsiTheme="minorEastAsia"/>
                <w:szCs w:val="21"/>
              </w:rPr>
            </w:pPr>
          </w:p>
        </w:tc>
        <w:tc>
          <w:tcPr>
            <w:tcW w:w="940" w:type="dxa"/>
            <w:vMerge w:val="continue"/>
            <w:vAlign w:val="center"/>
          </w:tcPr>
          <w:p>
            <w:pPr>
              <w:jc w:val="center"/>
              <w:rPr>
                <w:rFonts w:asciiTheme="minorEastAsia" w:hAnsiTheme="minorEastAsia"/>
                <w:szCs w:val="21"/>
              </w:rPr>
            </w:pP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(3)在井道外设置电气复位装置，只有通过操纵该装置才能使电梯恢复到正常工作状态，该装置只能由被授权人员接近和操作。</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jc w:val="center"/>
        </w:trPr>
        <w:tc>
          <w:tcPr>
            <w:tcW w:w="1232" w:type="dxa"/>
            <w:vMerge w:val="restart"/>
            <w:tcBorders>
              <w:top w:val="single" w:color="auto" w:sz="4" w:space="0"/>
            </w:tcBorders>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"https://1.2.1.8"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1.2.1.8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top w:val="single" w:color="auto" w:sz="4" w:space="0"/>
              <w:right w:val="single" w:color="auto" w:sz="4" w:space="0"/>
            </w:tcBorders>
            <w:vAlign w:val="center"/>
          </w:tcPr>
          <w:p>
            <w:pPr>
              <w:jc w:val="center"/>
              <w:rPr>
                <w:rFonts w:asciiTheme="minorEastAsia" w:hAnsiTheme="minorEastAsia"/>
                <w:szCs w:val="21"/>
              </w:rPr>
            </w:pPr>
            <w:r>
              <w:rPr>
                <w:rFonts w:ascii="宋体" w:hAnsi="宋体" w:eastAsia="宋体" w:cs="宋体"/>
                <w:color w:val="auto"/>
                <w:spacing w:val="10"/>
                <w:sz w:val="24"/>
                <w:szCs w:val="24"/>
              </w:rPr>
              <w:t>平台工作区域</w:t>
            </w: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A1.2.1.8.1</w:t>
            </w:r>
            <w:r>
              <w:rPr>
                <w:rFonts w:hint="eastAsia" w:ascii="宋体" w:hAnsi="宋体" w:eastAsia="宋体" w:cs="宋体"/>
                <w:color w:val="auto"/>
                <w:spacing w:val="10"/>
                <w:sz w:val="24"/>
                <w:szCs w:val="24"/>
                <w:lang w:eastAsia="zh-CN"/>
              </w:rPr>
              <w:t>平台设置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当用于维护和检查驱动主机、控制柜的工作区域设置在平台上时，该平台</w:t>
            </w:r>
            <w:r>
              <w:rPr>
                <w:rFonts w:hint="eastAsia" w:ascii="宋体" w:hAnsi="宋体" w:eastAsia="宋体" w:cs="宋体"/>
                <w:color w:val="auto"/>
                <w:spacing w:val="10"/>
                <w:sz w:val="24"/>
                <w:szCs w:val="24"/>
                <w:lang w:val="en-US" w:eastAsia="zh-CN"/>
              </w:rPr>
              <w:t>应</w:t>
            </w:r>
            <w:r>
              <w:rPr>
                <w:rFonts w:hint="eastAsia" w:ascii="宋体" w:hAnsi="宋体" w:eastAsia="宋体" w:cs="宋体"/>
                <w:color w:val="auto"/>
                <w:spacing w:val="10"/>
                <w:sz w:val="24"/>
                <w:szCs w:val="24"/>
                <w:lang w:eastAsia="zh-CN"/>
              </w:rPr>
              <w:t>为永久性装置，并且设有护栏。</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2"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A1.2.1.8.2</w:t>
            </w:r>
            <w:r>
              <w:rPr>
                <w:rFonts w:hint="eastAsia" w:ascii="宋体" w:hAnsi="宋体" w:eastAsia="宋体" w:cs="宋体"/>
                <w:color w:val="auto"/>
                <w:spacing w:val="10"/>
                <w:sz w:val="24"/>
                <w:szCs w:val="24"/>
                <w:lang w:eastAsia="zh-CN"/>
              </w:rPr>
              <w:t>轿厢或者对重运行通道中的平台工作区域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(1)设有可以使平台进入(退出)工作位置的装置，该装置只能由被授权人员在底坑或者在井道外接近和操作，由电气安全装置确认平台完全缩回后电梯才能运行。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(2)维护和检查不需要移动轿厢时，设置防止轿厢移动的机械锁定装置和检查该装置位置的电气安全装置，当该装置处于非停放位置时，能够防止轿厢的所有运行。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维护和检查需要移动轿厢时，设置可移动止停装置来限制轿厢的运行区间，当轿厢位于平台上方时，该装置能够使轿厢停在上方距平台至少2.00m处，当轿厢位于平台下方时，该装置能够使轿厢停在平台下方符合本附件A</w:t>
            </w:r>
            <w:r>
              <w:rPr>
                <w:rFonts w:hint="eastAsia" w:ascii="宋体" w:hAnsi="宋体" w:eastAsia="宋体" w:cs="宋体"/>
                <w:color w:val="auto"/>
                <w:spacing w:val="10"/>
                <w:sz w:val="24"/>
                <w:szCs w:val="24"/>
                <w:lang w:eastAsia="zh-CN"/>
              </w:rPr>
              <w:fldChar w:fldCharType="begin"/>
            </w:r>
            <w:r>
              <w:rPr>
                <w:rFonts w:hint="eastAsia" w:ascii="宋体" w:hAnsi="宋体" w:eastAsia="宋体" w:cs="宋体"/>
                <w:color w:val="auto"/>
                <w:spacing w:val="10"/>
                <w:sz w:val="24"/>
                <w:szCs w:val="24"/>
                <w:lang w:eastAsia="zh-CN"/>
              </w:rPr>
              <w:instrText xml:space="preserve"> HYPERLINK "https://1.2.2.11" </w:instrText>
            </w:r>
            <w:r>
              <w:rPr>
                <w:rFonts w:hint="eastAsia" w:ascii="宋体" w:hAnsi="宋体" w:eastAsia="宋体" w:cs="宋体"/>
                <w:color w:val="auto"/>
                <w:spacing w:val="10"/>
                <w:sz w:val="24"/>
                <w:szCs w:val="24"/>
                <w:lang w:eastAsia="zh-CN"/>
              </w:rPr>
              <w:fldChar w:fldCharType="separate"/>
            </w:r>
            <w:r>
              <w:rPr>
                <w:rFonts w:hint="eastAsia" w:ascii="宋体" w:hAnsi="宋体" w:eastAsia="宋体" w:cs="宋体"/>
                <w:color w:val="auto"/>
                <w:spacing w:val="10"/>
                <w:sz w:val="24"/>
                <w:szCs w:val="24"/>
                <w:lang w:eastAsia="zh-CN"/>
              </w:rPr>
              <w:t>1.2.2.11</w:t>
            </w:r>
            <w:r>
              <w:rPr>
                <w:rFonts w:hint="eastAsia" w:ascii="宋体" w:hAnsi="宋体" w:eastAsia="宋体" w:cs="宋体"/>
                <w:color w:val="auto"/>
                <w:spacing w:val="10"/>
                <w:sz w:val="24"/>
                <w:szCs w:val="24"/>
                <w:lang w:eastAsia="zh-CN"/>
              </w:rPr>
              <w:fldChar w:fldCharType="end"/>
            </w:r>
            <w:r>
              <w:rPr>
                <w:rFonts w:hint="eastAsia" w:ascii="宋体" w:hAnsi="宋体" w:eastAsia="宋体" w:cs="宋体"/>
                <w:color w:val="auto"/>
                <w:spacing w:val="10"/>
                <w:sz w:val="24"/>
                <w:szCs w:val="24"/>
                <w:lang w:eastAsia="zh-CN"/>
              </w:rPr>
              <w:t>条要求的位置。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(4)设置检查止停装置工作位置的电气安全装置，只有止停装置处于完全缩回位置时才允许轿厢移动，只有止停装置处于完全伸出位置时才允许轿厢在本条第(3)项所限定的区域内移动。</w:t>
            </w: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井道照明</w:t>
            </w:r>
          </w:p>
        </w:tc>
        <w:tc>
          <w:tcPr>
            <w:tcW w:w="5435" w:type="dxa"/>
            <w:gridSpan w:val="7"/>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(1)井道内设有永久性电气照明；当部分封闭的井道附近有足够的电气照明时，井道内可以不设照明。</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井道封闭措施</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(1)全封闭井道，除必要的开口外完全封闭。</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hint="eastAsia"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(2)部分封闭井道，在人员可以正常接近电梯处设有无孔并且符合本附件图A1-1要求的围壁。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drawing>
                <wp:anchor distT="0" distB="0" distL="0" distR="0" simplePos="0" relativeHeight="251660288" behindDoc="0" locked="0" layoutInCell="1" allowOverlap="1">
                  <wp:simplePos x="0" y="0"/>
                  <wp:positionH relativeFrom="column">
                    <wp:posOffset>-78740</wp:posOffset>
                  </wp:positionH>
                  <wp:positionV relativeFrom="paragraph">
                    <wp:posOffset>101600</wp:posOffset>
                  </wp:positionV>
                  <wp:extent cx="3468370" cy="1737360"/>
                  <wp:effectExtent l="0" t="0" r="6350" b="0"/>
                  <wp:wrapSquare wrapText="bothSides"/>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4"/>
                          <a:stretch>
                            <a:fillRect/>
                          </a:stretch>
                        </pic:blipFill>
                        <pic:spPr>
                          <a:xfrm>
                            <a:off x="0" y="0"/>
                            <a:ext cx="3468370" cy="1737360"/>
                          </a:xfrm>
                          <a:prstGeom prst="rect">
                            <a:avLst/>
                          </a:prstGeom>
                        </pic:spPr>
                      </pic:pic>
                    </a:graphicData>
                  </a:graphic>
                </wp:anchor>
              </w:drawing>
            </w:r>
            <w:r>
              <w:rPr>
                <w:rFonts w:hint="eastAsia" w:ascii="宋体" w:hAnsi="宋体" w:eastAsia="宋体" w:cs="宋体"/>
                <w:color w:val="auto"/>
                <w:spacing w:val="10"/>
                <w:sz w:val="24"/>
                <w:szCs w:val="24"/>
                <w:lang w:eastAsia="zh-CN"/>
              </w:rPr>
              <w:t>图A1-1部分封闭井道的围</w:t>
            </w:r>
            <w:r>
              <w:rPr>
                <w:rFonts w:hint="eastAsia" w:ascii="宋体" w:hAnsi="宋体" w:eastAsia="宋体" w:cs="宋体"/>
                <w:color w:val="auto"/>
                <w:spacing w:val="10"/>
                <w:sz w:val="24"/>
                <w:szCs w:val="24"/>
                <w:lang w:val="en-US" w:eastAsia="zh-CN"/>
              </w:rPr>
              <w:t>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H：围壁高度(对于斜行电梯，指垂直测量值),单位为米(m)；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val="en-US" w:eastAsia="zh-CN"/>
              </w:rPr>
              <w:t>D：</w:t>
            </w:r>
            <w:r>
              <w:rPr>
                <w:rFonts w:hint="eastAsia" w:ascii="宋体" w:hAnsi="宋体" w:eastAsia="宋体" w:cs="宋体"/>
                <w:color w:val="auto"/>
                <w:spacing w:val="10"/>
                <w:sz w:val="24"/>
                <w:szCs w:val="24"/>
                <w:lang w:eastAsia="zh-CN"/>
              </w:rPr>
              <w:t>与电梯运动部件之间的距离，单位为</w:t>
            </w:r>
            <w:r>
              <w:rPr>
                <w:rFonts w:hint="eastAsia" w:ascii="宋体" w:hAnsi="宋体" w:eastAsia="宋体" w:cs="宋体"/>
                <w:color w:val="auto"/>
                <w:spacing w:val="10"/>
                <w:sz w:val="24"/>
                <w:szCs w:val="24"/>
                <w:lang w:val="en-US" w:eastAsia="zh-CN"/>
              </w:rPr>
              <w:t>米(m)。</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轿厢与井道壁的间距</w:t>
            </w: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eastAsia="zh-CN"/>
              </w:rPr>
              <w:t>(1)轿厢与面对轿厢入口的井道壁的间距不大于0.15m,对于采用垂直滑动门的载货电梯或者局部高度不大于0</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lang w:eastAsia="zh-CN"/>
              </w:rPr>
              <w:t>50m的，该间距可以增加到0.20m。</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vAlign w:val="center"/>
          </w:tcPr>
          <w:p>
            <w:pPr>
              <w:jc w:val="center"/>
              <w:rPr>
                <w:rFonts w:asciiTheme="minorEastAsia" w:hAnsiTheme="minorEastAsia"/>
                <w:szCs w:val="21"/>
              </w:rPr>
            </w:pPr>
          </w:p>
        </w:tc>
        <w:tc>
          <w:tcPr>
            <w:tcW w:w="5435"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(2)轿门设有门锁装置并且只能在开锁区域内打开的，本条第(1)项的间距不受限制。</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层门地坎下的井道壁</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(1)每个层门地坎下的井道壁是一个与层门地坎直接连接的，由光滑而坚硬的材料构成的连续垂直表面</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hint="eastAsia"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(2)层门地坎下井道壁的高度不小于开锁区域的1/2加上50mm,宽度不小于门入口的净宽度两边各加25mm。</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7"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到达和离开轿顶的安全措施</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asciiTheme="minorEastAsia" w:hAnsiTheme="minorEastAsia"/>
                <w:szCs w:val="21"/>
                <w:lang w:val="en-US" w:eastAsia="zh-CN"/>
              </w:rPr>
            </w:pPr>
            <w:r>
              <w:rPr>
                <w:rFonts w:ascii="宋体" w:hAnsi="宋体" w:eastAsia="宋体" w:cs="宋体"/>
                <w:b/>
                <w:bCs/>
                <w:color w:val="auto"/>
                <w:spacing w:val="5"/>
                <w:sz w:val="13"/>
                <w:szCs w:val="13"/>
              </w:rPr>
              <w:t>注A1-5</w:t>
            </w:r>
            <w:r>
              <w:rPr>
                <w:rFonts w:ascii="宋体" w:hAnsi="宋体" w:eastAsia="宋体" w:cs="宋体"/>
                <w:color w:val="auto"/>
                <w:spacing w:val="5"/>
                <w:sz w:val="13"/>
                <w:szCs w:val="13"/>
              </w:rPr>
              <w:t>:对于非消防员电梯，相邻的轿厢正对侧均设置了符合本附件A</w:t>
            </w:r>
            <w:r>
              <w:rPr>
                <w:rFonts w:ascii="宋体" w:hAnsi="宋体" w:eastAsia="宋体" w:cs="宋体"/>
                <w:color w:val="auto"/>
                <w:spacing w:val="5"/>
                <w:sz w:val="13"/>
                <w:szCs w:val="13"/>
              </w:rPr>
              <w:fldChar w:fldCharType="begin"/>
            </w:r>
            <w:r>
              <w:rPr>
                <w:rFonts w:ascii="宋体" w:hAnsi="宋体" w:eastAsia="宋体" w:cs="宋体"/>
                <w:color w:val="auto"/>
                <w:spacing w:val="5"/>
                <w:sz w:val="13"/>
                <w:szCs w:val="13"/>
              </w:rPr>
              <w:instrText xml:space="preserve"> HYPERLINK "https://1.2.6.4" </w:instrText>
            </w:r>
            <w:r>
              <w:rPr>
                <w:rFonts w:ascii="宋体" w:hAnsi="宋体" w:eastAsia="宋体" w:cs="宋体"/>
                <w:color w:val="auto"/>
                <w:spacing w:val="5"/>
                <w:sz w:val="13"/>
                <w:szCs w:val="13"/>
              </w:rPr>
              <w:fldChar w:fldCharType="separate"/>
            </w:r>
            <w:r>
              <w:rPr>
                <w:rFonts w:ascii="宋体" w:hAnsi="宋体" w:eastAsia="宋体" w:cs="宋体"/>
                <w:color w:val="auto"/>
                <w:spacing w:val="5"/>
                <w:sz w:val="13"/>
                <w:szCs w:val="13"/>
              </w:rPr>
              <w:t>1.2.6.4</w:t>
            </w:r>
            <w:r>
              <w:rPr>
                <w:rFonts w:ascii="宋体" w:hAnsi="宋体" w:eastAsia="宋体" w:cs="宋体"/>
                <w:color w:val="auto"/>
                <w:spacing w:val="5"/>
                <w:sz w:val="13"/>
                <w:szCs w:val="13"/>
              </w:rPr>
              <w:fldChar w:fldCharType="end"/>
            </w:r>
            <w:r>
              <w:rPr>
                <w:rFonts w:ascii="宋体" w:hAnsi="宋体" w:eastAsia="宋体" w:cs="宋体"/>
                <w:color w:val="auto"/>
                <w:spacing w:val="5"/>
                <w:sz w:val="13"/>
                <w:szCs w:val="13"/>
              </w:rPr>
              <w:t>条要求的轿厢 安全门时，可以不设置本条所述措施</w:t>
            </w:r>
          </w:p>
        </w:tc>
        <w:tc>
          <w:tcPr>
            <w:tcW w:w="5435" w:type="dxa"/>
            <w:gridSpan w:val="7"/>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相邻两层门地坎间的距离大于11m的，检查是否采取了 A1.2.2.5.1～A1.2.2.5.3条所述措施之一(注A1-5)。</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A1.2.2.5.1</w:t>
            </w:r>
            <w:r>
              <w:rPr>
                <w:rFonts w:hint="eastAsia" w:ascii="宋体" w:hAnsi="宋体" w:eastAsia="宋体" w:cs="宋体"/>
                <w:color w:val="auto"/>
                <w:spacing w:val="10"/>
                <w:sz w:val="24"/>
                <w:szCs w:val="24"/>
                <w:lang w:eastAsia="zh-CN"/>
              </w:rPr>
              <w:t>中间安全门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(1)设有中间安全门，其地坎与层门(或者安全门)地坎间的距离均不大于11m。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安全门不能向井道内开启，其高度不小于1.80m,宽度不小于0.35m；门上装有用钥匙开启的锁，门开启后不用钥匙能够将其关闭和锁住，门锁住后不用钥匙能够从井道内将门打开；验证门关闭状态的电气安全装置功能有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(3)在井道外，安全门附近设有包含“电梯井道—危险  未经允许禁止入内”文字的警示标志</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宋体" w:hAnsi="宋体" w:eastAsia="宋体" w:cs="宋体"/>
                <w:b/>
                <w:bCs/>
                <w:color w:val="auto"/>
                <w:spacing w:val="5"/>
                <w:sz w:val="13"/>
                <w:szCs w:val="13"/>
              </w:rPr>
            </w:pPr>
          </w:p>
        </w:tc>
        <w:tc>
          <w:tcPr>
            <w:tcW w:w="5435" w:type="dxa"/>
            <w:gridSpan w:val="7"/>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A1.2.2.5.2</w:t>
            </w:r>
            <w:r>
              <w:rPr>
                <w:rFonts w:hint="eastAsia" w:ascii="宋体" w:hAnsi="宋体" w:eastAsia="宋体" w:cs="宋体"/>
                <w:color w:val="auto"/>
                <w:spacing w:val="10"/>
                <w:sz w:val="24"/>
                <w:szCs w:val="24"/>
                <w:lang w:eastAsia="zh-CN"/>
              </w:rPr>
              <w:t>消防用防坠落装备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相邻层门(或者安全门)地坎间的距离不大于18m 的，具有在现场可以获得的消 防用防坠落装备，并且在上部层门(或者安全门)附近的井道外建筑结构上设有安全固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定点，其上标明的承载能力值不小于22kN。</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8" w:hRule="atLeast"/>
          <w:jc w:val="center"/>
        </w:trPr>
        <w:tc>
          <w:tcPr>
            <w:tcW w:w="1232" w:type="dxa"/>
            <w:vMerge w:val="continue"/>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A1.2.2.5.3</w:t>
            </w:r>
            <w:r>
              <w:rPr>
                <w:rFonts w:hint="eastAsia" w:ascii="宋体" w:hAnsi="宋体" w:eastAsia="宋体" w:cs="宋体"/>
                <w:color w:val="auto"/>
                <w:spacing w:val="10"/>
                <w:sz w:val="24"/>
                <w:szCs w:val="24"/>
                <w:lang w:eastAsia="zh-CN"/>
              </w:rPr>
              <w:t>钢斜梯和钢直梯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在井道内设有固定式钢斜梯或者具有安全护笼的固定式钢直梯，并且具有在紧邻的上部层门(或者安全门)、钢斜梯(或者钢直梯)以及轿顶之间安全进出的措施。</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color w:val="auto"/>
                <w:spacing w:val="10"/>
                <w:sz w:val="24"/>
                <w:szCs w:val="24"/>
              </w:rPr>
              <w:t>运行路径下方防护措施</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对重运行路径下端部的下方存在人员能够到达空间的，检查对重上是否设有安全钳。</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对重运行区域防护措施</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(1)从底坑地面到隔障的最低部分不大于0.30m。</w:t>
            </w:r>
          </w:p>
        </w:tc>
        <w:tc>
          <w:tcPr>
            <w:tcW w:w="720"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4"/>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(2)从对重完全压缩缓冲器的位置起，延伸到底坑地面以上至少2.00m处</w:t>
            </w:r>
          </w:p>
        </w:tc>
        <w:tc>
          <w:tcPr>
            <w:tcW w:w="720"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4"/>
                <w:sz w:val="22"/>
                <w:szCs w:val="22"/>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(3)宽度至少等于对重宽度。</w:t>
            </w:r>
          </w:p>
        </w:tc>
        <w:tc>
          <w:tcPr>
            <w:tcW w:w="720"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"https://1.2.2.9"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1.2.2.9</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color w:val="auto"/>
                <w:spacing w:val="10"/>
                <w:sz w:val="24"/>
                <w:szCs w:val="24"/>
              </w:rPr>
              <w:t>运动部件防护措施</w:t>
            </w:r>
          </w:p>
        </w:tc>
        <w:tc>
          <w:tcPr>
            <w:tcW w:w="5435" w:type="dxa"/>
            <w:gridSpan w:val="7"/>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FF0000"/>
                <w:spacing w:val="10"/>
                <w:sz w:val="24"/>
                <w:szCs w:val="24"/>
                <w:lang w:eastAsia="zh-CN"/>
              </w:rPr>
              <w:t>如果电梯正常运行中轿厢</w:t>
            </w:r>
            <w:r>
              <w:rPr>
                <w:rFonts w:hint="eastAsia" w:ascii="宋体" w:hAnsi="宋体" w:eastAsia="宋体" w:cs="宋体"/>
                <w:color w:val="FF0000"/>
                <w:spacing w:val="10"/>
                <w:sz w:val="24"/>
                <w:szCs w:val="24"/>
                <w:lang w:val="en-US" w:eastAsia="zh-CN"/>
              </w:rPr>
              <w:t>对重</w:t>
            </w:r>
            <w:r>
              <w:rPr>
                <w:rFonts w:hint="eastAsia" w:ascii="宋体" w:hAnsi="宋体" w:eastAsia="宋体" w:cs="宋体"/>
                <w:color w:val="FF0000"/>
                <w:spacing w:val="10"/>
                <w:sz w:val="24"/>
                <w:szCs w:val="24"/>
                <w:lang w:eastAsia="zh-CN"/>
              </w:rPr>
              <w:t>的最低部分(随行电缆、补偿装置及其附件、限速器张紧轮和类似装置除外)与底坑地面之间的净垂直距离不小于2.00m,轿厢行程的最低点以下可以不设置隔障。</w:t>
            </w:r>
            <w:r>
              <w:rPr>
                <w:rFonts w:hint="eastAsia" w:ascii="宋体" w:hAnsi="宋体" w:eastAsia="宋体" w:cs="宋体"/>
                <w:color w:val="FF0000"/>
                <w:spacing w:val="10"/>
                <w:sz w:val="24"/>
                <w:szCs w:val="24"/>
                <w:lang w:val="en-US" w:eastAsia="zh-CN"/>
              </w:rPr>
              <w:t>其余情况应满足A1.2.2.9（1）（2）要求。</w:t>
            </w:r>
          </w:p>
        </w:tc>
        <w:tc>
          <w:tcPr>
            <w:tcW w:w="720" w:type="dxa"/>
            <w:vMerge w:val="restart"/>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color w:val="auto"/>
                <w:spacing w:val="10"/>
                <w:sz w:val="24"/>
                <w:szCs w:val="24"/>
              </w:rPr>
            </w:pP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(1)在装有多台电梯的井道中，不同电梯的运动部件之间设有刚性隔障，该隔障从底坑地面不大于0.30m处向上延伸至底层端站楼面以上至少2.50m高度，并且有足够的宽度防止人员从一个底坑通往另一个底坑。</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(2)任一电梯的护栏内侧边缘和相邻电梯的运动部件之间的水平距离小于0.50m时，设置贯穿整个井道的隔障，并且其宽度不小于运动部件的宽度每边各加0.10m。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"https://1.2.2.10"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1.2.2.10</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制导行程</w:t>
            </w:r>
          </w:p>
        </w:tc>
        <w:tc>
          <w:tcPr>
            <w:tcW w:w="5435" w:type="dxa"/>
            <w:gridSpan w:val="7"/>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(1)曳引驱动电梯，当轿厢或者对重位于表A1-2规定的最高位置时，其导轨能够提供不小于0.10m的进一步制导行程，或者斜行电梯的运载装置和对重能够被导向至对应缓冲器完全压缩的位置。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表A1-2轿厢、对重的极限位置</w:t>
            </w:r>
          </w:p>
        </w:tc>
        <w:tc>
          <w:tcPr>
            <w:tcW w:w="720" w:type="dxa"/>
            <w:vMerge w:val="restart"/>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132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宋体" w:hAnsi="宋体" w:eastAsia="宋体" w:cs="宋体"/>
                <w:spacing w:val="7"/>
                <w:sz w:val="13"/>
                <w:szCs w:val="13"/>
                <w:lang w:val="en-US" w:eastAsia="zh-CN"/>
              </w:rPr>
            </w:pPr>
            <w:r>
              <w:rPr>
                <w:rFonts w:hint="eastAsia" w:ascii="宋体" w:hAnsi="宋体" w:eastAsia="宋体" w:cs="宋体"/>
                <w:spacing w:val="7"/>
                <w:sz w:val="13"/>
                <w:szCs w:val="13"/>
                <w:lang w:val="en-US" w:eastAsia="zh-CN"/>
              </w:rPr>
              <w:t>位置</w:t>
            </w:r>
          </w:p>
        </w:tc>
        <w:tc>
          <w:tcPr>
            <w:tcW w:w="4110" w:type="dxa"/>
            <w:gridSpan w:val="5"/>
            <w:tcBorders>
              <w:top w:val="single" w:color="auto" w:sz="4" w:space="0"/>
              <w:left w:val="single" w:color="auto" w:sz="4" w:space="0"/>
              <w:bottom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ascii="宋体" w:hAnsi="宋体" w:eastAsia="宋体" w:cs="宋体"/>
                <w:spacing w:val="7"/>
                <w:sz w:val="13"/>
                <w:szCs w:val="13"/>
                <w:lang w:val="en-US" w:eastAsia="zh-CN"/>
              </w:rPr>
            </w:pPr>
            <w:r>
              <w:rPr>
                <w:rFonts w:hint="eastAsia" w:ascii="宋体" w:hAnsi="宋体" w:eastAsia="宋体" w:cs="宋体"/>
                <w:spacing w:val="7"/>
                <w:sz w:val="13"/>
                <w:szCs w:val="13"/>
                <w:lang w:val="en-US" w:eastAsia="zh-CN"/>
              </w:rPr>
              <w:t>曳引驱动电梯</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132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轿厢最高位置</w:t>
            </w:r>
          </w:p>
        </w:tc>
        <w:tc>
          <w:tcPr>
            <w:tcW w:w="4110" w:type="dxa"/>
            <w:gridSpan w:val="5"/>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宋体" w:hAnsi="宋体" w:eastAsia="宋体" w:cs="宋体"/>
                <w:spacing w:val="7"/>
                <w:sz w:val="13"/>
                <w:szCs w:val="13"/>
                <w:lang w:eastAsia="zh-CN"/>
              </w:rPr>
            </w:pPr>
            <w:r>
              <w:rPr>
                <w:rFonts w:ascii="宋体" w:hAnsi="宋体" w:eastAsia="宋体" w:cs="宋体"/>
                <w:spacing w:val="7"/>
                <w:sz w:val="13"/>
                <w:szCs w:val="13"/>
              </w:rPr>
              <w:t>对重完全压缩缓冲器+0.035v²</w:t>
            </w:r>
            <w:r>
              <w:rPr>
                <w:rFonts w:hint="eastAsia" w:ascii="宋体" w:hAnsi="宋体" w:eastAsia="宋体" w:cs="宋体"/>
                <w:spacing w:val="7"/>
                <w:sz w:val="13"/>
                <w:szCs w:val="13"/>
                <w:lang w:eastAsia="zh-CN"/>
              </w:rPr>
              <w:t>。</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132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轿厢最低位置</w:t>
            </w:r>
          </w:p>
        </w:tc>
        <w:tc>
          <w:tcPr>
            <w:tcW w:w="4110" w:type="dxa"/>
            <w:gridSpan w:val="5"/>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宋体" w:hAnsi="宋体" w:eastAsia="宋体" w:cs="宋体"/>
                <w:spacing w:val="7"/>
                <w:sz w:val="13"/>
                <w:szCs w:val="13"/>
                <w:lang w:eastAsia="zh-CN"/>
              </w:rPr>
            </w:pPr>
            <w:r>
              <w:rPr>
                <w:rFonts w:ascii="宋体" w:hAnsi="宋体" w:eastAsia="宋体" w:cs="宋体"/>
                <w:spacing w:val="7"/>
                <w:sz w:val="13"/>
                <w:szCs w:val="13"/>
              </w:rPr>
              <w:t>轿厢完全压缩缓冲器</w:t>
            </w:r>
            <w:r>
              <w:rPr>
                <w:rFonts w:hint="eastAsia" w:ascii="宋体" w:hAnsi="宋体" w:eastAsia="宋体" w:cs="宋体"/>
                <w:spacing w:val="7"/>
                <w:sz w:val="13"/>
                <w:szCs w:val="13"/>
                <w:lang w:eastAsia="zh-CN"/>
              </w:rPr>
              <w:t>。</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132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对重最高位置</w:t>
            </w:r>
          </w:p>
        </w:tc>
        <w:tc>
          <w:tcPr>
            <w:tcW w:w="4110" w:type="dxa"/>
            <w:gridSpan w:val="5"/>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轿厢完全压缩缓冲器+0.035v²</w:t>
            </w:r>
            <w:r>
              <w:rPr>
                <w:rFonts w:hint="eastAsia" w:ascii="宋体" w:hAnsi="宋体" w:eastAsia="宋体" w:cs="宋体"/>
                <w:spacing w:val="7"/>
                <w:sz w:val="13"/>
                <w:szCs w:val="13"/>
                <w:lang w:eastAsia="zh-CN"/>
              </w:rPr>
              <w:t>。</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72"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132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对重</w:t>
            </w:r>
            <w:r>
              <w:rPr>
                <w:rFonts w:hint="eastAsia" w:ascii="宋体" w:hAnsi="宋体" w:eastAsia="宋体" w:cs="宋体"/>
                <w:spacing w:val="7"/>
                <w:sz w:val="13"/>
                <w:szCs w:val="13"/>
                <w:lang w:val="en-US" w:eastAsia="zh-CN"/>
              </w:rPr>
              <w:t>最低</w:t>
            </w:r>
            <w:r>
              <w:rPr>
                <w:rFonts w:ascii="宋体" w:hAnsi="宋体" w:eastAsia="宋体" w:cs="宋体"/>
                <w:spacing w:val="7"/>
                <w:sz w:val="13"/>
                <w:szCs w:val="13"/>
              </w:rPr>
              <w:t>位置</w:t>
            </w:r>
          </w:p>
        </w:tc>
        <w:tc>
          <w:tcPr>
            <w:tcW w:w="4110" w:type="dxa"/>
            <w:gridSpan w:val="5"/>
            <w:tcBorders>
              <w:top w:val="single" w:color="auto" w:sz="4" w:space="0"/>
              <w:left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宋体" w:hAnsi="宋体" w:eastAsia="宋体" w:cs="宋体"/>
                <w:spacing w:val="7"/>
                <w:sz w:val="13"/>
                <w:szCs w:val="13"/>
                <w:lang w:eastAsia="zh-CN"/>
              </w:rPr>
            </w:pPr>
            <w:r>
              <w:rPr>
                <w:rFonts w:ascii="宋体" w:hAnsi="宋体" w:eastAsia="宋体" w:cs="宋体"/>
                <w:spacing w:val="7"/>
                <w:sz w:val="13"/>
                <w:szCs w:val="13"/>
              </w:rPr>
              <w:t>对重完全压缩缓冲器</w:t>
            </w:r>
            <w:r>
              <w:rPr>
                <w:rFonts w:hint="eastAsia" w:ascii="宋体" w:hAnsi="宋体" w:eastAsia="宋体" w:cs="宋体"/>
                <w:spacing w:val="7"/>
                <w:sz w:val="13"/>
                <w:szCs w:val="13"/>
                <w:lang w:eastAsia="zh-CN"/>
              </w:rPr>
              <w:t>。</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3"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注A1-6:</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(1)</w:t>
            </w:r>
            <w:r>
              <w:rPr>
                <w:rFonts w:hint="eastAsia" w:ascii="宋体" w:hAnsi="宋体" w:eastAsia="宋体" w:cs="宋体"/>
                <w:spacing w:val="7"/>
                <w:sz w:val="13"/>
                <w:szCs w:val="13"/>
                <w:lang w:val="en-US" w:eastAsia="zh-CN"/>
              </w:rPr>
              <w:t>v</w:t>
            </w:r>
            <w:r>
              <w:rPr>
                <w:rFonts w:hint="eastAsia" w:ascii="宋体" w:hAnsi="宋体" w:eastAsia="宋体" w:cs="宋体"/>
                <w:spacing w:val="7"/>
                <w:sz w:val="13"/>
                <w:szCs w:val="13"/>
                <w:lang w:eastAsia="zh-CN"/>
              </w:rPr>
              <w:t>：</w:t>
            </w:r>
            <w:r>
              <w:rPr>
                <w:rFonts w:ascii="宋体" w:hAnsi="宋体" w:eastAsia="宋体" w:cs="宋体"/>
                <w:spacing w:val="7"/>
                <w:sz w:val="13"/>
                <w:szCs w:val="13"/>
              </w:rPr>
              <w:t>额定速度，m/s;</w:t>
            </w:r>
            <w:r>
              <w:rPr>
                <w:rFonts w:hint="eastAsia" w:ascii="宋体" w:hAnsi="宋体" w:eastAsia="宋体" w:cs="宋体"/>
                <w:spacing w:val="7"/>
                <w:sz w:val="13"/>
                <w:szCs w:val="13"/>
                <w:lang w:val="en-US" w:eastAsia="zh-CN"/>
              </w:rPr>
              <w:t>v</w:t>
            </w:r>
            <w:r>
              <w:rPr>
                <w:rFonts w:ascii="宋体" w:hAnsi="宋体" w:eastAsia="宋体" w:cs="宋体"/>
                <w:spacing w:val="7"/>
                <w:sz w:val="16"/>
                <w:szCs w:val="16"/>
                <w:vertAlign w:val="subscript"/>
              </w:rPr>
              <w:t>m</w:t>
            </w:r>
            <w:r>
              <w:rPr>
                <w:rFonts w:hint="eastAsia" w:ascii="宋体" w:hAnsi="宋体" w:eastAsia="宋体" w:cs="宋体"/>
                <w:spacing w:val="7"/>
                <w:sz w:val="13"/>
                <w:szCs w:val="13"/>
                <w:lang w:eastAsia="zh-CN"/>
              </w:rPr>
              <w:t>：</w:t>
            </w:r>
            <w:r>
              <w:rPr>
                <w:rFonts w:ascii="宋体" w:hAnsi="宋体" w:eastAsia="宋体" w:cs="宋体"/>
                <w:spacing w:val="7"/>
                <w:sz w:val="13"/>
                <w:szCs w:val="13"/>
              </w:rPr>
              <w:t>上行额定速度，m/s;</w:t>
            </w:r>
            <w:r>
              <w:rPr>
                <w:rFonts w:hint="eastAsia" w:ascii="宋体" w:hAnsi="宋体" w:eastAsia="宋体" w:cs="宋体"/>
                <w:spacing w:val="7"/>
                <w:sz w:val="13"/>
                <w:szCs w:val="13"/>
                <w:lang w:val="en-US" w:eastAsia="zh-CN"/>
              </w:rPr>
              <w:t>v</w:t>
            </w:r>
            <w:r>
              <w:rPr>
                <w:rFonts w:ascii="宋体" w:hAnsi="宋体" w:eastAsia="宋体" w:cs="宋体"/>
                <w:spacing w:val="7"/>
                <w:sz w:val="16"/>
                <w:szCs w:val="16"/>
                <w:vertAlign w:val="subscript"/>
              </w:rPr>
              <w:t>d</w:t>
            </w:r>
            <w:r>
              <w:rPr>
                <w:rFonts w:hint="eastAsia" w:ascii="宋体" w:hAnsi="宋体" w:eastAsia="宋体" w:cs="宋体"/>
                <w:spacing w:val="7"/>
                <w:sz w:val="13"/>
                <w:szCs w:val="13"/>
                <w:lang w:eastAsia="zh-CN"/>
              </w:rPr>
              <w:t>：</w:t>
            </w:r>
            <w:r>
              <w:rPr>
                <w:rFonts w:ascii="宋体" w:hAnsi="宋体" w:eastAsia="宋体" w:cs="宋体"/>
                <w:spacing w:val="7"/>
                <w:sz w:val="13"/>
                <w:szCs w:val="13"/>
              </w:rPr>
              <w:t>下行额定速度，m/s;</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(3)当曳引驱动电梯驱动主机的减速是按照规定被监控时，对于非斜行电梯，0.035v²的值可以按轿厢或者对重触及缓冲器时的速度减小；</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spacing w:val="7"/>
                <w:sz w:val="13"/>
                <w:szCs w:val="13"/>
              </w:rPr>
            </w:pPr>
            <w:r>
              <w:rPr>
                <w:rFonts w:ascii="宋体" w:hAnsi="宋体" w:eastAsia="宋体" w:cs="宋体"/>
                <w:spacing w:val="7"/>
                <w:sz w:val="13"/>
                <w:szCs w:val="13"/>
              </w:rPr>
              <w:t>(4)对于具有补偿绳及补偿绳张紧轮和防跳装置的曳引驱动电梯，0.035v²的值可以用张紧轮可能的移动量再加上轿厢行程的1/500或者0.20m(取两者中的较大值)代替；</w:t>
            </w:r>
          </w:p>
        </w:tc>
        <w:tc>
          <w:tcPr>
            <w:tcW w:w="720"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color w:val="auto"/>
                <w:spacing w:val="10"/>
                <w:sz w:val="24"/>
                <w:szCs w:val="24"/>
              </w:rPr>
            </w:pPr>
            <w:r>
              <w:rPr>
                <w:rFonts w:ascii="宋体" w:hAnsi="宋体" w:eastAsia="宋体" w:cs="宋体"/>
                <w:color w:val="auto"/>
                <w:spacing w:val="10"/>
                <w:sz w:val="24"/>
                <w:szCs w:val="24"/>
              </w:rPr>
              <w:t>顶部空间</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A1.2.2.11.1</w:t>
            </w:r>
            <w:r>
              <w:rPr>
                <w:rFonts w:hint="eastAsia" w:ascii="宋体" w:hAnsi="宋体" w:eastAsia="宋体" w:cs="宋体"/>
                <w:color w:val="auto"/>
                <w:spacing w:val="10"/>
                <w:sz w:val="24"/>
                <w:szCs w:val="24"/>
                <w:lang w:val="en-US" w:eastAsia="zh-CN"/>
              </w:rPr>
              <w:t>通过轿顶进入井道顶部的电梯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对于通过轿顶进入井道顶部的电梯，当轿厢(运载装置)位于本附件表A1-2中规定的最高位置时，应符合以下要求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(1)h</w:t>
            </w:r>
            <w:r>
              <w:rPr>
                <w:rFonts w:hint="eastAsia" w:ascii="宋体" w:hAnsi="宋体" w:eastAsia="宋体" w:cs="宋体"/>
                <w:color w:val="auto"/>
                <w:spacing w:val="10"/>
                <w:sz w:val="24"/>
                <w:szCs w:val="24"/>
                <w:vertAlign w:val="subscript"/>
                <w:lang w:eastAsia="zh-CN"/>
              </w:rPr>
              <w:t>a</w:t>
            </w:r>
            <w:r>
              <w:rPr>
                <w:rFonts w:hint="eastAsia" w:ascii="宋体" w:hAnsi="宋体" w:eastAsia="宋体" w:cs="宋体"/>
                <w:color w:val="auto"/>
                <w:spacing w:val="10"/>
                <w:sz w:val="24"/>
                <w:szCs w:val="24"/>
                <w:lang w:eastAsia="zh-CN"/>
              </w:rPr>
              <w:t>≥1.00m,h</w:t>
            </w:r>
            <w:r>
              <w:rPr>
                <w:rFonts w:hint="eastAsia" w:ascii="宋体" w:hAnsi="宋体" w:eastAsia="宋体" w:cs="宋体"/>
                <w:color w:val="auto"/>
                <w:spacing w:val="10"/>
                <w:sz w:val="24"/>
                <w:szCs w:val="24"/>
                <w:vertAlign w:val="subscript"/>
                <w:lang w:val="en-US" w:eastAsia="zh-CN"/>
              </w:rPr>
              <w:t>b</w:t>
            </w:r>
            <w:r>
              <w:rPr>
                <w:rFonts w:hint="eastAsia" w:ascii="宋体" w:hAnsi="宋体" w:eastAsia="宋体" w:cs="宋体"/>
                <w:color w:val="auto"/>
                <w:spacing w:val="10"/>
                <w:sz w:val="24"/>
                <w:szCs w:val="24"/>
                <w:lang w:eastAsia="zh-CN"/>
              </w:rPr>
              <w:t>≥0.10m,h</w:t>
            </w:r>
            <w:r>
              <w:rPr>
                <w:rFonts w:hint="eastAsia" w:ascii="宋体" w:hAnsi="宋体" w:eastAsia="宋体" w:cs="宋体"/>
                <w:color w:val="auto"/>
                <w:spacing w:val="10"/>
                <w:sz w:val="24"/>
                <w:szCs w:val="24"/>
                <w:vertAlign w:val="subscript"/>
                <w:lang w:val="en-US" w:eastAsia="zh-CN"/>
              </w:rPr>
              <w:t>c</w:t>
            </w:r>
            <w:r>
              <w:rPr>
                <w:rFonts w:hint="eastAsia" w:ascii="宋体" w:hAnsi="宋体" w:eastAsia="宋体" w:cs="宋体"/>
                <w:color w:val="auto"/>
                <w:spacing w:val="10"/>
                <w:sz w:val="24"/>
                <w:szCs w:val="24"/>
                <w:lang w:eastAsia="zh-CN"/>
              </w:rPr>
              <w:t>≥0.30m；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(2)轿顶上方有一个不小于0.50m×0.60m×0.80m的空间(任一平面朝下均可)。</w:t>
            </w:r>
          </w:p>
          <w:p>
            <w:r>
              <w:drawing>
                <wp:inline distT="0" distB="0" distL="0" distR="0">
                  <wp:extent cx="2003425" cy="1621155"/>
                  <wp:effectExtent l="0" t="0" r="3175" b="4445"/>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
                          <a:stretch>
                            <a:fillRect/>
                          </a:stretch>
                        </pic:blipFill>
                        <pic:spPr>
                          <a:xfrm>
                            <a:off x="0" y="0"/>
                            <a:ext cx="2003425" cy="1621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48" w:line="260" w:lineRule="exact"/>
              <w:ind w:right="56"/>
              <w:textAlignment w:val="auto"/>
              <w:rPr>
                <w:rFonts w:ascii="宋体" w:hAnsi="宋体" w:eastAsia="宋体" w:cs="宋体"/>
                <w:sz w:val="21"/>
                <w:szCs w:val="21"/>
              </w:rPr>
            </w:pPr>
            <w:r>
              <w:rPr>
                <w:rFonts w:ascii="宋体" w:hAnsi="宋体" w:eastAsia="宋体" w:cs="宋体"/>
                <w:spacing w:val="8"/>
                <w:sz w:val="21"/>
                <w:szCs w:val="21"/>
              </w:rPr>
              <w:t>1—导靴或者滚轮、悬挂装置端接装置、垂直滑动</w:t>
            </w:r>
            <w:r>
              <w:rPr>
                <w:rFonts w:ascii="宋体" w:hAnsi="宋体" w:eastAsia="宋体" w:cs="宋体"/>
                <w:spacing w:val="7"/>
                <w:sz w:val="21"/>
                <w:szCs w:val="21"/>
              </w:rPr>
              <w:t>门的横梁或者部件以及液压驱动电梯上</w:t>
            </w:r>
            <w:r>
              <w:rPr>
                <w:rFonts w:ascii="宋体" w:hAnsi="宋体" w:eastAsia="宋体" w:cs="宋体"/>
                <w:sz w:val="21"/>
                <w:szCs w:val="21"/>
              </w:rPr>
              <w:t xml:space="preserve"> </w:t>
            </w:r>
            <w:r>
              <w:rPr>
                <w:rFonts w:ascii="宋体" w:hAnsi="宋体" w:eastAsia="宋体" w:cs="宋体"/>
                <w:spacing w:val="1"/>
                <w:sz w:val="21"/>
                <w:szCs w:val="21"/>
              </w:rPr>
              <w:t>行柱塞顶部组件的最高部件；</w:t>
            </w:r>
          </w:p>
          <w:p>
            <w:pPr>
              <w:keepNext w:val="0"/>
              <w:keepLines w:val="0"/>
              <w:pageBreakBefore w:val="0"/>
              <w:widowControl w:val="0"/>
              <w:kinsoku/>
              <w:wordWrap/>
              <w:overflowPunct/>
              <w:topLinePunct w:val="0"/>
              <w:autoSpaceDE/>
              <w:autoSpaceDN/>
              <w:bidi w:val="0"/>
              <w:adjustRightInd/>
              <w:snapToGrid/>
              <w:spacing w:before="148" w:line="260" w:lineRule="exact"/>
              <w:ind w:right="56"/>
              <w:textAlignment w:val="auto"/>
              <w:rPr>
                <w:rFonts w:ascii="宋体" w:hAnsi="宋体" w:eastAsia="宋体" w:cs="宋体"/>
                <w:spacing w:val="8"/>
                <w:sz w:val="21"/>
                <w:szCs w:val="21"/>
              </w:rPr>
            </w:pPr>
            <w:r>
              <w:rPr>
                <w:rFonts w:ascii="宋体" w:hAnsi="宋体" w:eastAsia="宋体" w:cs="宋体"/>
                <w:sz w:val="21"/>
                <w:szCs w:val="21"/>
              </w:rPr>
              <w:t>2—</w:t>
            </w:r>
            <w:r>
              <w:rPr>
                <w:rFonts w:ascii="宋体" w:hAnsi="宋体" w:eastAsia="宋体" w:cs="宋体"/>
                <w:spacing w:val="8"/>
                <w:sz w:val="21"/>
                <w:szCs w:val="21"/>
              </w:rPr>
              <w:t>不小于0.50m×0.60m×0.80m的空间；</w:t>
            </w:r>
          </w:p>
          <w:p>
            <w:pPr>
              <w:keepNext w:val="0"/>
              <w:keepLines w:val="0"/>
              <w:pageBreakBefore w:val="0"/>
              <w:widowControl w:val="0"/>
              <w:kinsoku/>
              <w:wordWrap/>
              <w:overflowPunct/>
              <w:topLinePunct w:val="0"/>
              <w:autoSpaceDE/>
              <w:autoSpaceDN/>
              <w:bidi w:val="0"/>
              <w:adjustRightInd/>
              <w:snapToGrid/>
              <w:spacing w:before="148" w:line="260" w:lineRule="exact"/>
              <w:ind w:right="56"/>
              <w:textAlignment w:val="auto"/>
              <w:rPr>
                <w:rFonts w:ascii="宋体" w:hAnsi="宋体" w:eastAsia="宋体" w:cs="宋体"/>
                <w:spacing w:val="8"/>
                <w:sz w:val="21"/>
                <w:szCs w:val="21"/>
              </w:rPr>
            </w:pPr>
            <w:r>
              <w:rPr>
                <w:rFonts w:ascii="宋体" w:hAnsi="宋体" w:eastAsia="宋体" w:cs="宋体"/>
                <w:spacing w:val="8"/>
                <w:sz w:val="21"/>
                <w:szCs w:val="21"/>
              </w:rPr>
              <w:t>3—安装在轿顶的最高部件；</w:t>
            </w:r>
          </w:p>
          <w:p>
            <w:pPr>
              <w:keepNext w:val="0"/>
              <w:keepLines w:val="0"/>
              <w:pageBreakBefore w:val="0"/>
              <w:widowControl w:val="0"/>
              <w:kinsoku/>
              <w:wordWrap/>
              <w:overflowPunct/>
              <w:topLinePunct w:val="0"/>
              <w:autoSpaceDE/>
              <w:autoSpaceDN/>
              <w:bidi w:val="0"/>
              <w:adjustRightInd/>
              <w:snapToGrid/>
              <w:spacing w:before="148" w:line="260" w:lineRule="exact"/>
              <w:ind w:right="56"/>
              <w:textAlignment w:val="auto"/>
              <w:rPr>
                <w:rFonts w:ascii="宋体" w:hAnsi="宋体" w:eastAsia="宋体" w:cs="宋体"/>
                <w:spacing w:val="8"/>
                <w:sz w:val="21"/>
                <w:szCs w:val="21"/>
              </w:rPr>
            </w:pPr>
            <w:r>
              <w:rPr>
                <w:rFonts w:ascii="宋体" w:hAnsi="宋体" w:eastAsia="宋体" w:cs="宋体"/>
                <w:spacing w:val="8"/>
                <w:sz w:val="21"/>
                <w:szCs w:val="21"/>
              </w:rPr>
              <w:t>4—轿顶最高可站人面积水平面；</w:t>
            </w:r>
          </w:p>
          <w:p>
            <w:pPr>
              <w:keepNext w:val="0"/>
              <w:keepLines w:val="0"/>
              <w:pageBreakBefore w:val="0"/>
              <w:widowControl w:val="0"/>
              <w:kinsoku/>
              <w:wordWrap/>
              <w:overflowPunct/>
              <w:topLinePunct w:val="0"/>
              <w:autoSpaceDE/>
              <w:autoSpaceDN/>
              <w:bidi w:val="0"/>
              <w:adjustRightInd/>
              <w:snapToGrid/>
              <w:spacing w:before="90" w:line="260" w:lineRule="exact"/>
              <w:textAlignment w:val="auto"/>
              <w:rPr>
                <w:rFonts w:ascii="宋体" w:hAnsi="宋体" w:eastAsia="宋体" w:cs="宋体"/>
                <w:sz w:val="21"/>
                <w:szCs w:val="21"/>
              </w:rPr>
            </w:pPr>
            <w:r>
              <w:rPr>
                <w:rFonts w:hint="eastAsia" w:ascii="宋体" w:hAnsi="宋体" w:eastAsia="宋体" w:cs="宋体"/>
                <w:color w:val="auto"/>
                <w:spacing w:val="10"/>
                <w:sz w:val="21"/>
                <w:szCs w:val="21"/>
                <w:lang w:eastAsia="zh-CN"/>
              </w:rPr>
              <w:t>h</w:t>
            </w:r>
            <w:r>
              <w:rPr>
                <w:rFonts w:hint="eastAsia" w:ascii="宋体" w:hAnsi="宋体" w:eastAsia="宋体" w:cs="宋体"/>
                <w:color w:val="auto"/>
                <w:spacing w:val="10"/>
                <w:sz w:val="21"/>
                <w:szCs w:val="21"/>
                <w:vertAlign w:val="subscript"/>
                <w:lang w:eastAsia="zh-CN"/>
              </w:rPr>
              <w:t>a</w:t>
            </w:r>
            <w:r>
              <w:rPr>
                <w:rFonts w:hint="eastAsia" w:ascii="宋体" w:hAnsi="宋体" w:eastAsia="宋体" w:cs="宋体"/>
                <w:spacing w:val="7"/>
                <w:sz w:val="21"/>
                <w:szCs w:val="21"/>
                <w:lang w:val="en-US" w:eastAsia="zh-CN"/>
              </w:rPr>
              <w:t>:</w:t>
            </w:r>
            <w:r>
              <w:rPr>
                <w:rFonts w:ascii="宋体" w:hAnsi="宋体" w:eastAsia="宋体" w:cs="宋体"/>
                <w:spacing w:val="6"/>
                <w:sz w:val="21"/>
                <w:szCs w:val="21"/>
              </w:rPr>
              <w:t>位于轿厢投影部分的井道顶最低部件的水平面与轿顶最高可站人面积水平面之间的自 由垂直距离；</w:t>
            </w:r>
          </w:p>
          <w:p>
            <w:pPr>
              <w:keepNext w:val="0"/>
              <w:keepLines w:val="0"/>
              <w:pageBreakBefore w:val="0"/>
              <w:widowControl w:val="0"/>
              <w:kinsoku/>
              <w:wordWrap/>
              <w:overflowPunct/>
              <w:topLinePunct w:val="0"/>
              <w:autoSpaceDE/>
              <w:autoSpaceDN/>
              <w:bidi w:val="0"/>
              <w:adjustRightInd/>
              <w:snapToGrid/>
              <w:spacing w:before="89" w:line="260" w:lineRule="exact"/>
              <w:ind w:right="23"/>
              <w:textAlignment w:val="auto"/>
              <w:rPr>
                <w:rFonts w:ascii="宋体" w:hAnsi="宋体" w:eastAsia="宋体" w:cs="宋体"/>
                <w:sz w:val="21"/>
                <w:szCs w:val="21"/>
              </w:rPr>
            </w:pPr>
            <w:r>
              <w:rPr>
                <w:rFonts w:hint="eastAsia" w:ascii="宋体" w:hAnsi="宋体" w:eastAsia="宋体" w:cs="宋体"/>
                <w:color w:val="auto"/>
                <w:spacing w:val="10"/>
                <w:sz w:val="21"/>
                <w:szCs w:val="21"/>
                <w:lang w:val="en-US" w:eastAsia="zh-CN"/>
              </w:rPr>
              <w:t>h</w:t>
            </w:r>
            <w:r>
              <w:rPr>
                <w:rFonts w:hint="eastAsia" w:ascii="宋体" w:hAnsi="宋体" w:eastAsia="宋体" w:cs="宋体"/>
                <w:color w:val="auto"/>
                <w:spacing w:val="10"/>
                <w:sz w:val="21"/>
                <w:szCs w:val="21"/>
                <w:vertAlign w:val="subscript"/>
                <w:lang w:val="en-US" w:eastAsia="zh-CN"/>
              </w:rPr>
              <w:t>b</w:t>
            </w:r>
            <w:r>
              <w:rPr>
                <w:rFonts w:hint="eastAsia" w:ascii="宋体" w:hAnsi="宋体" w:eastAsia="宋体" w:cs="宋体"/>
                <w:spacing w:val="7"/>
                <w:sz w:val="21"/>
                <w:szCs w:val="21"/>
                <w:lang w:val="en-US" w:eastAsia="zh-CN"/>
              </w:rPr>
              <w:t>:</w:t>
            </w:r>
            <w:r>
              <w:rPr>
                <w:rFonts w:ascii="宋体" w:hAnsi="宋体" w:eastAsia="宋体" w:cs="宋体"/>
                <w:spacing w:val="6"/>
                <w:sz w:val="21"/>
                <w:szCs w:val="21"/>
              </w:rPr>
              <w:t>井道顶最低部件与导靴或者滚轮、悬挂装置端接装置附件、垂直滑动门的横梁或者部 件的最高部分之间的自由垂直距离；</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宋体"/>
                <w:lang w:val="en-US" w:eastAsia="zh-CN"/>
              </w:rPr>
            </w:pPr>
            <w:r>
              <w:rPr>
                <w:rFonts w:hint="eastAsia" w:ascii="宋体" w:hAnsi="宋体" w:eastAsia="宋体" w:cs="宋体"/>
                <w:color w:val="auto"/>
                <w:spacing w:val="10"/>
                <w:sz w:val="21"/>
                <w:szCs w:val="21"/>
                <w:lang w:eastAsia="zh-CN"/>
              </w:rPr>
              <w:t>h</w:t>
            </w:r>
            <w:r>
              <w:rPr>
                <w:rFonts w:hint="eastAsia" w:ascii="宋体" w:hAnsi="宋体" w:eastAsia="宋体" w:cs="宋体"/>
                <w:color w:val="auto"/>
                <w:spacing w:val="10"/>
                <w:sz w:val="21"/>
                <w:szCs w:val="21"/>
                <w:vertAlign w:val="subscript"/>
                <w:lang w:val="en-US" w:eastAsia="zh-CN"/>
              </w:rPr>
              <w:t>c</w:t>
            </w:r>
            <w:r>
              <w:rPr>
                <w:rFonts w:hint="eastAsia" w:ascii="宋体" w:hAnsi="宋体" w:eastAsia="宋体" w:cs="宋体"/>
                <w:spacing w:val="6"/>
                <w:sz w:val="21"/>
                <w:szCs w:val="21"/>
                <w:lang w:val="en-US" w:eastAsia="zh-CN"/>
              </w:rPr>
              <w:t>:</w:t>
            </w:r>
            <w:r>
              <w:rPr>
                <w:rFonts w:ascii="宋体" w:hAnsi="宋体" w:eastAsia="宋体" w:cs="宋体"/>
                <w:spacing w:val="6"/>
                <w:sz w:val="21"/>
                <w:szCs w:val="21"/>
              </w:rPr>
              <w:t>井道顶最低部件与固定在轿顶部件最高部分之间的自由垂直距离</w:t>
            </w:r>
            <w:r>
              <w:rPr>
                <w:rFonts w:hint="eastAsia" w:ascii="宋体" w:hAnsi="宋体" w:eastAsia="宋体" w:cs="宋体"/>
                <w:spacing w:val="6"/>
                <w:sz w:val="21"/>
                <w:szCs w:val="21"/>
                <w:lang w:eastAsia="zh-CN"/>
              </w:rPr>
              <w:t>。</w:t>
            </w:r>
          </w:p>
        </w:tc>
        <w:tc>
          <w:tcPr>
            <w:tcW w:w="720"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1232" w:type="dxa"/>
            <w:vMerge w:val="restart"/>
            <w:vAlign w:val="center"/>
          </w:tcPr>
          <w:p>
            <w:pPr>
              <w:jc w:val="center"/>
              <w:rPr>
                <w:rFonts w:asciiTheme="minorEastAsia" w:hAnsiTheme="minorEastAsia"/>
                <w:szCs w:val="21"/>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3"/>
                <w:sz w:val="21"/>
                <w:szCs w:val="21"/>
              </w:rPr>
              <w:t>底坑</w:t>
            </w:r>
            <w:r>
              <w:rPr>
                <w:rFonts w:ascii="宋体" w:hAnsi="宋体" w:eastAsia="宋体" w:cs="宋体"/>
                <w:spacing w:val="-35"/>
                <w:sz w:val="21"/>
                <w:szCs w:val="21"/>
              </w:rPr>
              <w:t xml:space="preserve"> </w:t>
            </w:r>
            <w:r>
              <w:rPr>
                <w:rFonts w:ascii="宋体" w:hAnsi="宋体" w:eastAsia="宋体" w:cs="宋体"/>
                <w:spacing w:val="-3"/>
                <w:sz w:val="21"/>
                <w:szCs w:val="21"/>
              </w:rPr>
              <w:t>空间</w:t>
            </w:r>
          </w:p>
        </w:tc>
        <w:tc>
          <w:tcPr>
            <w:tcW w:w="5435" w:type="dxa"/>
            <w:gridSpan w:val="7"/>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b/>
                <w:bCs/>
                <w:color w:val="auto"/>
                <w:spacing w:val="10"/>
                <w:sz w:val="24"/>
                <w:szCs w:val="24"/>
                <w:lang w:eastAsia="zh-CN"/>
              </w:rPr>
              <w:t>A1.2.2.12.1</w:t>
            </w:r>
            <w:r>
              <w:rPr>
                <w:rFonts w:hint="eastAsia" w:ascii="宋体" w:hAnsi="宋体" w:eastAsia="宋体" w:cs="宋体"/>
                <w:color w:val="auto"/>
                <w:spacing w:val="10"/>
                <w:sz w:val="24"/>
                <w:szCs w:val="24"/>
                <w:lang w:eastAsia="zh-CN"/>
              </w:rPr>
              <w:t>非</w:t>
            </w:r>
            <w:r>
              <w:rPr>
                <w:rFonts w:hint="eastAsia" w:ascii="宋体" w:hAnsi="宋体" w:eastAsia="宋体" w:cs="宋体"/>
                <w:color w:val="auto"/>
                <w:spacing w:val="10"/>
                <w:sz w:val="24"/>
                <w:szCs w:val="24"/>
                <w:lang w:val="en-US" w:eastAsia="zh-CN"/>
              </w:rPr>
              <w:t>斜</w:t>
            </w:r>
            <w:r>
              <w:rPr>
                <w:rFonts w:hint="eastAsia" w:ascii="宋体" w:hAnsi="宋体" w:eastAsia="宋体" w:cs="宋体"/>
                <w:color w:val="auto"/>
                <w:spacing w:val="10"/>
                <w:sz w:val="24"/>
                <w:szCs w:val="24"/>
                <w:lang w:eastAsia="zh-CN"/>
              </w:rPr>
              <w:t>行电梯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当轿厢位于本附件表A1-2规定的最低位置时，</w:t>
            </w:r>
            <w:r>
              <w:rPr>
                <w:rFonts w:hint="eastAsia" w:ascii="宋体" w:hAnsi="宋体" w:eastAsia="宋体" w:cs="宋体"/>
                <w:color w:val="auto"/>
                <w:spacing w:val="10"/>
                <w:sz w:val="24"/>
                <w:szCs w:val="24"/>
                <w:lang w:val="en-US" w:eastAsia="zh-CN"/>
              </w:rPr>
              <w:t>应</w:t>
            </w:r>
            <w:r>
              <w:rPr>
                <w:rFonts w:hint="eastAsia" w:ascii="宋体" w:hAnsi="宋体" w:eastAsia="宋体" w:cs="宋体"/>
                <w:color w:val="auto"/>
                <w:spacing w:val="10"/>
                <w:sz w:val="24"/>
                <w:szCs w:val="24"/>
                <w:lang w:eastAsia="zh-CN"/>
              </w:rPr>
              <w:t>符合以下要求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(1)底坑中有一个不小于0.50m×0.60m×1.00m的空间(任一平面朝下均可)；</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jc w:val="center"/>
        </w:trPr>
        <w:tc>
          <w:tcPr>
            <w:tcW w:w="1232" w:type="dxa"/>
            <w:vMerge w:val="continue"/>
            <w:vAlign w:val="center"/>
          </w:tcPr>
          <w:p>
            <w:pPr>
              <w:jc w:val="center"/>
              <w:rPr>
                <w:rFonts w:ascii="Times New Roman" w:hAnsi="Times New Roman" w:eastAsia="Times New Roman" w:cs="Times New Roman"/>
                <w:b/>
                <w:bCs/>
                <w:spacing w:val="-3"/>
                <w:sz w:val="21"/>
                <w:szCs w:val="21"/>
              </w:rPr>
            </w:pPr>
          </w:p>
        </w:tc>
        <w:tc>
          <w:tcPr>
            <w:tcW w:w="940" w:type="dxa"/>
            <w:vMerge w:val="continue"/>
            <w:tcBorders>
              <w:right w:val="single" w:color="auto" w:sz="4" w:space="0"/>
            </w:tcBorders>
            <w:vAlign w:val="center"/>
          </w:tcPr>
          <w:p>
            <w:pPr>
              <w:jc w:val="center"/>
              <w:rPr>
                <w:rFonts w:ascii="宋体" w:hAnsi="宋体" w:eastAsia="宋体" w:cs="宋体"/>
                <w:spacing w:val="-3"/>
                <w:sz w:val="21"/>
                <w:szCs w:val="21"/>
              </w:rPr>
            </w:pPr>
          </w:p>
        </w:tc>
        <w:tc>
          <w:tcPr>
            <w:tcW w:w="5435" w:type="dxa"/>
            <w:gridSpan w:val="7"/>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底坑地面与轿厢最低部件之间的自由垂直距离不小于0.50m,当垂直滑动门的部件、护脚板、夹紧装置钳块或者棘爪装置和相邻井道壁之间，轿厢最低部件和导轨之间的水平距离在0.15m之内时，此垂直距离允许减少到0.10m；当轿厢最低部件和导轨之间的水平距离大于0.15m但不大于0.50m时，此垂直距离可按线性关系增加至0.50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4" w:hRule="atLeast"/>
          <w:jc w:val="center"/>
        </w:trPr>
        <w:tc>
          <w:tcPr>
            <w:tcW w:w="1232" w:type="dxa"/>
            <w:vMerge w:val="continue"/>
            <w:vAlign w:val="center"/>
          </w:tcPr>
          <w:p>
            <w:pPr>
              <w:jc w:val="center"/>
              <w:rPr>
                <w:rFonts w:ascii="Times New Roman" w:hAnsi="Times New Roman" w:eastAsia="Times New Roman" w:cs="Times New Roman"/>
                <w:b/>
                <w:bCs/>
                <w:spacing w:val="-3"/>
                <w:sz w:val="21"/>
                <w:szCs w:val="21"/>
              </w:rPr>
            </w:pPr>
          </w:p>
        </w:tc>
        <w:tc>
          <w:tcPr>
            <w:tcW w:w="940" w:type="dxa"/>
            <w:vMerge w:val="continue"/>
            <w:tcBorders>
              <w:right w:val="single" w:color="auto" w:sz="4" w:space="0"/>
            </w:tcBorders>
            <w:vAlign w:val="center"/>
          </w:tcPr>
          <w:p>
            <w:pPr>
              <w:jc w:val="center"/>
              <w:rPr>
                <w:rFonts w:ascii="宋体" w:hAnsi="宋体" w:eastAsia="宋体" w:cs="宋体"/>
                <w:spacing w:val="-3"/>
                <w:sz w:val="21"/>
                <w:szCs w:val="21"/>
              </w:rPr>
            </w:pP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(3)底坑中固定的最高部件和轿厢最低部件(垂直滑动门的部件、护脚板、夹紧装置钳块或者棘爪装置除外)之间的自由垂直距离不小于0.30m。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进入底坑的措施</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(1)供人员从层门进入底坑的梯子为永久设置的固定式梯子，并且不凸入电梯的运行空间。</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(2)供人员从层门进入底坑的梯子为永久设置的非固定式梯子，如果该梯子在展开位置可能与运动部件发生碰撞，当其不在存放位置时，能够通过电气安全装置防止电梯运行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供人员进入底坑的通道门不向底坑内开启，其高度不小于1.80m,宽度不小于0.60m；门上装有带钥匙的锁，门开启后不用钥匙能够将其关闭和锁住，门锁住后不用钥匙能够从底坑内将门打开；在井道外，通道门附近设有包含"电梯井道     危险  未经允许禁止入内”文字的警示标志。</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底坑设施和装置</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(1)底坑内设有在进入底坑时以及在底坑地面上均能够方便操作的停止装置和进入底坑时方便操作的井道照明操作装置，并且功能有效。</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(2)底坑地面平整，无渗水、积水。</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2"/>
                <w:szCs w:val="22"/>
              </w:rPr>
              <w:t>导轨支架</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(1)每根导轨至少有2个导轨支架，安装于井道上、下端部的非标准长度导轨的支架数量符合设计要求。</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tcW w:w="1232" w:type="dxa"/>
            <w:vMerge w:val="continue"/>
            <w:vAlign w:val="center"/>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(2)导轨支架安装牢固，锚栓(如膨胀螺栓)固定只能在井道壁的混凝土构件上使用。</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2"/>
                <w:szCs w:val="22"/>
              </w:rPr>
              <w:t>缓冲器</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(1)缓冲器无松动、明显倾斜、断裂、塑性变形、剥落、破损、严重锈蚀等现象。</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5"/>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(2)耗能型缓冲器液位正确，验证柱塞复位的电气安全装置功能有效。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5"/>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(3)对重缓冲器附近设有清晰的对重越程距离标识。</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(4)当轿厢位于顶层端站平层位置时，对重装置撞板与其缓冲器顶面间的距离不超过对重越程距离标识上标注的最大允许值。</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"https://1.2.2.18"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1.2.2.18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极限位置限制装置</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极限位置限制装置能够在轿厢、对重接触缓冲器之前或者柱塞接触缓冲停止装置之前起作用，并且在缓冲器被压缩或者柱塞在缓冲停止区的期间能够保持其作用状态。</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5"/>
                <w:sz w:val="22"/>
                <w:szCs w:val="22"/>
              </w:rPr>
              <w:t>主开关</w:t>
            </w:r>
          </w:p>
        </w:tc>
        <w:tc>
          <w:tcPr>
            <w:tcW w:w="5435" w:type="dxa"/>
            <w:gridSpan w:val="7"/>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(1)从机器空间入口处易于直接接近，并且在断开位置上能够被锁住。</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jc w:val="center"/>
        </w:trPr>
        <w:tc>
          <w:tcPr>
            <w:tcW w:w="1232" w:type="dxa"/>
            <w:vMerge w:val="continue"/>
            <w:vAlign w:val="center"/>
          </w:tcPr>
          <w:p>
            <w:pPr>
              <w:jc w:val="center"/>
              <w:rPr>
                <w:rFonts w:ascii="Times New Roman" w:hAnsi="Times New Roman" w:eastAsia="Times New Roman" w:cs="Times New Roman"/>
                <w:b/>
                <w:bCs/>
                <w:spacing w:val="5"/>
                <w:sz w:val="22"/>
                <w:szCs w:val="22"/>
              </w:rPr>
            </w:pPr>
          </w:p>
        </w:tc>
        <w:tc>
          <w:tcPr>
            <w:tcW w:w="940" w:type="dxa"/>
            <w:vMerge w:val="continue"/>
            <w:tcBorders>
              <w:right w:val="single" w:color="auto" w:sz="4" w:space="0"/>
            </w:tcBorders>
            <w:vAlign w:val="center"/>
          </w:tcPr>
          <w:p>
            <w:pPr>
              <w:jc w:val="center"/>
              <w:rPr>
                <w:rFonts w:ascii="宋体" w:hAnsi="宋体" w:eastAsia="宋体" w:cs="宋体"/>
                <w:spacing w:val="5"/>
                <w:sz w:val="22"/>
                <w:szCs w:val="22"/>
              </w:rPr>
            </w:pP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(2)有机房时设置在机房内，没有机房时设置在控制柜内(控制柜未设置在井道内时)或者紧急和测试操作屏上(控制柜设置在井道内时),如果紧急操作屏和动态测试屏是分立的，设置在紧急操作屏上。</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jc w:val="center"/>
        </w:trPr>
        <w:tc>
          <w:tcPr>
            <w:tcW w:w="1232" w:type="dxa"/>
            <w:vMerge w:val="continue"/>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(3)如果从控制柜、驱动主机处不易直接接近主开关，则在该处设有能够有效切断控制柜、驱动主机供电的断电(隔离)开关。</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1232" w:type="dxa"/>
            <w:vMerge w:val="continue"/>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(4)不能切断轿厢照明和通风、机器空间照明、井道照明以及轿顶、滑轮间和底坑电源插座的电源。</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1232" w:type="dxa"/>
            <w:vMerge w:val="continue"/>
          </w:tcPr>
          <w:p>
            <w:pPr>
              <w:jc w:val="center"/>
              <w:rPr>
                <w:rFonts w:asciiTheme="minorEastAsia" w:hAnsiTheme="minorEastAsia"/>
                <w:szCs w:val="21"/>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(5)机房为多台电梯共用时，各主开关的操作机构易于识别。</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5"/>
                <w:sz w:val="22"/>
                <w:szCs w:val="22"/>
              </w:rPr>
              <w:t>断相、错相保护功能</w:t>
            </w:r>
          </w:p>
        </w:tc>
        <w:tc>
          <w:tcPr>
            <w:tcW w:w="543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断相、错相保护功能</w:t>
            </w:r>
            <w:r>
              <w:rPr>
                <w:rFonts w:hint="eastAsia" w:ascii="宋体" w:hAnsi="宋体" w:eastAsia="宋体" w:cs="宋体"/>
                <w:color w:val="auto"/>
                <w:spacing w:val="10"/>
                <w:sz w:val="24"/>
                <w:szCs w:val="24"/>
                <w:lang w:val="en-US" w:eastAsia="zh-CN"/>
              </w:rPr>
              <w:t>应</w:t>
            </w:r>
            <w:r>
              <w:rPr>
                <w:rFonts w:hint="eastAsia" w:ascii="宋体" w:hAnsi="宋体" w:eastAsia="宋体" w:cs="宋体"/>
                <w:color w:val="auto"/>
                <w:spacing w:val="10"/>
                <w:sz w:val="24"/>
                <w:szCs w:val="24"/>
                <w:lang w:eastAsia="zh-CN"/>
              </w:rPr>
              <w:t>有效；电梯运行与相序无关时，可以不设错相保护。</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5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5"/>
                <w:sz w:val="22"/>
                <w:szCs w:val="22"/>
              </w:rPr>
              <w:t>接地保护措施</w:t>
            </w:r>
          </w:p>
        </w:tc>
        <w:tc>
          <w:tcPr>
            <w:tcW w:w="543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(1)供电电源自进入机器空间起，中性导体(N,零线)与保护导体(PE,地线)始终分开。</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(2)机器空间的电气设备及线管、线槽的外露可导电部分与保护导体(PE,地线)可靠连接。</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(3)含有电气安全装置的电路发生接地故障时，驱动主机立即停止运转，或者在第一次正常停止运转后，能够防止驱动主机再启动；恢复电梯运行只能通过手动复位。</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5"/>
                <w:sz w:val="22"/>
                <w:szCs w:val="22"/>
              </w:rPr>
            </w:pPr>
            <w:r>
              <w:rPr>
                <w:rFonts w:ascii="宋体" w:hAnsi="宋体" w:eastAsia="宋体" w:cs="宋体"/>
                <w:spacing w:val="5"/>
                <w:sz w:val="22"/>
                <w:szCs w:val="22"/>
              </w:rPr>
              <w:t>门旁路装置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(1)层门和轿门旁路装置上或者附近标明“旁路”字样。</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(2)处于旁路状态时，能够旁路层门关闭触点、层门门锁触点、轿门关闭触点、轿门门锁触点，但不能同时旁路层门和轿门的触点；对于手动层门，不能同时旁路层门关闭触点和层门门锁触点。</w:t>
            </w:r>
          </w:p>
        </w:tc>
        <w:tc>
          <w:tcPr>
            <w:tcW w:w="720"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(3)处于旁路状态时，取消正常运行(包括自动门的任何运行),并且只有在检修运行控制或者紧急电动运行控制下电梯才能运行，轿厢上的听觉信号和轿底的闪烁灯在运行期间起作用。</w:t>
            </w:r>
          </w:p>
        </w:tc>
        <w:tc>
          <w:tcPr>
            <w:tcW w:w="720"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(4)提供独立的监控信号证实轿门处于关闭位置。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门回路监测功能</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当轿厢停在开锁区域内、轿门开启并且层门门锁释放时，门回路监测系统</w:t>
            </w:r>
            <w:r>
              <w:rPr>
                <w:rFonts w:hint="eastAsia" w:ascii="宋体" w:hAnsi="宋体" w:eastAsia="宋体" w:cs="宋体"/>
                <w:color w:val="auto"/>
                <w:spacing w:val="10"/>
                <w:sz w:val="24"/>
                <w:szCs w:val="24"/>
                <w:lang w:val="en-US" w:eastAsia="zh-CN"/>
              </w:rPr>
              <w:t>能</w:t>
            </w:r>
            <w:r>
              <w:rPr>
                <w:rFonts w:hint="eastAsia" w:ascii="宋体" w:hAnsi="宋体" w:eastAsia="宋体" w:cs="宋体"/>
                <w:color w:val="auto"/>
                <w:spacing w:val="10"/>
                <w:sz w:val="24"/>
                <w:szCs w:val="24"/>
                <w:lang w:eastAsia="zh-CN"/>
              </w:rPr>
              <w:t>对检查轿门关闭位置的电气安全装置、检查层门锁紧装置锁紧位置的电气安全装置，或者轿门电气安全装置和层门电气安全装置所构成的电路，以及监控信号的正确动作进行监测，监测到故障时能够防止电梯的正常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"https://1.2.3.6"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1.2.3.6</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2"/>
                <w:sz w:val="22"/>
                <w:szCs w:val="22"/>
              </w:rPr>
              <w:t>制动器状态监测功能</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能够监测制动器的每组制动力或者每次动作时每组机械部件的正确动作(松开或者制动),当监测到失效时，能够防止电梯的正常运行。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8"/>
                <w:sz w:val="22"/>
                <w:szCs w:val="22"/>
              </w:rPr>
              <w:t>自动救援操作装置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(1)装置上设有铭牌，标明产品名称、型号、编号、制造单位名称、技术参数；加装的自动救援操作装置的铭牌与该装置的产品质量证明文件相符。</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2</w:t>
            </w:r>
            <w:r>
              <w:rPr>
                <w:rFonts w:hint="eastAsia" w:ascii="宋体" w:hAnsi="宋体" w:eastAsia="宋体" w:cs="宋体"/>
                <w:color w:val="auto"/>
                <w:spacing w:val="10"/>
                <w:sz w:val="24"/>
                <w:szCs w:val="24"/>
                <w:lang w:eastAsia="zh-CN"/>
              </w:rPr>
              <w:t>)当电网电源中断时，至少等待3s该装置才能自动投入救援运行；完成自动救援运行后，维持自动门的开门状态不小于10s再退出自动救援状态，关闭层门和轿</w:t>
            </w:r>
            <w:r>
              <w:rPr>
                <w:rFonts w:hint="eastAsia" w:ascii="宋体" w:hAnsi="宋体" w:eastAsia="宋体" w:cs="宋体"/>
                <w:color w:val="auto"/>
                <w:spacing w:val="10"/>
                <w:sz w:val="24"/>
                <w:szCs w:val="24"/>
                <w:lang w:eastAsia="zh-CN"/>
              </w:rPr>
              <mc:AlternateContent>
                <mc:Choice Requires="wps">
                  <w:drawing>
                    <wp:anchor distT="0" distB="0" distL="114300" distR="114300" simplePos="0" relativeHeight="251659264" behindDoc="0" locked="0" layoutInCell="0" allowOverlap="1">
                      <wp:simplePos x="0" y="0"/>
                      <wp:positionH relativeFrom="page">
                        <wp:posOffset>6165850</wp:posOffset>
                      </wp:positionH>
                      <wp:positionV relativeFrom="page">
                        <wp:posOffset>9874250</wp:posOffset>
                      </wp:positionV>
                      <wp:extent cx="459105" cy="1250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9105" cy="125095"/>
                              </a:xfrm>
                              <a:prstGeom prst="rect">
                                <a:avLst/>
                              </a:prstGeom>
                              <a:noFill/>
                              <a:ln>
                                <a:noFill/>
                              </a:ln>
                            </wps:spPr>
                            <wps:txbx>
                              <w:txbxContent>
                                <w:p>
                                  <w:pPr>
                                    <w:spacing w:before="20" w:line="156" w:lineRule="exact"/>
                                    <w:ind w:left="20"/>
                                    <w:rPr>
                                      <w:rFonts w:ascii="宋体" w:hAnsi="宋体" w:eastAsia="宋体" w:cs="宋体"/>
                                      <w:sz w:val="23"/>
                                      <w:szCs w:val="23"/>
                                    </w:rPr>
                                  </w:pPr>
                                  <w:r>
                                    <w:rPr>
                                      <w:rFonts w:ascii="宋体" w:hAnsi="宋体" w:eastAsia="宋体" w:cs="宋体"/>
                                      <w:spacing w:val="-4"/>
                                      <w:position w:val="-4"/>
                                      <w:sz w:val="23"/>
                                      <w:szCs w:val="23"/>
                                    </w:rPr>
                                    <w:t>—</w:t>
                                  </w:r>
                                  <w:r>
                                    <w:rPr>
                                      <w:rFonts w:ascii="宋体" w:hAnsi="宋体" w:eastAsia="宋体" w:cs="宋体"/>
                                      <w:spacing w:val="3"/>
                                      <w:position w:val="-4"/>
                                      <w:sz w:val="23"/>
                                      <w:szCs w:val="23"/>
                                    </w:rPr>
                                    <w:t xml:space="preserve">  </w:t>
                                  </w:r>
                                  <w:r>
                                    <w:rPr>
                                      <w:rFonts w:ascii="宋体" w:hAnsi="宋体" w:eastAsia="宋体" w:cs="宋体"/>
                                      <w:spacing w:val="-4"/>
                                      <w:position w:val="-4"/>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485.5pt;margin-top:777.5pt;height:9.85pt;width:36.15pt;mso-position-horizontal-relative:page;mso-position-vertical-relative:page;z-index:251659264;mso-width-relative:page;mso-height-relative:page;" filled="f" stroked="f" coordsize="21600,21600" o:allowincell="f" o:gfxdata="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hLrdnbAAAADgEAAA8AAAAAAAAAAQAgAAAAIgAAAGRycy9kb3ducmV2LnhtbFBL&#10;AQIUABQAAAAIAIdO4kBqXhIDugEAAHEDAAAOAAAAAAAAAAEAIAAAACoBAABkcnMvZTJvRG9jLnht&#10;bFBLBQYAAAAABgAGAFkBAABWBQAAAAA=&#10;">
                      <v:fill on="f" focussize="0,0"/>
                      <v:stroke on="f"/>
                      <v:imagedata o:title=""/>
                      <o:lock v:ext="edit" aspectratio="f"/>
                      <v:textbox inset="0mm,0mm,0mm,0mm">
                        <w:txbxContent>
                          <w:p>
                            <w:pPr>
                              <w:spacing w:before="20" w:line="156" w:lineRule="exact"/>
                              <w:ind w:left="20"/>
                              <w:rPr>
                                <w:rFonts w:ascii="宋体" w:hAnsi="宋体" w:eastAsia="宋体" w:cs="宋体"/>
                                <w:sz w:val="23"/>
                                <w:szCs w:val="23"/>
                              </w:rPr>
                            </w:pPr>
                            <w:r>
                              <w:rPr>
                                <w:rFonts w:ascii="宋体" w:hAnsi="宋体" w:eastAsia="宋体" w:cs="宋体"/>
                                <w:spacing w:val="-4"/>
                                <w:position w:val="-4"/>
                                <w:sz w:val="23"/>
                                <w:szCs w:val="23"/>
                              </w:rPr>
                              <w:t>—</w:t>
                            </w:r>
                            <w:r>
                              <w:rPr>
                                <w:rFonts w:ascii="宋体" w:hAnsi="宋体" w:eastAsia="宋体" w:cs="宋体"/>
                                <w:spacing w:val="3"/>
                                <w:position w:val="-4"/>
                                <w:sz w:val="23"/>
                                <w:szCs w:val="23"/>
                              </w:rPr>
                              <w:t xml:space="preserve">  </w:t>
                            </w:r>
                            <w:r>
                              <w:rPr>
                                <w:rFonts w:ascii="宋体" w:hAnsi="宋体" w:eastAsia="宋体" w:cs="宋体"/>
                                <w:spacing w:val="-4"/>
                                <w:position w:val="-4"/>
                                <w:sz w:val="23"/>
                                <w:szCs w:val="23"/>
                              </w:rPr>
                              <w:t>—</w:t>
                            </w:r>
                          </w:p>
                        </w:txbxContent>
                      </v:textbox>
                    </v:shape>
                  </w:pict>
                </mc:Fallback>
              </mc:AlternateContent>
            </w:r>
            <w:r>
              <w:rPr>
                <w:rFonts w:hint="eastAsia" w:ascii="宋体" w:hAnsi="宋体" w:eastAsia="宋体" w:cs="宋体"/>
                <w:color w:val="auto"/>
                <w:spacing w:val="10"/>
                <w:sz w:val="24"/>
                <w:szCs w:val="24"/>
                <w:lang w:eastAsia="zh-CN"/>
              </w:rPr>
              <w:t>门，恢复主电源回路。</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(3)处在检修运行、紧急电动运行状态，以及主开关断开、电气安全装置动作时，不能投入自动救援操作。</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8"/>
                <w:sz w:val="22"/>
                <w:szCs w:val="22"/>
              </w:rPr>
              <w:t>检修运行控制</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(1)轿顶设有一个检修运行控制装置,如果在底坑、平台、轿厢内的工作区域对驱动主机、控制柜进行维护和检查时需要移动轿厢，也设有检修运行控制装置，并且功能有效。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3"/>
                <w:szCs w:val="23"/>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(2)如果多个检修运行控制装置切换到“检修”状态，则操作任一检修运行控制装置时均不能使轿厢运行，除非同时操作所有切换到“检修”状态的检修运行控制装置上的运行按钮和相同方向按钮。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3"/>
                <w:szCs w:val="23"/>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(3)电梯运行仍然依靠电气安全装置；如果检修门开启时需要从轿厢内移动轿厢，当检修门附近检修运行控制装置切换到“检修”状态时，能够使A1.2.1.6条第(3)项所述的电气安全装置失效。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"https://1.2.3.9"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1.2.3.9</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3"/>
                <w:szCs w:val="23"/>
              </w:rPr>
              <w:t>紧急电动运行控制</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(1)紧急电动运行控制功能有效。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3"/>
                <w:szCs w:val="23"/>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(2)操作紧急电动运行开关后，依靠持续按压按钮来控制轿厢运行，按钮上或者其附近清晰地标明运行方向；进行紧急电动运行操作时，易于观察轿厢是否在开锁区域。</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"https://1.2.3.10"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1.2.3.10</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3"/>
                <w:szCs w:val="23"/>
              </w:rPr>
              <w:t>紧急和测试操作屏</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(1)紧急操作和动态测试功能有效。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5"/>
                <w:sz w:val="23"/>
                <w:szCs w:val="23"/>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(2)设有显示装置或者观察窗，以获得轿厢运行方向、速度以及是否到达开锁区域的信息。</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5"/>
                <w:sz w:val="23"/>
                <w:szCs w:val="23"/>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(3)设有停止装置，除非在其附近1m之内有可以直接接近的主开关或者其他停止装置。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"https://1.2.3.11"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1.2.3.11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spacing w:val="6"/>
                <w:sz w:val="23"/>
                <w:szCs w:val="23"/>
              </w:rPr>
            </w:pPr>
            <w:r>
              <w:rPr>
                <w:rFonts w:ascii="宋体" w:hAnsi="宋体" w:eastAsia="宋体" w:cs="宋体"/>
                <w:spacing w:val="6"/>
                <w:sz w:val="23"/>
                <w:szCs w:val="23"/>
              </w:rPr>
              <w:t>紧急报警装置(对讲系统)</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(1)轿厢内的紧急报警装置采用由应急电源供电的双向对讲系统与救援服务持续联系；如果电梯行程大于30m或者轿厢内与进行紧急操作处之间无法直接对话，则在轿厢内和进行紧急操作处还设置由应急电源供电的双向对讲系统或者类似装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"https://1.2.4.1"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1.2.4.1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驱动主机停止装置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val="en-US" w:eastAsia="zh-CN"/>
              </w:rPr>
              <w:t>在</w:t>
            </w:r>
            <w:r>
              <w:rPr>
                <w:rFonts w:hint="eastAsia" w:ascii="宋体" w:hAnsi="宋体" w:eastAsia="宋体" w:cs="宋体"/>
                <w:color w:val="auto"/>
                <w:spacing w:val="10"/>
                <w:sz w:val="24"/>
                <w:szCs w:val="24"/>
                <w:lang w:eastAsia="zh-CN"/>
              </w:rPr>
              <w:t>驱动主机附近1m之内设有可以直接接近的主开关或者停止装置，并且功能有效。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"https://1.2.4.2"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1.2.4.2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0"/>
                <w:sz w:val="22"/>
                <w:szCs w:val="22"/>
              </w:rPr>
              <w:t>曳引轮绳槽(带槽)</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曳引轮绳槽(带槽)无缺损或者不正常磨损。</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"https://1.2.4.3"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1.2.4.3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2"/>
                <w:szCs w:val="22"/>
              </w:rPr>
              <w:t>制动器</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(1)能够从井道外独立地测试每个制动组。</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(2)制动器动作灵活，制动时制动闸瓦(制动钳)紧密、均匀地贴合在制动轮(制动盘)上，电梯运行时制动闸瓦(制动钳)与制动轮(制动盘)不发生摩擦，制动闸瓦(制动钳)以及制动轮(制动盘)工作面上无油污。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对于需要定期拆解保养的柱塞式电磁铁型式的杠杆鼓式制动器，维护保养单位按照受检电梯制造(改造)单位(该单位已经注销时，按照相应驱动主机的制造单位或者型式试验机构)的要求进行了拆解保养，并且提供了拆解保养过程的视频或者照片等见证资料。</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"https://1.2.4.7"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1.2.4.7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手动紧急操作装置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(1)对于曳引与强制驱动电梯，能够通过持续手动操作的机械装置或者由自动充电的紧急电源供电的电气装置打开驱动主机制动器，并且该装置的失效不会导致制动功能的失效。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(2)手动松开制动器后仅在重力作用下轿厢不能移动时，能够通过手动机械装置、独立于主电源供电的手动操作电动装置或者其他措施将轿厢移动到附近层站。</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(3)如果电梯的移动可能带动手动机械装置，该装置是平滑和无辐条的轮子。</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(4)如果手动机械装置可以从驱动主机上拆卸或者脱出，设有最迟在其连接到驱动主机时起作用的电气安全装置。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(7)在紧急操作处，易于检查轿厢是否在开锁区域</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钢丝绳</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(1)无笼状畸变、绳股挤出、扭结、部分压扁、弯折、严重锈蚀、铁锈填满绳股间隙、直径小于其公称直径的90%等达到报废条件的现象。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(2)一个捻距内的断丝数(注A1-11)不超过本附件表A1-3所列数值。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表A1-3 一个捻距内的断丝数量</w:t>
            </w:r>
          </w:p>
        </w:tc>
        <w:tc>
          <w:tcPr>
            <w:tcW w:w="720" w:type="dxa"/>
            <w:vMerge w:val="restart"/>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vMerge w:val="restart"/>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74"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1"/>
                <w:sz w:val="13"/>
                <w:szCs w:val="13"/>
              </w:rPr>
              <w:t>断丝的形式</w:t>
            </w:r>
          </w:p>
        </w:tc>
        <w:tc>
          <w:tcPr>
            <w:tcW w:w="3530"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spacing w:val="10"/>
                <w:sz w:val="24"/>
                <w:szCs w:val="24"/>
                <w:lang w:val="en-US" w:eastAsia="zh-CN"/>
              </w:rPr>
            </w:pPr>
            <w:r>
              <w:rPr>
                <w:rFonts w:ascii="宋体" w:hAnsi="宋体" w:eastAsia="宋体" w:cs="宋体"/>
                <w:spacing w:val="3"/>
                <w:sz w:val="13"/>
                <w:szCs w:val="13"/>
              </w:rPr>
              <w:t>钢丝绳类型</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auto"/>
                <w:spacing w:val="10"/>
                <w:sz w:val="13"/>
                <w:szCs w:val="13"/>
                <w:lang w:val="en-US" w:eastAsia="zh-CN"/>
              </w:rPr>
            </w:pPr>
          </w:p>
        </w:tc>
        <w:tc>
          <w:tcPr>
            <w:tcW w:w="10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4"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2"/>
                <w:sz w:val="13"/>
                <w:szCs w:val="13"/>
              </w:rPr>
              <w:t>6×19</w:t>
            </w:r>
          </w:p>
        </w:tc>
        <w:tc>
          <w:tcPr>
            <w:tcW w:w="1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4"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2"/>
                <w:sz w:val="13"/>
                <w:szCs w:val="13"/>
              </w:rPr>
              <w:t>8×19</w:t>
            </w:r>
          </w:p>
        </w:tc>
        <w:tc>
          <w:tcPr>
            <w:tcW w:w="1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4"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2"/>
                <w:sz w:val="13"/>
                <w:szCs w:val="13"/>
              </w:rPr>
              <w:t>9×19</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2" w:line="180" w:lineRule="exact"/>
              <w:jc w:val="left"/>
              <w:textAlignment w:val="auto"/>
              <w:rPr>
                <w:rFonts w:hint="default" w:ascii="宋体" w:hAnsi="宋体" w:eastAsia="宋体" w:cs="宋体"/>
                <w:color w:val="auto"/>
                <w:spacing w:val="10"/>
                <w:sz w:val="13"/>
                <w:szCs w:val="13"/>
                <w:lang w:val="en-US" w:eastAsia="zh-CN"/>
              </w:rPr>
            </w:pPr>
            <w:r>
              <w:rPr>
                <w:rFonts w:ascii="宋体" w:hAnsi="宋体" w:eastAsia="宋体" w:cs="宋体"/>
                <w:spacing w:val="-2"/>
                <w:sz w:val="13"/>
                <w:szCs w:val="13"/>
              </w:rPr>
              <w:t>均布在外层绳股上</w:t>
            </w:r>
          </w:p>
        </w:tc>
        <w:tc>
          <w:tcPr>
            <w:tcW w:w="10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82"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3"/>
                <w:sz w:val="13"/>
                <w:szCs w:val="13"/>
              </w:rPr>
              <w:t>24</w:t>
            </w:r>
          </w:p>
        </w:tc>
        <w:tc>
          <w:tcPr>
            <w:tcW w:w="1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82"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4"/>
                <w:sz w:val="13"/>
                <w:szCs w:val="13"/>
              </w:rPr>
              <w:t>30</w:t>
            </w:r>
          </w:p>
        </w:tc>
        <w:tc>
          <w:tcPr>
            <w:tcW w:w="1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82"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4"/>
                <w:sz w:val="13"/>
                <w:szCs w:val="13"/>
              </w:rPr>
              <w:t>34</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5" w:line="180" w:lineRule="exact"/>
              <w:jc w:val="left"/>
              <w:textAlignment w:val="auto"/>
              <w:rPr>
                <w:rFonts w:hint="default" w:ascii="宋体" w:hAnsi="宋体" w:eastAsia="宋体" w:cs="宋体"/>
                <w:color w:val="auto"/>
                <w:spacing w:val="10"/>
                <w:sz w:val="13"/>
                <w:szCs w:val="13"/>
                <w:lang w:val="en-US" w:eastAsia="zh-CN"/>
              </w:rPr>
            </w:pPr>
            <w:r>
              <w:rPr>
                <w:rFonts w:ascii="宋体" w:hAnsi="宋体" w:eastAsia="宋体" w:cs="宋体"/>
                <w:spacing w:val="-1"/>
                <w:sz w:val="13"/>
                <w:szCs w:val="13"/>
              </w:rPr>
              <w:t>集中在一根或者两根外层绳股上</w:t>
            </w:r>
          </w:p>
        </w:tc>
        <w:tc>
          <w:tcPr>
            <w:tcW w:w="10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4"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8</w:t>
            </w:r>
          </w:p>
        </w:tc>
        <w:tc>
          <w:tcPr>
            <w:tcW w:w="1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3"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7"/>
                <w:sz w:val="13"/>
                <w:szCs w:val="13"/>
              </w:rPr>
              <w:t>10</w:t>
            </w:r>
          </w:p>
        </w:tc>
        <w:tc>
          <w:tcPr>
            <w:tcW w:w="1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88"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pacing w:val="-6"/>
                <w:sz w:val="13"/>
                <w:szCs w:val="13"/>
              </w:rPr>
              <w:t>11</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7" w:line="180" w:lineRule="exact"/>
              <w:jc w:val="left"/>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一根外层绳股上相邻的断丝</w:t>
            </w:r>
          </w:p>
        </w:tc>
        <w:tc>
          <w:tcPr>
            <w:tcW w:w="10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6"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4</w:t>
            </w:r>
          </w:p>
        </w:tc>
        <w:tc>
          <w:tcPr>
            <w:tcW w:w="1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6"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4</w:t>
            </w:r>
          </w:p>
        </w:tc>
        <w:tc>
          <w:tcPr>
            <w:tcW w:w="1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6"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4</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190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8" w:line="180" w:lineRule="exact"/>
              <w:jc w:val="left"/>
              <w:textAlignment w:val="auto"/>
              <w:rPr>
                <w:rFonts w:hint="default" w:ascii="宋体" w:hAnsi="宋体" w:eastAsia="宋体" w:cs="宋体"/>
                <w:color w:val="auto"/>
                <w:spacing w:val="10"/>
                <w:sz w:val="13"/>
                <w:szCs w:val="13"/>
                <w:lang w:val="en-US" w:eastAsia="zh-CN"/>
              </w:rPr>
            </w:pPr>
            <w:r>
              <w:rPr>
                <w:rFonts w:ascii="宋体" w:hAnsi="宋体" w:eastAsia="宋体" w:cs="宋体"/>
                <w:spacing w:val="1"/>
                <w:sz w:val="13"/>
                <w:szCs w:val="13"/>
              </w:rPr>
              <w:t>股谷(缝)断丝</w:t>
            </w:r>
          </w:p>
        </w:tc>
        <w:tc>
          <w:tcPr>
            <w:tcW w:w="10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91"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1</w:t>
            </w:r>
          </w:p>
        </w:tc>
        <w:tc>
          <w:tcPr>
            <w:tcW w:w="110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86"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1</w:t>
            </w:r>
          </w:p>
        </w:tc>
        <w:tc>
          <w:tcPr>
            <w:tcW w:w="1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91" w:line="180" w:lineRule="exact"/>
              <w:jc w:val="center"/>
              <w:textAlignment w:val="auto"/>
              <w:rPr>
                <w:rFonts w:hint="default" w:ascii="宋体" w:hAnsi="宋体" w:eastAsia="宋体" w:cs="宋体"/>
                <w:color w:val="auto"/>
                <w:spacing w:val="10"/>
                <w:sz w:val="13"/>
                <w:szCs w:val="13"/>
                <w:lang w:val="en-US" w:eastAsia="zh-CN"/>
              </w:rPr>
            </w:pPr>
            <w:r>
              <w:rPr>
                <w:rFonts w:ascii="宋体" w:hAnsi="宋体" w:eastAsia="宋体" w:cs="宋体"/>
                <w:sz w:val="13"/>
                <w:szCs w:val="13"/>
              </w:rPr>
              <w:t>1</w:t>
            </w: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91" w:line="180" w:lineRule="exact"/>
              <w:jc w:val="both"/>
              <w:textAlignment w:val="auto"/>
              <w:rPr>
                <w:rFonts w:ascii="宋体" w:hAnsi="宋体" w:eastAsia="宋体" w:cs="宋体"/>
                <w:sz w:val="18"/>
                <w:szCs w:val="18"/>
              </w:rPr>
            </w:pP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包覆带</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(1)无包覆层变形(如鼓包、压痕、折痕、凹陷等)、包覆带承载体外露或者刺出、承载体断裂等达到报废条件的现象。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(2)设有监测每根包覆带承载体强度的装置，当检测到任一根承载体破断时，能够防止电梯的下一次正常启动。</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(3)用于查看包覆带使用时间或者电梯启动次数的装置完好。</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悬挂装置端部固定</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(1)悬挂装置的端部固定部件无裂纹、松动等现象，端接装置的弹簧、螺母、开口销等连接部件无缺损。</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补偿装置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(1)补偿装置的端部固定部件无裂纹、松动等现象。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(2)使用电气安全装置来检查补偿绳的最小张紧位置;当电梯的额定速度大于3.5m/s时，设有防跳装置，该装置动作时由电气安全装置使电梯停止运行。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"https://1.2.5.6"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1.2.5.6</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异常伸长保护措施</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如果轿厢悬挂在包覆带或者两根钢丝绳上，检查当任意一根悬挂装置发生异常相对伸长时，能够通过电气安全装置防止电梯的正常运行。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10"/>
                <w:sz w:val="22"/>
                <w:szCs w:val="22"/>
              </w:rPr>
            </w:pPr>
            <w:r>
              <w:rPr>
                <w:rFonts w:ascii="宋体" w:hAnsi="宋体" w:eastAsia="宋体" w:cs="宋体"/>
                <w:spacing w:val="10"/>
                <w:sz w:val="22"/>
                <w:szCs w:val="22"/>
              </w:rPr>
              <w:t>非金属材质反绳轮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(1)电梯的额定速度不大于1.75m/s。</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(2)反绳轮上或者附近设有永久固定和清晰的标识，标明反绳轮制造单位名称或者商标、制造日期、维护保养要求(如润滑方法与周期)及报废条件。</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(3)维护保养单位按照要求进行了维护保养，并且提供了维护保养过程的视频或者照片等见证资料。</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(4)在进行本附件A1.3条所述的各项试验前、后，均未出现悬挂装置脱离绳槽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(带槽)、轮及轮轴偏转、固定结构变形等现象。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"https://1.2.5.8"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1.2.5.8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8"/>
                <w:sz w:val="21"/>
                <w:szCs w:val="21"/>
              </w:rPr>
              <w:t>旋转部件防护装置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曳引轮、滑轮、限速器和张紧轮按照表A1-4设置防护装置，以避免人身伤害、钢丝绳(包覆带)因松弛而脱离绳槽(带槽)、异物进入钢丝绳(包覆带)与绳槽(带槽)之间，并且防护装置与运动部件无碰擦。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表A1-4   旋转部件防护装置设置要求</w:t>
            </w:r>
          </w:p>
          <w:p>
            <w:pPr>
              <w:spacing w:before="131" w:line="360" w:lineRule="auto"/>
              <w:ind w:right="80"/>
            </w:pPr>
            <w:r>
              <w:drawing>
                <wp:inline distT="0" distB="0" distL="114300" distR="114300">
                  <wp:extent cx="2988310" cy="1998980"/>
                  <wp:effectExtent l="0" t="0" r="889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88310" cy="1998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ascii="宋体" w:hAnsi="宋体" w:eastAsia="宋体" w:cs="宋体"/>
                <w:color w:val="auto"/>
                <w:spacing w:val="10"/>
                <w:sz w:val="24"/>
                <w:szCs w:val="24"/>
                <w:lang w:val="en-US" w:eastAsia="zh-CN"/>
              </w:rPr>
              <w:t>在钢丝绳(包覆带)入槽和出槽位置附近各设有一个防脱槽装置；钢丝绳(包覆带)在轮轴水平以下的包角大于60°并且整个包角大于120°的，至少还设有一个中间防脱槽装置。</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6"/>
                <w:sz w:val="21"/>
                <w:szCs w:val="21"/>
              </w:rPr>
              <w:t>轿顶停止装置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轿顶上距入口不大于1m处应设有易于接近的停止装置,并且功能有效；该装置也可以是距入口不大于1m的检修控制装置上的停止装置。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7"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7"/>
                <w:sz w:val="22"/>
                <w:szCs w:val="22"/>
              </w:rPr>
              <w:t>轿顶护栏</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轿顶外侧边缘与井道壁之间的水平方向净距离大于0.30m的，应设有符合以下要求的护栏：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(1)由扶手、高度不小于0.10m的踢脚板和位于护栏高度1/2处的中间栏杆组成。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(2)当护栏扶手外侧边缘与井道壁之间的自由距离不大于0.85m时，扶手高度不小于0.70m;当自由距离大于0.85m时，扶手高度不小于1.10m。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(3)护栏装设在距轿顶边缘最大为0.15m之内，并且扶手外侧边缘与井道中的任何部件之间的水平距离不小于0.10m。</w:t>
            </w:r>
          </w:p>
        </w:tc>
        <w:tc>
          <w:tcPr>
            <w:tcW w:w="720" w:type="dxa"/>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轿厢安全窗</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(1)设有手动锁紧装置，能够不用钥匙从轿厢外开启，用规定的三角钥匙从轿厢内开启。</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(2)不能向轿厢内开启，并且开启位置不超出轿厢的边缘。</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3"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(3)安全窗的锁紧由电气安全装置验证，该装置动作后能够使电梯停止运行。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8"/>
                <w:sz w:val="22"/>
                <w:szCs w:val="22"/>
              </w:rPr>
              <w:t>轿厢安全门</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(1)设有手动锁紧装置，能够不用钥匙从轿厢外开启，用规定的三角钥匙从轿厢内开启。</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(2)不能向轿厢外开启，并且出入路径没有对重(平衡重)或者固定障碍物。</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(3)安全门的锁紧由电气安全装置验证。</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(4)当相邻轿厢之间的水平距离大于0.35m时，提供一个连接到轿厢或者设置在轿厢上的具有扶手的过桥；</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4"/>
                <w:sz w:val="22"/>
                <w:szCs w:val="22"/>
              </w:rPr>
              <w:t>轿厢和对重间距</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轿厢及其附联部件与对重及其附联部件之间的距离不小于50mm。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"https://1.2.6.6"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1.2.6.6</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对重块</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(1)对重块无松动、移位等现象。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(2)具有能够快速识别对重块数量的措施(例如标明数量或者总高度),并且该措施不会被混淆。</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(3)非金属材质对重块(架)上、轿顶上或者底坑内有清晰的标识，标明对重块制造单位名称或者商标和报废条件。</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(4)在进行本附件A1.3条所述的各项试验前、后，对重块及其包覆物均无影响产品性能的开裂、破碎、剥落、腐蚀等现象。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对于未按照前款第(3)项对非金属材质对重块进行过监督检验的电梯，应当至少符合前款第(1)、第(2)、第(4)项的要求。</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3"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轿厢内铭牌及标识</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轿厢内设有铭牌，标明额定载重量及乘客人数、产品编号、制造单位名称或者商标;改造后的电梯，加贴铭牌上标明额定载重量及乘客人数(载货电梯可以只标额定载重量)、改造单位名称或者商标、改造竣工日期。</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(2)轿厢内设有IC卡系统的电梯，轿厢内出口层按钮采用凸起的星形图案予以标识，或者采用与其他按钮颜色明显不同的绿色按钮。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0"/>
                <w:sz w:val="22"/>
                <w:szCs w:val="22"/>
              </w:rPr>
              <w:t>轿厢照明及通风</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(1)轿厢正常照明和通风有效。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(2)在正常照明电源发生故障的情况下，由紧急电源供电的应急照明能够自动投入工作</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"https://1.2.6.9"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1.2.6.9</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轿厢语音播报系统</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在停电、故障停梯、轿厢位置校正(再平层除外)、自动救援操作装置启动以及接收火灾信号退出正常服务时，轿厢语音播报系统应进行语音播报，提示、安抚轿厢内乘客。</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"https://1.2.6.10"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1.2.6.10</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8"/>
                <w:sz w:val="22"/>
                <w:szCs w:val="22"/>
              </w:rPr>
              <w:t>轿厢护脚板</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(1)从层站处，在护脚板垂直部分下边沿5cm²的圆形或者方形面积上施加300N的静力，其弹性变形不大于35mm。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(2)轿厢护脚板的垂直部分高度不小于0.75m,宽度不小于层站入口宽度；</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"https://1.2.7.1"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1.2.7.1</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7"/>
                <w:sz w:val="22"/>
                <w:szCs w:val="22"/>
              </w:rPr>
              <w:t>门地坎距离</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轿厢地坎与层门地坎的水平距离不大于35mm。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"https://1.2.7.2"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1.2.7.2</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5"/>
                <w:sz w:val="22"/>
                <w:szCs w:val="22"/>
              </w:rPr>
              <w:t>门间隙</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(1)门扇之间及门扇与立柱、门楣和地坎之间的间隙，对于乘客电梯不大于6mm；对于载货电梯不大于10mm。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5"/>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(2)在水平滑动层门和折叠层门最快门扇的开启方向，以150N的力施加在一个最不利的点，本条第(1)项所述的间隙对于旁开门不大于30mm,对于中分门其总和不大于45mm。</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"https://1.2.7.3"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1.2.7.3</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玻璃门防拖曳措施</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防止儿童的手被玻璃门拖曳的措施应有效。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lang w:val="en-US" w:eastAsia="zh-CN"/>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"https://1.2.7.4"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1.2.7.4</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eastAsiaTheme="minorEastAsia" w:cstheme="minorBidi"/>
                <w:kern w:val="2"/>
                <w:sz w:val="21"/>
                <w:szCs w:val="21"/>
                <w:lang w:val="en-US" w:eastAsia="zh-CN" w:bidi="ar-SA"/>
              </w:rPr>
            </w:pPr>
            <w:r>
              <w:rPr>
                <w:rFonts w:ascii="宋体" w:hAnsi="宋体" w:eastAsia="宋体" w:cs="宋体"/>
                <w:spacing w:val="9"/>
                <w:sz w:val="22"/>
                <w:szCs w:val="22"/>
              </w:rPr>
              <w:t>门再开启保护装置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自动水平滑动门关闭过程中人员通过入口时，保护装置能够自动使门重新开启。对于未按照前款要求对门再开启保护装置进行过监督检验的电梯，当人员通过入口被正在关闭的门扇撞击或者将被撞击时，保护装置能够自动使门重新开启。</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"https://1.2.7.5"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1.2.7.5</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宋体" w:hAnsi="宋体" w:eastAsia="宋体" w:cs="宋体"/>
                <w:spacing w:val="9"/>
                <w:sz w:val="22"/>
                <w:szCs w:val="22"/>
              </w:rPr>
            </w:pPr>
            <w:r>
              <w:rPr>
                <w:rFonts w:ascii="宋体" w:hAnsi="宋体" w:eastAsia="宋体" w:cs="宋体"/>
                <w:spacing w:val="10"/>
                <w:sz w:val="22"/>
                <w:szCs w:val="22"/>
              </w:rPr>
              <w:t>门的运行与导向</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(1)层门和轿门正常运行时无脱轨、机械卡阻或者错位现象。</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(2)层门导向装置失效时，层门保持装置能够使层门保持在原有位置。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(3)在层门底部保持装置上或者其附近设有识别保持装置最小啮合深度的标记，并且层门底部保持装置的啮合深度不小于标记所示的最小啮合深度。</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"https://1.2.7.6"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1.2.7.6</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9"/>
                <w:sz w:val="22"/>
                <w:szCs w:val="22"/>
              </w:rPr>
              <w:t>自动关闭层门装置</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(1)在轿门驱动层门的情况下，当轿厢在开锁区域之外时，自动关闭层门装置能够使开启的层门关闭。</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(2)自动关闭层门装置采用重块的，其防止重块坠落的措施保持有效。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"https://1.2.7.7"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1.2.7.7</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6"/>
                <w:sz w:val="22"/>
                <w:szCs w:val="22"/>
              </w:rPr>
              <w:t>紧急开锁</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(1)每个层门均能够被专用钥匙从外面开启；紧急开锁后，在层门闭合时门锁装置未保持在开锁位置。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6"/>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(2)如果只能通过层门进入底坑，则从底坑爬梯并且在高度1.80m内和最大水平距离0.80m范围内能够安全地触及门锁，或者能够通过永久设置的装置从底坑中打开层门。</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"https://1.2.7.8"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1.2.7.8</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0"/>
                <w:sz w:val="22"/>
                <w:szCs w:val="22"/>
              </w:rPr>
              <w:t>门的锁紧与闭合</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(1)锁紧动作由重力、永久磁铁或者弹簧来产生和保持，即使永久磁铁或者弹簧失效，重力也不能导致开锁。</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(2)轿厢在锁紧元件啮合不小于7mm时才能启动。</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(3)检查层门、轿门锁紧状态的电气安全装置功能有效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0"/>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每个层门和轿门的闭合均由电气安全装置验证；如果滑动门是由数个间接机械连接的门扇组成，则未被锁住的门扇上设有电气安全装置以验证其闭合状态；与门的驱动部件直接机械连接的轿门门扇可以不设置电气安全装置。</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"https://1.2.7.9"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1.2.7.9</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5"/>
                <w:sz w:val="22"/>
                <w:szCs w:val="22"/>
              </w:rPr>
              <w:t>轿门开门限制装置及轿门的开启</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(1)轿厢停在开锁区域外时，轿门开门限制装置能够防止轿厢内的人员打开轿门离开轿厢。</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5"/>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(2)在轿厢意外移动保护装置允许的最大制停距离范围内，打开对应的层门后，能够不用工具(三角钥匙或者永久性设置在现场的工具除外)从层站处打开轿门。</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w:t>
            </w:r>
            <w:r>
              <w:rPr>
                <w:rFonts w:ascii="宋体" w:hAnsi="宋体" w:eastAsia="宋体" w:cs="宋体"/>
                <w:color w:val="000000" w:themeColor="text1"/>
                <w:spacing w:val="4"/>
                <w:sz w:val="21"/>
                <w:szCs w:val="21"/>
                <w14:textFill>
                  <w14:solidFill>
                    <w14:schemeClr w14:val="tx1"/>
                  </w14:solidFill>
                </w14:textFill>
              </w:rPr>
              <w:fldChar w:fldCharType="begin"/>
            </w:r>
            <w:r>
              <w:rPr>
                <w:rFonts w:ascii="宋体" w:hAnsi="宋体" w:eastAsia="宋体" w:cs="宋体"/>
                <w:color w:val="000000" w:themeColor="text1"/>
                <w:spacing w:val="4"/>
                <w:sz w:val="21"/>
                <w:szCs w:val="21"/>
                <w14:textFill>
                  <w14:solidFill>
                    <w14:schemeClr w14:val="tx1"/>
                  </w14:solidFill>
                </w14:textFill>
              </w:rPr>
              <w:instrText xml:space="preserve"> HYPERLINK "https://1.2.7.10" </w:instrText>
            </w:r>
            <w:r>
              <w:rPr>
                <w:rFonts w:ascii="宋体" w:hAnsi="宋体" w:eastAsia="宋体" w:cs="宋体"/>
                <w:color w:val="000000" w:themeColor="text1"/>
                <w:spacing w:val="4"/>
                <w:sz w:val="21"/>
                <w:szCs w:val="21"/>
                <w14:textFill>
                  <w14:solidFill>
                    <w14:schemeClr w14:val="tx1"/>
                  </w14:solidFill>
                </w14:textFill>
              </w:rPr>
              <w:fldChar w:fldCharType="separate"/>
            </w:r>
            <w:r>
              <w:rPr>
                <w:rFonts w:ascii="宋体" w:hAnsi="宋体" w:eastAsia="宋体" w:cs="宋体"/>
                <w:color w:val="000000" w:themeColor="text1"/>
                <w:spacing w:val="4"/>
                <w:sz w:val="21"/>
                <w:szCs w:val="21"/>
                <w14:textFill>
                  <w14:solidFill>
                    <w14:schemeClr w14:val="tx1"/>
                  </w14:solidFill>
                </w14:textFill>
              </w:rPr>
              <w:t>1.2.7.10</w:t>
            </w:r>
            <w:r>
              <w:rPr>
                <w:rFonts w:ascii="宋体" w:hAnsi="宋体" w:eastAsia="宋体" w:cs="宋体"/>
                <w:color w:val="000000" w:themeColor="text1"/>
                <w:spacing w:val="4"/>
                <w:sz w:val="21"/>
                <w:szCs w:val="21"/>
                <w14:textFill>
                  <w14:solidFill>
                    <w14:schemeClr w14:val="tx1"/>
                  </w14:solidFill>
                </w14:textFill>
              </w:rPr>
              <w:fldChar w:fldCharType="end"/>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3"/>
                <w:sz w:val="21"/>
                <w:szCs w:val="21"/>
              </w:rPr>
              <w:t>门刀、门锁滚轮与地坎间隙</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轿门门刀与层门地坎、层门门锁滚轮与轿厢地坎的间隙不小于5mm,并且电梯运行时不互相碰擦。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A1.3.1</w:t>
            </w:r>
          </w:p>
        </w:tc>
        <w:tc>
          <w:tcPr>
            <w:tcW w:w="940" w:type="dxa"/>
            <w:vMerge w:val="restart"/>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1"/>
                <w:sz w:val="22"/>
                <w:szCs w:val="22"/>
              </w:rPr>
              <w:t>应急救援试验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(1)机房内或者紧急和测试操作屏上设有清晰的应急救援程序。</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(2)对于曳引驱动乘客与载货电梯，建筑物内的救援通道应保持通畅，应急救援人员能够无阻碍地抵达实施紧急操作的位置，以及各层站处。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注A1-18:对于《电梯监督检验和定期检验规则——曳引与强制驱动电梯》(TSG T7001—2009,含第1、第2号修改单)、实施前监督检验合格的和在现有建筑物中增设的曳引驱动乘客与载货电梯，因建筑结构等原因而难以达到本条中有关无阻碍地抵达各层站处这一要求时，如果使用单位采取了有效措施(例如：保证救援人员可以通过钥匙或者强制手段打开通往电梯层站的门窗等阻隔，及时到达实施救援的层站，并且按规定开展了应急救援演练)并且征得了相关利益方的同意，同时符合本条中的其他要求，可以判定本条的检验结果为符合要求</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11"/>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（4）在各种载荷工况下，按照本条第(1)项所述的应急救援程序实施操作，能够安全、及时地解救被困人员。</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A1.3.2</w:t>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8"/>
                <w:sz w:val="22"/>
                <w:szCs w:val="22"/>
              </w:rPr>
              <w:t>平衡系数测试</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在轿厢内装载30%、40%、45%、50%、60%额定载重量的载荷运行，当轿厢与对重运行到同一水平位置时，测量电动机的电流值(对于直流电动机同时测量电压值),绘制电流(或者电压)载荷曲线，以向上、向下运行曲线的交点确定平衡系数，确认平衡系数在0.40～0.50之间，并且符合制造(改造)单位的设计值。</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A1.3.3</w:t>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4"/>
                <w:sz w:val="22"/>
                <w:szCs w:val="22"/>
              </w:rPr>
              <w:t>轿厢超载保护装置试验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FF0000"/>
                <w:spacing w:val="10"/>
                <w:sz w:val="24"/>
                <w:szCs w:val="24"/>
                <w:lang w:val="en-US" w:eastAsia="zh-CN"/>
              </w:rPr>
              <w:t>采用在轿厢内施加载荷的方式进行轿厢超载保护装置试验</w:t>
            </w:r>
            <w:r>
              <w:rPr>
                <w:rFonts w:hint="eastAsia" w:ascii="宋体" w:hAnsi="宋体" w:eastAsia="宋体" w:cs="宋体"/>
                <w:color w:val="auto"/>
                <w:spacing w:val="10"/>
                <w:sz w:val="24"/>
                <w:szCs w:val="24"/>
                <w:lang w:val="en-US" w:eastAsia="zh-CN"/>
              </w:rPr>
              <w:t>,观察是否最迟在轿厢内载荷达到110%额定载重量时能够检测出超载，防止电梯正常启动及再平层,并且轿厢内有听觉和视觉信号提示，自动门完全开启，手动门保持在未锁紧状态。对于未按照前款要求对轿厢超载保护装置进行过监督检验的电梯，允许轿厢内只提供听觉信号或者视觉信号。</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jc w:val="center"/>
        </w:trPr>
        <w:tc>
          <w:tcPr>
            <w:tcW w:w="1232" w:type="dxa"/>
            <w:vMerge w:val="restart"/>
            <w:vAlign w:val="center"/>
          </w:tcPr>
          <w:p>
            <w:pPr>
              <w:jc w:val="center"/>
              <w:rPr>
                <w:rFonts w:hint="default"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A1.3.4</w:t>
            </w:r>
          </w:p>
        </w:tc>
        <w:tc>
          <w:tcPr>
            <w:tcW w:w="940" w:type="dxa"/>
            <w:vMerge w:val="restart"/>
            <w:tcBorders>
              <w:right w:val="single" w:color="auto" w:sz="4" w:space="0"/>
            </w:tcBorders>
            <w:vAlign w:val="center"/>
          </w:tcPr>
          <w:p>
            <w:pPr>
              <w:jc w:val="center"/>
              <w:rPr>
                <w:rFonts w:hint="default" w:asciiTheme="minorEastAsia" w:hAnsiTheme="minorEastAsia" w:eastAsiaTheme="minorEastAsia"/>
                <w:color w:val="44546A" w:themeColor="text2"/>
                <w:szCs w:val="21"/>
                <w:lang w:val="en-US" w:eastAsia="zh-CN"/>
                <w14:textFill>
                  <w14:solidFill>
                    <w14:schemeClr w14:val="tx2"/>
                  </w14:solidFill>
                </w14:textFill>
              </w:rPr>
            </w:pPr>
            <w:r>
              <w:rPr>
                <w:rFonts w:hint="eastAsia" w:ascii="宋体" w:hAnsi="宋体" w:eastAsia="宋体" w:cs="宋体"/>
                <w:color w:val="auto"/>
                <w:spacing w:val="10"/>
                <w:sz w:val="24"/>
                <w:szCs w:val="24"/>
                <w:lang w:val="en-US" w:eastAsia="zh-CN"/>
              </w:rPr>
              <w:t>轿厢限速器-安全钳试验</w:t>
            </w: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A</w:t>
            </w:r>
            <w:r>
              <w:rPr>
                <w:rFonts w:hint="eastAsia" w:ascii="宋体" w:hAnsi="宋体" w:eastAsia="宋体" w:cs="宋体"/>
                <w:color w:val="auto"/>
                <w:spacing w:val="10"/>
                <w:sz w:val="24"/>
                <w:szCs w:val="24"/>
                <w:lang w:val="en-US" w:eastAsia="zh-CN"/>
              </w:rPr>
              <w:fldChar w:fldCharType="begin"/>
            </w:r>
            <w:r>
              <w:rPr>
                <w:rFonts w:hint="eastAsia" w:ascii="宋体" w:hAnsi="宋体" w:eastAsia="宋体" w:cs="宋体"/>
                <w:color w:val="auto"/>
                <w:spacing w:val="10"/>
                <w:sz w:val="24"/>
                <w:szCs w:val="24"/>
                <w:lang w:val="en-US" w:eastAsia="zh-CN"/>
              </w:rPr>
              <w:instrText xml:space="preserve"> HYPERLINK "https://1.3.4.1" </w:instrText>
            </w:r>
            <w:r>
              <w:rPr>
                <w:rFonts w:hint="eastAsia" w:ascii="宋体" w:hAnsi="宋体" w:eastAsia="宋体" w:cs="宋体"/>
                <w:color w:val="auto"/>
                <w:spacing w:val="10"/>
                <w:sz w:val="24"/>
                <w:szCs w:val="24"/>
                <w:lang w:val="en-US" w:eastAsia="zh-CN"/>
              </w:rPr>
              <w:fldChar w:fldCharType="separate"/>
            </w:r>
            <w:r>
              <w:rPr>
                <w:rFonts w:hint="eastAsia" w:ascii="宋体" w:hAnsi="宋体" w:eastAsia="宋体" w:cs="宋体"/>
                <w:color w:val="auto"/>
                <w:spacing w:val="10"/>
                <w:sz w:val="24"/>
                <w:szCs w:val="24"/>
                <w:lang w:val="en-US" w:eastAsia="zh-CN"/>
              </w:rPr>
              <w:t>1.3.4.1</w:t>
            </w:r>
            <w:r>
              <w:rPr>
                <w:rFonts w:hint="eastAsia" w:ascii="宋体" w:hAnsi="宋体" w:eastAsia="宋体" w:cs="宋体"/>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轿厢限速器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(1)各调节部位封记完好，运转时无碰擦、卡阻、转动不灵活等现象，动作正常；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(2)动作速度符合要求。</w:t>
            </w:r>
          </w:p>
        </w:tc>
        <w:tc>
          <w:tcPr>
            <w:tcW w:w="720" w:type="dxa"/>
            <w:vMerge w:val="restart"/>
            <w:tcBorders>
              <w:top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4"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tcPr>
          <w:p>
            <w:pPr>
              <w:rPr>
                <w:rFonts w:asciiTheme="minorEastAsia" w:hAnsiTheme="minorEastAsia"/>
                <w:color w:val="44546A" w:themeColor="text2"/>
                <w:szCs w:val="21"/>
                <w14:textFill>
                  <w14:solidFill>
                    <w14:schemeClr w14:val="tx2"/>
                  </w14:solidFill>
                </w14:textFill>
              </w:rPr>
            </w:pP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"https://1.3.4.2"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1.3.4.2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轿厢限速器电气安全装置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(1)限速器或者其他装置上设置的在轿厢上行、下行速度达到限速器动作速度之前动作的电气安全装置；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(2)对于安全钳释放后限速器不能自动复位的，用于验证限速器复位状态的电气安全装置；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(3)用于检查限速器绳断裂或者过分伸长的电气安全装置；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(4)轿厢上设置的在轿厢安全钳动作以前或者同时使驱动主机停止运转的电气安全装置。</w:t>
            </w:r>
          </w:p>
        </w:tc>
        <w:tc>
          <w:tcPr>
            <w:tcW w:w="720" w:type="dxa"/>
            <w:vMerge w:val="continue"/>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7"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tcPr>
          <w:p>
            <w:pPr>
              <w:rPr>
                <w:rFonts w:asciiTheme="minorEastAsia" w:hAnsiTheme="minorEastAsia"/>
                <w:color w:val="44546A" w:themeColor="text2"/>
                <w:szCs w:val="21"/>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"https://1.3.4.3"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1.3.4.3</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轿厢限速器安全钳联动试验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采用瞬时式安全钳的，轿厢内装载额定载重量的载荷，以检修速度下行；采用渐进式安全钳的，轿厢内装载125%额定载重量的载荷，以额定速度下行，或者以较低速度(仅适用于额定速度大于4.0m/s的电梯)下行(注A1-22)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注A1-22:对于轿厢配有玻璃的电梯，监督检验时，在做好安全防护的条件下，允许不安装玻璃进行试验，但是应当在轿厢内增加与玻璃同等重量的载荷。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p>
        </w:tc>
        <w:tc>
          <w:tcPr>
            <w:tcW w:w="720" w:type="dxa"/>
            <w:vMerge w:val="continue"/>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A1.3.5</w:t>
            </w:r>
          </w:p>
        </w:tc>
        <w:tc>
          <w:tcPr>
            <w:tcW w:w="940" w:type="dxa"/>
            <w:vMerge w:val="restart"/>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r>
              <w:rPr>
                <w:rFonts w:ascii="宋体" w:hAnsi="宋体" w:eastAsia="宋体" w:cs="宋体"/>
                <w:spacing w:val="17"/>
                <w:sz w:val="22"/>
                <w:szCs w:val="22"/>
              </w:rPr>
              <w:t>对重限速器-安全钳试验</w:t>
            </w: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"https://1.3.5.1"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1.3.5.1</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对重限速器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检查限速器及其电气安全装置是否符合本附件A1.3.4.1条和A1.3.4.2条第(1)~(3)项的要求。</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"https://1.3.5.2"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1.3.5.2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对重限速器安全钳联动试验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(1)采用瞬时式安全钳的，轿厢空载，以检修速度上行；采用渐进式安全钳的，轿厢空载，以额定速度上行，或者以较低速度(仅适用于额定速度大于4.0m/s 的电梯)上行。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A1.3.6</w:t>
            </w:r>
          </w:p>
        </w:tc>
        <w:tc>
          <w:tcPr>
            <w:tcW w:w="940" w:type="dxa"/>
            <w:tcBorders>
              <w:right w:val="single" w:color="auto" w:sz="4" w:space="0"/>
            </w:tcBorders>
            <w:vAlign w:val="center"/>
          </w:tcPr>
          <w:p>
            <w:pPr>
              <w:jc w:val="center"/>
              <w:rPr>
                <w:rFonts w:asciiTheme="minorEastAsia" w:hAnsiTheme="minorEastAsia"/>
                <w:szCs w:val="21"/>
              </w:rPr>
            </w:pPr>
            <w:r>
              <w:rPr>
                <w:rFonts w:ascii="宋体" w:hAnsi="宋体" w:eastAsia="宋体" w:cs="宋体"/>
                <w:spacing w:val="10"/>
                <w:sz w:val="22"/>
                <w:szCs w:val="22"/>
              </w:rPr>
              <w:t>缓冲器试验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轿厢空载，以检修速度运行的工况使缓冲器被压缩，轿厢、对重停在其上再离开后，缓冲器未出现对电梯正常使用有不利影响的损坏(如明显倾斜、断裂、塑性变形、剥落、破损等)。</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A1.3.7</w:t>
            </w:r>
          </w:p>
        </w:tc>
        <w:tc>
          <w:tcPr>
            <w:tcW w:w="940" w:type="dxa"/>
            <w:vMerge w:val="restart"/>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r>
              <w:rPr>
                <w:rFonts w:ascii="宋体" w:hAnsi="宋体" w:eastAsia="宋体" w:cs="宋体"/>
                <w:spacing w:val="15"/>
                <w:sz w:val="22"/>
                <w:szCs w:val="22"/>
              </w:rPr>
              <w:t>轿厢上行超速保护装置试验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"https://1.3.7.1"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1.3.7.1</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试验方法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控制柜或者紧急和测试操作屏上标有轿厢上行超速保护装置动作试验方法。</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"https://1.3.7.2"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1.3.7.2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轿厢上行超速保护装置上的电气安全装置功能有效。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"https://1.3.7.3"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1.3.7.3</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监测功能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采用存在内部冗余的制动器作为轿厢上行超速保护装置减速部件的，检查当制动器机械部件动作(松开或者制动)失效或者制动力不足时，能够防止电梯正常运行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5"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szCs w:val="21"/>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A</w:t>
            </w:r>
            <w:r>
              <w:rPr>
                <w:rFonts w:hint="eastAsia" w:ascii="宋体" w:hAnsi="宋体" w:eastAsia="宋体" w:cs="宋体"/>
                <w:color w:val="auto"/>
                <w:spacing w:val="10"/>
                <w:sz w:val="24"/>
                <w:szCs w:val="24"/>
                <w:lang w:val="en-US" w:eastAsia="zh-CN"/>
              </w:rPr>
              <w:fldChar w:fldCharType="begin"/>
            </w:r>
            <w:r>
              <w:rPr>
                <w:rFonts w:hint="eastAsia" w:ascii="宋体" w:hAnsi="宋体" w:eastAsia="宋体" w:cs="宋体"/>
                <w:color w:val="auto"/>
                <w:spacing w:val="10"/>
                <w:sz w:val="24"/>
                <w:szCs w:val="24"/>
                <w:lang w:val="en-US" w:eastAsia="zh-CN"/>
              </w:rPr>
              <w:instrText xml:space="preserve"> HYPERLINK "https://1.3.7.4" </w:instrText>
            </w:r>
            <w:r>
              <w:rPr>
                <w:rFonts w:hint="eastAsia" w:ascii="宋体" w:hAnsi="宋体" w:eastAsia="宋体" w:cs="宋体"/>
                <w:color w:val="auto"/>
                <w:spacing w:val="10"/>
                <w:sz w:val="24"/>
                <w:szCs w:val="24"/>
                <w:lang w:val="en-US" w:eastAsia="zh-CN"/>
              </w:rPr>
              <w:fldChar w:fldCharType="separate"/>
            </w:r>
            <w:r>
              <w:rPr>
                <w:rFonts w:hint="eastAsia" w:ascii="宋体" w:hAnsi="宋体" w:eastAsia="宋体" w:cs="宋体"/>
                <w:color w:val="auto"/>
                <w:spacing w:val="10"/>
                <w:sz w:val="24"/>
                <w:szCs w:val="24"/>
                <w:lang w:val="en-US" w:eastAsia="zh-CN"/>
              </w:rPr>
              <w:t>1.3.7.4</w:t>
            </w:r>
            <w:r>
              <w:rPr>
                <w:rFonts w:hint="eastAsia" w:ascii="宋体" w:hAnsi="宋体" w:eastAsia="宋体" w:cs="宋体"/>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按照A1.3.7.1条所述的试验方法进行动作试验，轿厢上行超速保护装置应动作可靠。</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A1.3.8</w:t>
            </w:r>
          </w:p>
        </w:tc>
        <w:tc>
          <w:tcPr>
            <w:tcW w:w="940" w:type="dxa"/>
            <w:vMerge w:val="restart"/>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r>
              <w:rPr>
                <w:rFonts w:ascii="宋体" w:hAnsi="宋体" w:eastAsia="宋体" w:cs="宋体"/>
                <w:spacing w:val="15"/>
                <w:sz w:val="22"/>
                <w:szCs w:val="22"/>
              </w:rPr>
              <w:t>轿厢意外移动保护装置试验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"https://1.3.8.1"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1.3.8.1</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试验方法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控制柜或者紧急和测试操作屏上标有轿厢意外移动保护装置动作试验方法。</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Theme="minorEastAsia" w:hAnsiTheme="minorEastAsia"/>
                <w:color w:val="44546A" w:themeColor="text2"/>
                <w:szCs w:val="21"/>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"https://1.3.8.2"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1.3.8.2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电气安全装置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轿厢意外移动保护装置上的电气安全装置功能有效。</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color w:val="44546A" w:themeColor="text2"/>
                <w:spacing w:val="8"/>
                <w:sz w:val="22"/>
                <w:szCs w:val="22"/>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"https://1.3.8.3"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1.3.8.3</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监测功能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采用存在内部冗余的制动器作为轿厢意外移动保护装置制停部件的，检查当制动器机械部件动作(松开或者制动)失效或者制动力不足时，能够关闭轿门和层门，并且能够防止电梯正常运行。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color w:val="44546A" w:themeColor="text2"/>
                <w:spacing w:val="8"/>
                <w:sz w:val="22"/>
                <w:szCs w:val="22"/>
                <w14:textFill>
                  <w14:solidFill>
                    <w14:schemeClr w14:val="tx2"/>
                  </w14:solidFill>
                </w14:textFill>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"https://1.3.8.4"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1.3.8.4</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按照A1.3.8.1条所述的试验方法进行动作试验，轿厢意外移动保护装置动作可靠。</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A1.3.11</w:t>
            </w:r>
          </w:p>
        </w:tc>
        <w:tc>
          <w:tcPr>
            <w:tcW w:w="940" w:type="dxa"/>
            <w:vMerge w:val="restart"/>
            <w:tcBorders>
              <w:right w:val="single" w:color="auto" w:sz="4" w:space="0"/>
            </w:tcBorders>
            <w:vAlign w:val="center"/>
          </w:tcPr>
          <w:p>
            <w:pPr>
              <w:jc w:val="center"/>
              <w:rPr>
                <w:rFonts w:ascii="宋体" w:hAnsi="宋体" w:eastAsia="宋体" w:cs="宋体"/>
                <w:spacing w:val="8"/>
                <w:sz w:val="22"/>
                <w:szCs w:val="22"/>
              </w:rPr>
            </w:pPr>
            <w:r>
              <w:rPr>
                <w:rFonts w:ascii="宋体" w:hAnsi="宋体" w:eastAsia="宋体" w:cs="宋体"/>
                <w:spacing w:val="10"/>
                <w:sz w:val="22"/>
                <w:szCs w:val="22"/>
              </w:rPr>
              <w:t>曳引能力试验</w:t>
            </w:r>
          </w:p>
        </w:tc>
        <w:tc>
          <w:tcPr>
            <w:tcW w:w="543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"https://1.3.11.1"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1.3.11.1</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空载工况曳引能力试验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(1)轿厢空载，当对重压在缓冲器上而驱动主机按电梯上行方向旋转时，悬挂装置相对曳引轮打滑，或者驱动主机停止运转。</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(2)轿厢空载，以额定速度上行至行程上部，切断电动机与制动器供电，轿厢应完全停止。</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tcBorders>
              <w:bottom w:val="single" w:color="auto" w:sz="4" w:space="0"/>
            </w:tcBorders>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bottom w:val="single" w:color="auto" w:sz="4" w:space="0"/>
              <w:right w:val="single" w:color="auto" w:sz="4" w:space="0"/>
            </w:tcBorders>
            <w:vAlign w:val="center"/>
          </w:tcPr>
          <w:p>
            <w:pPr>
              <w:jc w:val="center"/>
              <w:rPr>
                <w:rFonts w:ascii="宋体" w:hAnsi="宋体" w:eastAsia="宋体" w:cs="宋体"/>
                <w:spacing w:val="8"/>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"https://1.3.11.2"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1.3.11.2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有载工况曳引能力试验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轿厢内装载125%额定载重量的载荷，以额定速度下行至行程下部，切断电动机与制动器供电，观察轿厢(运载装置)是应全停止。</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restart"/>
            <w:tcBorders>
              <w:top w:val="single" w:color="auto" w:sz="4" w:space="0"/>
            </w:tcBorders>
            <w:vAlign w:val="center"/>
          </w:tcPr>
          <w:p>
            <w:pPr>
              <w:jc w:val="center"/>
              <w:rPr>
                <w:rFonts w:hint="default"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A1.3.12</w:t>
            </w:r>
          </w:p>
        </w:tc>
        <w:tc>
          <w:tcPr>
            <w:tcW w:w="940" w:type="dxa"/>
            <w:vMerge w:val="restart"/>
            <w:tcBorders>
              <w:top w:val="single" w:color="auto" w:sz="4" w:space="0"/>
              <w:right w:val="single" w:color="auto" w:sz="4" w:space="0"/>
            </w:tcBorders>
            <w:vAlign w:val="center"/>
          </w:tcPr>
          <w:p>
            <w:pPr>
              <w:jc w:val="center"/>
              <w:rPr>
                <w:rFonts w:hint="default" w:ascii="宋体" w:hAnsi="宋体" w:eastAsia="宋体" w:cs="宋体"/>
                <w:spacing w:val="8"/>
                <w:sz w:val="22"/>
                <w:szCs w:val="22"/>
                <w:lang w:val="en-US" w:eastAsia="zh-CN"/>
              </w:rPr>
            </w:pPr>
            <w:r>
              <w:rPr>
                <w:rFonts w:hint="eastAsia" w:ascii="宋体" w:hAnsi="宋体" w:eastAsia="宋体" w:cs="宋体"/>
                <w:spacing w:val="8"/>
                <w:sz w:val="22"/>
                <w:szCs w:val="22"/>
                <w:lang w:val="en-US" w:eastAsia="zh-CN"/>
              </w:rPr>
              <w:t>制动性能试验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"https://1.3.12.1"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1.3.12.1</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分组制动试验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轿厢内装载额定载重量的载荷，以额定速度下行，在驱动主机机电式制动器的一组制动部件失效的情况下，其余制动部件能够使轿厢减速、停止并且保持停止状态。</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"https://1.3.12.2"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1.3.12.2</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 xml:space="preserve"> 125%额定载重量制动试验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轿厢内装载125%额定载重量的载荷，以额定速度下行至行程下部，切断电动机与制动器供电，制动器能够使驱动主机停止运转，并且轿厢及其附联部件和导轨等无明显变形和损坏。</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Merge w:val="continue"/>
            <w:vAlign w:val="center"/>
          </w:tcPr>
          <w:p>
            <w:pPr>
              <w:jc w:val="center"/>
              <w:rPr>
                <w:rFonts w:ascii="宋体" w:hAnsi="宋体" w:eastAsia="宋体" w:cs="宋体"/>
                <w:color w:val="000000" w:themeColor="text1"/>
                <w:spacing w:val="4"/>
                <w:sz w:val="21"/>
                <w:szCs w:val="21"/>
                <w14:textFill>
                  <w14:solidFill>
                    <w14:schemeClr w14:val="tx1"/>
                  </w14:solidFill>
                </w14:textFill>
              </w:rPr>
            </w:pPr>
          </w:p>
        </w:tc>
        <w:tc>
          <w:tcPr>
            <w:tcW w:w="940" w:type="dxa"/>
            <w:vMerge w:val="continue"/>
            <w:tcBorders>
              <w:right w:val="single" w:color="auto" w:sz="4" w:space="0"/>
            </w:tcBorders>
            <w:vAlign w:val="center"/>
          </w:tcPr>
          <w:p>
            <w:pPr>
              <w:jc w:val="center"/>
              <w:rPr>
                <w:rFonts w:ascii="宋体" w:hAnsi="宋体" w:eastAsia="宋体" w:cs="宋体"/>
                <w:spacing w:val="9"/>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b/>
                <w:bCs/>
                <w:color w:val="auto"/>
                <w:spacing w:val="10"/>
                <w:sz w:val="24"/>
                <w:szCs w:val="24"/>
                <w:lang w:val="en-US" w:eastAsia="zh-CN"/>
              </w:rPr>
              <w:t>A</w:t>
            </w:r>
            <w:r>
              <w:rPr>
                <w:rFonts w:hint="eastAsia" w:ascii="宋体" w:hAnsi="宋体" w:eastAsia="宋体" w:cs="宋体"/>
                <w:b/>
                <w:bCs/>
                <w:color w:val="auto"/>
                <w:spacing w:val="10"/>
                <w:sz w:val="24"/>
                <w:szCs w:val="24"/>
                <w:lang w:val="en-US" w:eastAsia="zh-CN"/>
              </w:rPr>
              <w:fldChar w:fldCharType="begin"/>
            </w:r>
            <w:r>
              <w:rPr>
                <w:rFonts w:hint="eastAsia" w:ascii="宋体" w:hAnsi="宋体" w:eastAsia="宋体" w:cs="宋体"/>
                <w:b/>
                <w:bCs/>
                <w:color w:val="auto"/>
                <w:spacing w:val="10"/>
                <w:sz w:val="24"/>
                <w:szCs w:val="24"/>
                <w:lang w:val="en-US" w:eastAsia="zh-CN"/>
              </w:rPr>
              <w:instrText xml:space="preserve"> HYPERLINK "https://1.3.12.3" </w:instrText>
            </w:r>
            <w:r>
              <w:rPr>
                <w:rFonts w:hint="eastAsia" w:ascii="宋体" w:hAnsi="宋体" w:eastAsia="宋体" w:cs="宋体"/>
                <w:b/>
                <w:bCs/>
                <w:color w:val="auto"/>
                <w:spacing w:val="10"/>
                <w:sz w:val="24"/>
                <w:szCs w:val="24"/>
                <w:lang w:val="en-US" w:eastAsia="zh-CN"/>
              </w:rPr>
              <w:fldChar w:fldCharType="separate"/>
            </w:r>
            <w:r>
              <w:rPr>
                <w:rFonts w:hint="eastAsia" w:ascii="宋体" w:hAnsi="宋体" w:eastAsia="宋体" w:cs="宋体"/>
                <w:b/>
                <w:bCs/>
                <w:color w:val="auto"/>
                <w:spacing w:val="10"/>
                <w:sz w:val="24"/>
                <w:szCs w:val="24"/>
                <w:lang w:val="en-US" w:eastAsia="zh-CN"/>
              </w:rPr>
              <w:t>1.3.12.3</w:t>
            </w:r>
            <w:r>
              <w:rPr>
                <w:rFonts w:hint="eastAsia" w:ascii="宋体" w:hAnsi="宋体" w:eastAsia="宋体" w:cs="宋体"/>
                <w:b/>
                <w:bCs/>
                <w:color w:val="auto"/>
                <w:spacing w:val="10"/>
                <w:sz w:val="24"/>
                <w:szCs w:val="24"/>
                <w:lang w:val="en-US" w:eastAsia="zh-CN"/>
              </w:rPr>
              <w:fldChar w:fldCharType="end"/>
            </w:r>
            <w:r>
              <w:rPr>
                <w:rFonts w:hint="eastAsia" w:ascii="宋体" w:hAnsi="宋体" w:eastAsia="宋体" w:cs="宋体"/>
                <w:color w:val="auto"/>
                <w:spacing w:val="10"/>
                <w:sz w:val="24"/>
                <w:szCs w:val="24"/>
                <w:lang w:val="en-US" w:eastAsia="zh-CN"/>
              </w:rPr>
              <w:t>其他制动装置(功能)试验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对于曳引驱动乘客与载货电梯电梯配置的其他制动装置(功能),在驱动主机机电式制动器失效的情况下进行其制动性能试验，能够使停靠在任何层站的发生意外移动的轿厢在1.2m的移动距离范围内运行速度不大于0.3m/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jc w:val="center"/>
        </w:trPr>
        <w:tc>
          <w:tcPr>
            <w:tcW w:w="1232" w:type="dxa"/>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A1.3.13</w:t>
            </w:r>
          </w:p>
        </w:tc>
        <w:tc>
          <w:tcPr>
            <w:tcW w:w="940" w:type="dxa"/>
            <w:tcBorders>
              <w:right w:val="single" w:color="auto" w:sz="4" w:space="0"/>
            </w:tcBorders>
            <w:vAlign w:val="center"/>
          </w:tcPr>
          <w:p>
            <w:pPr>
              <w:jc w:val="center"/>
              <w:rPr>
                <w:rFonts w:ascii="宋体" w:hAnsi="宋体" w:eastAsia="宋体" w:cs="宋体"/>
                <w:spacing w:val="9"/>
                <w:sz w:val="22"/>
                <w:szCs w:val="22"/>
              </w:rPr>
            </w:pPr>
            <w:r>
              <w:rPr>
                <w:rFonts w:ascii="宋体" w:hAnsi="宋体" w:eastAsia="宋体" w:cs="宋体"/>
                <w:spacing w:val="8"/>
                <w:sz w:val="22"/>
                <w:szCs w:val="22"/>
              </w:rPr>
              <w:t>运行试验</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轿厢分别空载、满载，以额定速度上、下运行，呼梯、楼层显示等信号系统功能有效、指示正确、动作无误，轿厢是否平层良好，无异常现象发生。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定期检验时，在轿厢空载工况下进行试验</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 w:hRule="atLeast"/>
          <w:jc w:val="center"/>
        </w:trPr>
        <w:tc>
          <w:tcPr>
            <w:tcW w:w="1232" w:type="dxa"/>
            <w:vMerge w:val="restart"/>
            <w:vAlign w:val="center"/>
          </w:tcPr>
          <w:p>
            <w:pPr>
              <w:jc w:val="center"/>
              <w:rPr>
                <w:rFonts w:ascii="宋体" w:hAnsi="宋体" w:eastAsia="宋体" w:cs="宋体"/>
                <w:color w:val="000000" w:themeColor="text1"/>
                <w:spacing w:val="4"/>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A1.3.14</w:t>
            </w:r>
          </w:p>
        </w:tc>
        <w:tc>
          <w:tcPr>
            <w:tcW w:w="940" w:type="dxa"/>
            <w:vMerge w:val="restart"/>
            <w:tcBorders>
              <w:right w:val="single" w:color="auto" w:sz="4" w:space="0"/>
            </w:tcBorders>
            <w:vAlign w:val="center"/>
          </w:tcPr>
          <w:p>
            <w:pPr>
              <w:jc w:val="center"/>
              <w:rPr>
                <w:rFonts w:ascii="宋体" w:hAnsi="宋体" w:eastAsia="宋体" w:cs="宋体"/>
                <w:spacing w:val="9"/>
                <w:sz w:val="22"/>
                <w:szCs w:val="22"/>
              </w:rPr>
            </w:pPr>
            <w:r>
              <w:rPr>
                <w:rFonts w:ascii="宋体" w:hAnsi="宋体" w:eastAsia="宋体" w:cs="宋体"/>
                <w:spacing w:val="7"/>
                <w:sz w:val="22"/>
                <w:szCs w:val="22"/>
              </w:rPr>
              <w:t>噪声测试</w:t>
            </w: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(1)机房噪声：电梯以额定速度运行，声音测量传感器置于距地面高1.5m、驱动主机1.0m处测试，测试点不少于3点，取平均值。</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232" w:type="dxa"/>
            <w:vMerge w:val="continue"/>
          </w:tcPr>
          <w:p>
            <w:pPr>
              <w:rPr>
                <w:rFonts w:ascii="Times New Roman" w:hAnsi="Times New Roman" w:eastAsia="Times New Roman" w:cs="Times New Roman"/>
                <w:b/>
                <w:bCs/>
                <w:spacing w:val="7"/>
                <w:sz w:val="22"/>
                <w:szCs w:val="22"/>
              </w:rPr>
            </w:pPr>
          </w:p>
        </w:tc>
        <w:tc>
          <w:tcPr>
            <w:tcW w:w="940" w:type="dxa"/>
            <w:vMerge w:val="continue"/>
            <w:tcBorders>
              <w:right w:val="single" w:color="auto" w:sz="4" w:space="0"/>
            </w:tcBorders>
          </w:tcPr>
          <w:p>
            <w:pPr>
              <w:rPr>
                <w:rFonts w:ascii="宋体" w:hAnsi="宋体" w:eastAsia="宋体" w:cs="宋体"/>
                <w:spacing w:val="7"/>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(2)轿厢内噪声：电梯以额定速度全程上、下运行，声音测量传感器置于轿厢内中央、距地面高1.5m处测试，取最大值。</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jc w:val="center"/>
        </w:trPr>
        <w:tc>
          <w:tcPr>
            <w:tcW w:w="1232" w:type="dxa"/>
            <w:vMerge w:val="continue"/>
          </w:tcPr>
          <w:p>
            <w:pPr>
              <w:rPr>
                <w:rFonts w:ascii="Times New Roman" w:hAnsi="Times New Roman" w:eastAsia="Times New Roman" w:cs="Times New Roman"/>
                <w:b/>
                <w:bCs/>
                <w:spacing w:val="7"/>
                <w:sz w:val="22"/>
                <w:szCs w:val="22"/>
              </w:rPr>
            </w:pPr>
          </w:p>
        </w:tc>
        <w:tc>
          <w:tcPr>
            <w:tcW w:w="940" w:type="dxa"/>
            <w:vMerge w:val="continue"/>
            <w:tcBorders>
              <w:right w:val="single" w:color="auto" w:sz="4" w:space="0"/>
            </w:tcBorders>
          </w:tcPr>
          <w:p>
            <w:pPr>
              <w:rPr>
                <w:rFonts w:ascii="宋体" w:hAnsi="宋体" w:eastAsia="宋体" w:cs="宋体"/>
                <w:spacing w:val="7"/>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(3)开关门噪声：声音测量传感器置于层(轿)门宽度的中央、距门0.24m、地面高1.5m处，测试开、关门过程中的噪声，取最大值。</w:t>
            </w:r>
          </w:p>
        </w:tc>
        <w:tc>
          <w:tcPr>
            <w:tcW w:w="720" w:type="dxa"/>
            <w:tcBorders>
              <w:top w:val="single" w:color="auto" w:sz="4" w:space="0"/>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2" w:hRule="atLeast"/>
          <w:jc w:val="center"/>
        </w:trPr>
        <w:tc>
          <w:tcPr>
            <w:tcW w:w="1232" w:type="dxa"/>
            <w:vMerge w:val="continue"/>
            <w:tcBorders>
              <w:bottom w:val="single" w:color="auto" w:sz="4" w:space="0"/>
            </w:tcBorders>
          </w:tcPr>
          <w:p>
            <w:pPr>
              <w:rPr>
                <w:rFonts w:ascii="Times New Roman" w:hAnsi="Times New Roman" w:eastAsia="Times New Roman" w:cs="Times New Roman"/>
                <w:b/>
                <w:bCs/>
                <w:spacing w:val="7"/>
                <w:sz w:val="22"/>
                <w:szCs w:val="22"/>
              </w:rPr>
            </w:pPr>
          </w:p>
        </w:tc>
        <w:tc>
          <w:tcPr>
            <w:tcW w:w="940" w:type="dxa"/>
            <w:vMerge w:val="continue"/>
            <w:tcBorders>
              <w:bottom w:val="single" w:color="auto" w:sz="4" w:space="0"/>
              <w:right w:val="single" w:color="auto" w:sz="4" w:space="0"/>
            </w:tcBorders>
          </w:tcPr>
          <w:p>
            <w:pPr>
              <w:rPr>
                <w:rFonts w:ascii="宋体" w:hAnsi="宋体" w:eastAsia="宋体" w:cs="宋体"/>
                <w:spacing w:val="7"/>
                <w:sz w:val="22"/>
                <w:szCs w:val="22"/>
              </w:rPr>
            </w:pPr>
          </w:p>
        </w:tc>
        <w:tc>
          <w:tcPr>
            <w:tcW w:w="543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(4)无机房电梯层门处噪声：声音测量传感器置于驱动主机安装位置最近层站开门宽度的中部对着层门，在水平方向距门扇0. 5m,垂直方向距层站地面1.5m处测试，取出发端站门关闭后至到达端站门开启前，电梯全程上、下运行过程中以额定速度运行时的最大值。</w:t>
            </w:r>
          </w:p>
        </w:tc>
        <w:tc>
          <w:tcPr>
            <w:tcW w:w="720" w:type="dxa"/>
            <w:tcBorders>
              <w:top w:val="single" w:color="auto" w:sz="4" w:space="0"/>
              <w:bottom w:val="single" w:color="auto" w:sz="4" w:space="0"/>
            </w:tcBorders>
          </w:tcPr>
          <w:p>
            <w:pPr>
              <w:rPr>
                <w:rFonts w:asciiTheme="minorEastAsia" w:hAnsiTheme="minorEastAsia"/>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hint="default" w:eastAsiaTheme="minorEastAsia"/>
          <w:lang w:val="en-US" w:eastAsia="zh-CN"/>
        </w:rPr>
      </w:pPr>
      <w:r>
        <w:rPr>
          <w:rFonts w:hint="eastAsia"/>
          <w:lang w:val="en-US" w:eastAsia="zh-CN"/>
        </w:rPr>
        <w:t>附表A</w:t>
      </w: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802"/>
        <w:gridCol w:w="1179"/>
        <w:gridCol w:w="902"/>
        <w:gridCol w:w="945"/>
        <w:gridCol w:w="1181"/>
        <w:gridCol w:w="1107"/>
        <w:gridCol w:w="2572"/>
        <w:gridCol w:w="1692"/>
        <w:gridCol w:w="670"/>
        <w:gridCol w:w="756"/>
        <w:gridCol w:w="847"/>
        <w:gridCol w:w="13"/>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电梯层门和轿门间隙、门锁啮合长度检验记录  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8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项目编号</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A1.2.7.1</w:t>
            </w:r>
          </w:p>
        </w:tc>
        <w:tc>
          <w:tcPr>
            <w:tcW w:w="4135"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A1.2.7.2（1）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A1.2.7.2（2）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A1.2.7.5</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A1.2.7.8</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A1.2.7.10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检验内容</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轿厢地坎与层门地坎的水平距离</w:t>
            </w:r>
          </w:p>
        </w:tc>
        <w:tc>
          <w:tcPr>
            <w:tcW w:w="90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门扇</w:t>
            </w:r>
            <w:r>
              <w:rPr>
                <w:rFonts w:hint="eastAsia" w:ascii="宋体" w:hAnsi="宋体" w:cs="宋体"/>
                <w:i w:val="0"/>
                <w:iCs w:val="0"/>
                <w:color w:val="000000"/>
                <w:kern w:val="0"/>
                <w:sz w:val="22"/>
                <w:szCs w:val="22"/>
                <w:u w:val="none"/>
                <w:lang w:val="en-US" w:eastAsia="zh-CN" w:bidi="ar"/>
              </w:rPr>
              <w:t>与门扇</w:t>
            </w:r>
            <w:r>
              <w:rPr>
                <w:rFonts w:hint="eastAsia" w:ascii="宋体" w:hAnsi="宋体" w:eastAsia="宋体" w:cs="宋体"/>
                <w:i w:val="0"/>
                <w:iCs w:val="0"/>
                <w:color w:val="000000"/>
                <w:kern w:val="0"/>
                <w:sz w:val="22"/>
                <w:szCs w:val="22"/>
                <w:u w:val="none"/>
                <w:lang w:val="en-US" w:eastAsia="zh-CN" w:bidi="ar"/>
              </w:rPr>
              <w:t>间隙</w:t>
            </w:r>
          </w:p>
        </w:tc>
        <w:tc>
          <w:tcPr>
            <w:tcW w:w="9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门扇与立柱间隙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门扇与门楣间隙</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门扇与地坎间隙</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层门扇间施力间隙</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层门底部保持装置长度</w:t>
            </w:r>
          </w:p>
        </w:tc>
        <w:tc>
          <w:tcPr>
            <w:tcW w:w="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层门锁啮合长度</w:t>
            </w:r>
          </w:p>
        </w:tc>
        <w:tc>
          <w:tcPr>
            <w:tcW w:w="75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轿门门锁啮合长度</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轿门门刀与层门地坎间距</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层门门锁滚轮与轿厢地坎的间距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判断标准</w:t>
            </w:r>
          </w:p>
        </w:tc>
        <w:tc>
          <w:tcPr>
            <w:tcW w:w="117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281"/>
              </w:tabs>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35mm</w:t>
            </w:r>
          </w:p>
        </w:tc>
        <w:tc>
          <w:tcPr>
            <w:tcW w:w="4135" w:type="dxa"/>
            <w:gridSpan w:val="4"/>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乘客电梯≤</w:t>
            </w:r>
            <w:r>
              <w:rPr>
                <w:rFonts w:hint="eastAsia" w:ascii="宋体" w:hAnsi="宋体" w:eastAsia="宋体" w:cs="宋体"/>
                <w:i w:val="0"/>
                <w:iCs w:val="0"/>
                <w:color w:val="000000"/>
                <w:sz w:val="22"/>
                <w:szCs w:val="22"/>
                <w:u w:val="none"/>
                <w:lang w:val="en-US" w:eastAsia="zh-CN"/>
              </w:rPr>
              <w:t>6mm；载货电梯≤10mm</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中分门总和：≤45mm</w:t>
            </w:r>
          </w:p>
        </w:tc>
        <w:tc>
          <w:tcPr>
            <w:tcW w:w="1692"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根据最小啮合深度标记判断</w:t>
            </w:r>
          </w:p>
        </w:tc>
        <w:tc>
          <w:tcPr>
            <w:tcW w:w="67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7mm</w:t>
            </w:r>
          </w:p>
        </w:tc>
        <w:tc>
          <w:tcPr>
            <w:tcW w:w="756"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7mm</w:t>
            </w:r>
          </w:p>
        </w:tc>
        <w:tc>
          <w:tcPr>
            <w:tcW w:w="16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5" w:type="dxa"/>
            <w:gridSpan w:val="4"/>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旁开门：≤30mm</w:t>
            </w:r>
          </w:p>
        </w:tc>
        <w:tc>
          <w:tcPr>
            <w:tcW w:w="169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据</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restart"/>
            <w:tcBorders>
              <w:top w:val="single" w:color="000000" w:sz="4" w:space="0"/>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11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8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7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9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6" w:type="dxa"/>
            <w:vMerge w:val="continue"/>
            <w:tcBorders>
              <w:left w:val="single" w:color="auto"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6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081"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注：</w:t>
            </w:r>
            <w:r>
              <w:rPr>
                <w:rFonts w:hint="eastAsia" w:ascii="宋体" w:hAnsi="宋体" w:eastAsia="宋体" w:cs="宋体"/>
                <w:i w:val="0"/>
                <w:iCs w:val="0"/>
                <w:color w:val="000000"/>
                <w:sz w:val="22"/>
                <w:szCs w:val="22"/>
                <w:u w:val="none"/>
                <w:lang w:val="en-US" w:eastAsia="zh-CN"/>
              </w:rPr>
              <w:t>测量基站，端站及20%其它层站</w:t>
            </w:r>
            <w:r>
              <w:rPr>
                <w:rFonts w:hint="eastAsia" w:ascii="宋体" w:hAnsi="宋体" w:eastAsia="宋体" w:cs="宋体"/>
                <w:i w:val="0"/>
                <w:iCs w:val="0"/>
                <w:color w:val="000000"/>
                <w:sz w:val="22"/>
                <w:szCs w:val="22"/>
                <w:u w:val="none"/>
                <w:lang w:eastAsia="zh-CN"/>
              </w:rPr>
              <w:t>。</w:t>
            </w:r>
          </w:p>
        </w:tc>
      </w:tr>
    </w:tbl>
    <w:p>
      <w:pPr>
        <w:widowControl/>
        <w:jc w:val="left"/>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Theme="minorEastAsia" w:hAnsiTheme="minorEastAsia"/>
          <w:szCs w:val="21"/>
          <w:lang w:val="en-US" w:eastAsia="zh-CN"/>
        </w:rPr>
      </w:pPr>
    </w:p>
    <w:p>
      <w:pPr>
        <w:rPr>
          <w:rFonts w:hint="eastAsia" w:asciiTheme="minorEastAsia" w:hAnsiTheme="minorEastAsia"/>
          <w:szCs w:val="21"/>
          <w:lang w:val="en-US" w:eastAsia="zh-CN"/>
        </w:rPr>
      </w:pPr>
    </w:p>
    <w:p>
      <w:pPr>
        <w:rPr>
          <w:rFonts w:hint="eastAsia" w:asciiTheme="minorEastAsia" w:hAnsiTheme="minorEastAsia"/>
          <w:szCs w:val="21"/>
          <w:lang w:val="en-US" w:eastAsia="zh-CN"/>
        </w:rPr>
      </w:pPr>
      <w:r>
        <w:rPr>
          <w:rFonts w:hint="eastAsia" w:asciiTheme="minorEastAsia" w:hAnsiTheme="minorEastAsia"/>
          <w:szCs w:val="21"/>
          <w:lang w:val="en-US" w:eastAsia="zh-CN"/>
        </w:rPr>
        <w:t>附表B</w:t>
      </w:r>
    </w:p>
    <w:p>
      <w:pPr>
        <w:rPr>
          <w:rFonts w:hint="eastAsia" w:asciiTheme="minorEastAsia" w:hAnsiTheme="minorEastAsia"/>
          <w:szCs w:val="21"/>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983"/>
        <w:gridCol w:w="1036"/>
        <w:gridCol w:w="1036"/>
        <w:gridCol w:w="1037"/>
        <w:gridCol w:w="103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3114" w:type="dxa"/>
            <w:gridSpan w:val="2"/>
          </w:tcPr>
          <w:p>
            <w:pPr>
              <w:jc w:val="center"/>
              <w:rPr>
                <w:rFonts w:hint="eastAsia"/>
              </w:rPr>
            </w:pPr>
            <w:r>
              <w:rPr>
                <w:rFonts w:hint="eastAsia"/>
              </w:rPr>
              <w:t>P</w:t>
            </w:r>
            <w:r>
              <w:t>(</w:t>
            </w:r>
            <w:r>
              <w:rPr>
                <w:rFonts w:hint="eastAsia"/>
              </w:rPr>
              <w:t>载重量</w:t>
            </w:r>
            <w:r>
              <w:t>)</w:t>
            </w:r>
            <w:r>
              <w:rPr>
                <w:rFonts w:hint="eastAsia"/>
              </w:rPr>
              <w:t>与P</w:t>
            </w:r>
            <w:r>
              <w:t>e</w:t>
            </w:r>
            <w:r>
              <w:rPr>
                <w:rFonts w:hint="eastAsia"/>
              </w:rPr>
              <w:t>（额定载重量）的百分比（%）</w:t>
            </w:r>
          </w:p>
        </w:tc>
        <w:tc>
          <w:tcPr>
            <w:tcW w:w="1036" w:type="dxa"/>
          </w:tcPr>
          <w:p>
            <w:pPr>
              <w:jc w:val="center"/>
              <w:rPr>
                <w:rFonts w:hint="eastAsia"/>
              </w:rPr>
            </w:pPr>
            <w:r>
              <w:rPr>
                <w:rFonts w:hint="eastAsia"/>
              </w:rPr>
              <w:t>30</w:t>
            </w:r>
          </w:p>
        </w:tc>
        <w:tc>
          <w:tcPr>
            <w:tcW w:w="1036" w:type="dxa"/>
          </w:tcPr>
          <w:p>
            <w:pPr>
              <w:jc w:val="center"/>
              <w:rPr>
                <w:rFonts w:hint="eastAsia"/>
              </w:rPr>
            </w:pPr>
            <w:r>
              <w:rPr>
                <w:rFonts w:hint="eastAsia"/>
              </w:rPr>
              <w:t>40</w:t>
            </w:r>
          </w:p>
        </w:tc>
        <w:tc>
          <w:tcPr>
            <w:tcW w:w="1037" w:type="dxa"/>
          </w:tcPr>
          <w:p>
            <w:pPr>
              <w:jc w:val="center"/>
              <w:rPr>
                <w:rFonts w:hint="eastAsia"/>
              </w:rPr>
            </w:pPr>
            <w:r>
              <w:rPr>
                <w:rFonts w:hint="eastAsia"/>
              </w:rPr>
              <w:t>45</w:t>
            </w:r>
          </w:p>
        </w:tc>
        <w:tc>
          <w:tcPr>
            <w:tcW w:w="1036" w:type="dxa"/>
          </w:tcPr>
          <w:p>
            <w:pPr>
              <w:jc w:val="center"/>
              <w:rPr>
                <w:rFonts w:hint="eastAsia"/>
              </w:rPr>
            </w:pPr>
            <w:r>
              <w:rPr>
                <w:rFonts w:hint="eastAsia"/>
              </w:rPr>
              <w:t>50</w:t>
            </w:r>
          </w:p>
        </w:tc>
        <w:tc>
          <w:tcPr>
            <w:tcW w:w="1037" w:type="dxa"/>
          </w:tcPr>
          <w:p>
            <w:pPr>
              <w:jc w:val="center"/>
              <w:rPr>
                <w:rFonts w:hint="eastAsia"/>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3114" w:type="dxa"/>
            <w:gridSpan w:val="2"/>
          </w:tcPr>
          <w:p>
            <w:pPr>
              <w:jc w:val="center"/>
              <w:rPr>
                <w:rFonts w:hint="eastAsia"/>
              </w:rPr>
            </w:pPr>
            <w:r>
              <w:rPr>
                <w:rFonts w:hint="eastAsia"/>
              </w:rPr>
              <w:t>P</w:t>
            </w:r>
            <w:r>
              <w:t>(</w:t>
            </w:r>
            <w:r>
              <w:rPr>
                <w:rFonts w:hint="eastAsia"/>
              </w:rPr>
              <w:t>kg</w:t>
            </w:r>
            <w:r>
              <w:t>)</w:t>
            </w: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3114" w:type="dxa"/>
            <w:gridSpan w:val="2"/>
          </w:tcPr>
          <w:p>
            <w:pPr>
              <w:jc w:val="center"/>
              <w:rPr>
                <w:rFonts w:hint="eastAsia"/>
              </w:rPr>
            </w:pP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131" w:type="dxa"/>
            <w:vMerge w:val="restart"/>
          </w:tcPr>
          <w:p>
            <w:pPr>
              <w:jc w:val="center"/>
              <w:rPr>
                <w:rFonts w:hint="eastAsia"/>
              </w:rPr>
            </w:pPr>
            <w:r>
              <w:rPr>
                <w:rFonts w:hint="eastAsia"/>
              </w:rPr>
              <w:t>电压V</w:t>
            </w:r>
            <w:r>
              <w:t>(V)</w:t>
            </w:r>
          </w:p>
        </w:tc>
        <w:tc>
          <w:tcPr>
            <w:tcW w:w="1983" w:type="dxa"/>
          </w:tcPr>
          <w:p>
            <w:pPr>
              <w:jc w:val="center"/>
              <w:rPr>
                <w:rFonts w:hint="eastAsia"/>
              </w:rPr>
            </w:pPr>
            <w:r>
              <w:rPr>
                <w:rFonts w:hint="eastAsia"/>
              </w:rPr>
              <w:t>上行</w:t>
            </w: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131" w:type="dxa"/>
            <w:vMerge w:val="continue"/>
          </w:tcPr>
          <w:p>
            <w:pPr>
              <w:jc w:val="center"/>
              <w:rPr>
                <w:rFonts w:hint="eastAsia"/>
              </w:rPr>
            </w:pPr>
          </w:p>
        </w:tc>
        <w:tc>
          <w:tcPr>
            <w:tcW w:w="1983" w:type="dxa"/>
          </w:tcPr>
          <w:p>
            <w:pPr>
              <w:jc w:val="center"/>
              <w:rPr>
                <w:rFonts w:hint="eastAsia"/>
              </w:rPr>
            </w:pPr>
            <w:r>
              <w:rPr>
                <w:rFonts w:hint="eastAsia"/>
              </w:rPr>
              <w:t>下行</w:t>
            </w: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131" w:type="dxa"/>
            <w:vMerge w:val="restart"/>
          </w:tcPr>
          <w:p>
            <w:pPr>
              <w:jc w:val="center"/>
              <w:rPr>
                <w:rFonts w:hint="eastAsia"/>
              </w:rPr>
            </w:pPr>
            <w:r>
              <w:rPr>
                <w:rFonts w:hint="eastAsia"/>
              </w:rPr>
              <w:t>电流I</w:t>
            </w:r>
            <w:r>
              <w:t>(A)</w:t>
            </w:r>
          </w:p>
        </w:tc>
        <w:tc>
          <w:tcPr>
            <w:tcW w:w="1983" w:type="dxa"/>
          </w:tcPr>
          <w:p>
            <w:pPr>
              <w:jc w:val="center"/>
              <w:rPr>
                <w:rFonts w:hint="eastAsia"/>
              </w:rPr>
            </w:pPr>
            <w:r>
              <w:rPr>
                <w:rFonts w:hint="eastAsia"/>
              </w:rPr>
              <w:t>上行</w:t>
            </w: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131" w:type="dxa"/>
            <w:vMerge w:val="continue"/>
          </w:tcPr>
          <w:p>
            <w:pPr>
              <w:jc w:val="center"/>
              <w:rPr>
                <w:rFonts w:hint="eastAsia"/>
              </w:rPr>
            </w:pPr>
          </w:p>
        </w:tc>
        <w:tc>
          <w:tcPr>
            <w:tcW w:w="1983" w:type="dxa"/>
          </w:tcPr>
          <w:p>
            <w:pPr>
              <w:jc w:val="center"/>
              <w:rPr>
                <w:rFonts w:hint="eastAsia"/>
              </w:rPr>
            </w:pPr>
            <w:r>
              <w:rPr>
                <w:rFonts w:hint="eastAsia"/>
              </w:rPr>
              <w:t>下行</w:t>
            </w:r>
          </w:p>
        </w:tc>
        <w:tc>
          <w:tcPr>
            <w:tcW w:w="1036"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c>
          <w:tcPr>
            <w:tcW w:w="1036" w:type="dxa"/>
          </w:tcPr>
          <w:p>
            <w:pPr>
              <w:jc w:val="center"/>
              <w:rPr>
                <w:rFonts w:hint="eastAsia"/>
              </w:rPr>
            </w:pPr>
          </w:p>
        </w:tc>
        <w:tc>
          <w:tcPr>
            <w:tcW w:w="1037"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5" w:hRule="atLeast"/>
          <w:jc w:val="center"/>
        </w:trPr>
        <w:tc>
          <w:tcPr>
            <w:tcW w:w="8296" w:type="dxa"/>
            <w:gridSpan w:val="7"/>
          </w:tcPr>
          <w:p>
            <w:pPr>
              <w:jc w:val="left"/>
              <w:rPr>
                <w:rFonts w:hint="default" w:eastAsiaTheme="minorEastAsia"/>
                <w:lang w:val="en-US" w:eastAsia="zh-CN"/>
              </w:rPr>
            </w:pPr>
            <w:r>
              <w:rPr>
                <w:rFonts w:hint="eastAsia"/>
                <w:lang w:val="en-US" w:eastAsia="zh-CN"/>
              </w:rPr>
              <w:t>平衡系数电流电压图：</w:t>
            </w:r>
          </w:p>
        </w:tc>
      </w:tr>
    </w:tbl>
    <w:p>
      <w:pPr>
        <w:jc w:val="left"/>
      </w:pPr>
      <w:r>
        <w:rPr>
          <w:rFonts w:hint="eastAsia"/>
        </w:rPr>
        <w:t xml:space="preserve">1、所测的速度v与额定速度的百分比为 </w:t>
      </w:r>
      <w:r>
        <w:t xml:space="preserve">        </w:t>
      </w:r>
      <w:r>
        <w:rPr>
          <w:rFonts w:hint="eastAsia"/>
        </w:rPr>
        <w:t>%</w:t>
      </w:r>
    </w:p>
    <w:p>
      <w:pPr>
        <w:jc w:val="left"/>
      </w:pPr>
      <w:r>
        <w:rPr>
          <w:rFonts w:hint="eastAsia"/>
        </w:rPr>
        <w:t>2、经测定，绘成曲线后，交叉点的对应横坐标即为此台电梯的平衡系数为</w:t>
      </w:r>
      <w:r>
        <w:t>K=      %</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default" w:eastAsiaTheme="minorEastAsia"/>
          <w:lang w:val="en-US" w:eastAsia="zh-CN"/>
        </w:rPr>
      </w:pPr>
      <w:r>
        <w:rPr>
          <w:rFonts w:hint="eastAsia"/>
          <w:lang w:val="en-US" w:eastAsia="zh-CN"/>
        </w:rPr>
        <w:t>附表C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67"/>
        <w:gridCol w:w="1750"/>
        <w:gridCol w:w="583"/>
        <w:gridCol w:w="1233"/>
        <w:gridCol w:w="650"/>
        <w:gridCol w:w="10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序号</w:t>
            </w:r>
          </w:p>
        </w:tc>
        <w:tc>
          <w:tcPr>
            <w:tcW w:w="1467"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项目编号</w:t>
            </w:r>
          </w:p>
        </w:tc>
        <w:tc>
          <w:tcPr>
            <w:tcW w:w="1750"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检验内容与要求</w:t>
            </w:r>
          </w:p>
        </w:tc>
        <w:tc>
          <w:tcPr>
            <w:tcW w:w="1816" w:type="dxa"/>
            <w:gridSpan w:val="2"/>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检测项目</w:t>
            </w:r>
          </w:p>
        </w:tc>
        <w:tc>
          <w:tcPr>
            <w:tcW w:w="650"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单位</w:t>
            </w:r>
          </w:p>
        </w:tc>
        <w:tc>
          <w:tcPr>
            <w:tcW w:w="1067"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测量结果</w:t>
            </w:r>
          </w:p>
        </w:tc>
        <w:tc>
          <w:tcPr>
            <w:tcW w:w="1089"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3"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1</w:t>
            </w:r>
          </w:p>
        </w:tc>
        <w:tc>
          <w:tcPr>
            <w:tcW w:w="1467"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A1.2.2.10制导行程</w:t>
            </w:r>
          </w:p>
        </w:tc>
        <w:tc>
          <w:tcPr>
            <w:tcW w:w="1750" w:type="dxa"/>
            <w:vMerge w:val="restart"/>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(1)曳引驱动电梯，当轿厢(运载装置)或者对重位于表A1-2规定的最高位置时，其导轨能够提供不小于0.10m的进一步制导行程。</w:t>
            </w:r>
          </w:p>
        </w:tc>
        <w:tc>
          <w:tcPr>
            <w:tcW w:w="1816" w:type="dxa"/>
            <w:gridSpan w:val="2"/>
            <w:vAlign w:val="top"/>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轿厢最高位置</w:t>
            </w:r>
          </w:p>
        </w:tc>
        <w:tc>
          <w:tcPr>
            <w:tcW w:w="650" w:type="dxa"/>
            <w:vMerge w:val="restart"/>
            <w:vAlign w:val="center"/>
          </w:tcPr>
          <w:p>
            <w:pPr>
              <w:jc w:val="cente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m</w:t>
            </w: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1816" w:type="dxa"/>
            <w:gridSpan w:val="2"/>
            <w:vAlign w:val="top"/>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轿厢最低位置</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1816" w:type="dxa"/>
            <w:gridSpan w:val="2"/>
            <w:vAlign w:val="top"/>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对重最高位置</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1816" w:type="dxa"/>
            <w:gridSpan w:val="2"/>
            <w:vAlign w:val="top"/>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对重最低位置</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3"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2</w:t>
            </w:r>
          </w:p>
        </w:tc>
        <w:tc>
          <w:tcPr>
            <w:tcW w:w="1467" w:type="dxa"/>
            <w:vMerge w:val="restart"/>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1.2.2.11.1</w:t>
            </w:r>
          </w:p>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通过轿顶进入井道顶部的电梯</w:t>
            </w:r>
          </w:p>
        </w:tc>
        <w:tc>
          <w:tcPr>
            <w:tcW w:w="1750"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轿顶进入井道顶部的电梯，当轿厢位于本附件表A1-2中规定的最高位置时的距离。</w:t>
            </w:r>
          </w:p>
        </w:tc>
        <w:tc>
          <w:tcPr>
            <w:tcW w:w="583"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(1)</w:t>
            </w:r>
          </w:p>
        </w:tc>
        <w:tc>
          <w:tcPr>
            <w:tcW w:w="1233" w:type="dxa"/>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ha≥1.00m</w:t>
            </w:r>
          </w:p>
        </w:tc>
        <w:tc>
          <w:tcPr>
            <w:tcW w:w="650" w:type="dxa"/>
            <w:vMerge w:val="restart"/>
            <w:vAlign w:val="center"/>
          </w:tcPr>
          <w:p>
            <w:pPr>
              <w:jc w:val="cente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m</w:t>
            </w: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583" w:type="dxa"/>
            <w:vMerge w:val="continue"/>
          </w:tcPr>
          <w:p>
            <w:pPr>
              <w:rPr>
                <w:rFonts w:hint="default" w:asciiTheme="minorEastAsia" w:hAnsiTheme="minorEastAsia"/>
                <w:szCs w:val="21"/>
                <w:vertAlign w:val="baseline"/>
                <w:lang w:val="en-US" w:eastAsia="zh-CN"/>
              </w:rPr>
            </w:pPr>
          </w:p>
        </w:tc>
        <w:tc>
          <w:tcPr>
            <w:tcW w:w="1233" w:type="dxa"/>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hb≥0.1m</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583" w:type="dxa"/>
            <w:vMerge w:val="continue"/>
          </w:tcPr>
          <w:p>
            <w:pPr>
              <w:rPr>
                <w:rFonts w:hint="default" w:asciiTheme="minorEastAsia" w:hAnsiTheme="minorEastAsia"/>
                <w:szCs w:val="21"/>
                <w:vertAlign w:val="baseline"/>
                <w:lang w:val="en-US" w:eastAsia="zh-CN"/>
              </w:rPr>
            </w:pPr>
          </w:p>
        </w:tc>
        <w:tc>
          <w:tcPr>
            <w:tcW w:w="1233" w:type="dxa"/>
          </w:tcPr>
          <w:p>
            <w:pP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hc≥0.3m</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tcPr>
          <w:p>
            <w:pPr>
              <w:rPr>
                <w:rFonts w:hint="eastAsia" w:asciiTheme="minorEastAsia" w:hAnsiTheme="minorEastAsia"/>
                <w:szCs w:val="21"/>
                <w:vertAlign w:val="baseline"/>
                <w:lang w:val="en-US" w:eastAsia="zh-CN"/>
              </w:rPr>
            </w:pPr>
          </w:p>
        </w:tc>
        <w:tc>
          <w:tcPr>
            <w:tcW w:w="583"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(2)</w:t>
            </w:r>
          </w:p>
        </w:tc>
        <w:tc>
          <w:tcPr>
            <w:tcW w:w="1233" w:type="dxa"/>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≥0.50m×0.60m×0.80m</w:t>
            </w:r>
          </w:p>
        </w:tc>
        <w:tc>
          <w:tcPr>
            <w:tcW w:w="650" w:type="dxa"/>
            <w:vAlign w:val="center"/>
          </w:tcPr>
          <w:p>
            <w:pPr>
              <w:jc w:val="cente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m³</w:t>
            </w: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83"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3</w:t>
            </w:r>
          </w:p>
        </w:tc>
        <w:tc>
          <w:tcPr>
            <w:tcW w:w="1467" w:type="dxa"/>
            <w:vMerge w:val="restart"/>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A1.2.2.12.1</w:t>
            </w:r>
          </w:p>
        </w:tc>
        <w:tc>
          <w:tcPr>
            <w:tcW w:w="1750" w:type="dxa"/>
            <w:vAlign w:val="top"/>
          </w:tcPr>
          <w:p>
            <w:pPr>
              <w:rPr>
                <w:rFonts w:hint="default" w:asciiTheme="minorEastAsia" w:hAnsiTheme="minorEastAsia" w:eastAsiaTheme="minorEastAsia" w:cstheme="minorBidi"/>
                <w:kern w:val="2"/>
                <w:sz w:val="21"/>
                <w:szCs w:val="21"/>
                <w:vertAlign w:val="baseline"/>
                <w:lang w:val="en-US" w:eastAsia="zh-CN" w:bidi="ar-SA"/>
              </w:rPr>
            </w:pPr>
            <w:r>
              <w:rPr>
                <w:rFonts w:hint="eastAsia" w:asciiTheme="minorEastAsia" w:hAnsiTheme="minorEastAsia"/>
                <w:szCs w:val="21"/>
                <w:vertAlign w:val="baseline"/>
                <w:lang w:val="en-US" w:eastAsia="zh-CN"/>
              </w:rPr>
              <w:t>(1)底坑空间</w:t>
            </w:r>
          </w:p>
        </w:tc>
        <w:tc>
          <w:tcPr>
            <w:tcW w:w="1816" w:type="dxa"/>
            <w:gridSpan w:val="2"/>
            <w:vAlign w:val="top"/>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≥0.50m×0.60m×1.00m</w:t>
            </w:r>
          </w:p>
        </w:tc>
        <w:tc>
          <w:tcPr>
            <w:tcW w:w="650" w:type="dxa"/>
            <w:vAlign w:val="center"/>
          </w:tcPr>
          <w:p>
            <w:pPr>
              <w:jc w:val="center"/>
              <w:rPr>
                <w:rFonts w:hint="eastAsia"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m³</w:t>
            </w: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restart"/>
            <w:vAlign w:val="top"/>
          </w:tcPr>
          <w:p>
            <w:pPr>
              <w:rPr>
                <w:rFonts w:hint="default" w:asciiTheme="minorEastAsia" w:hAnsiTheme="minorEastAsia" w:eastAsiaTheme="minorEastAsia" w:cstheme="minorBidi"/>
                <w:kern w:val="2"/>
                <w:sz w:val="21"/>
                <w:szCs w:val="21"/>
                <w:vertAlign w:val="baseline"/>
                <w:lang w:val="en-US" w:eastAsia="zh-CN" w:bidi="ar-SA"/>
              </w:rPr>
            </w:pPr>
            <w:r>
              <w:rPr>
                <w:rFonts w:hint="eastAsia" w:asciiTheme="minorEastAsia" w:hAnsiTheme="minorEastAsia"/>
                <w:szCs w:val="21"/>
                <w:vertAlign w:val="baseline"/>
                <w:lang w:val="en-US" w:eastAsia="zh-CN"/>
              </w:rPr>
              <w:t>(2)底坑地面与轿厢最低部件之间的自由垂直距离。</w:t>
            </w:r>
          </w:p>
        </w:tc>
        <w:tc>
          <w:tcPr>
            <w:tcW w:w="1816" w:type="dxa"/>
            <w:gridSpan w:val="2"/>
            <w:vAlign w:val="top"/>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水平距离</w:t>
            </w:r>
          </w:p>
        </w:tc>
        <w:tc>
          <w:tcPr>
            <w:tcW w:w="650" w:type="dxa"/>
            <w:vMerge w:val="restart"/>
            <w:vAlign w:val="center"/>
          </w:tcPr>
          <w:p>
            <w:pPr>
              <w:jc w:val="cente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m</w:t>
            </w:r>
          </w:p>
        </w:tc>
        <w:tc>
          <w:tcPr>
            <w:tcW w:w="1067" w:type="dxa"/>
          </w:tcPr>
          <w:p>
            <w:pPr>
              <w:rPr>
                <w:rFonts w:hint="eastAsia" w:asciiTheme="minorEastAsia" w:hAnsiTheme="minorEastAsia"/>
                <w:szCs w:val="21"/>
                <w:vertAlign w:val="baseline"/>
                <w:lang w:val="en-US" w:eastAsia="zh-CN"/>
              </w:rPr>
            </w:pPr>
          </w:p>
        </w:tc>
        <w:tc>
          <w:tcPr>
            <w:tcW w:w="1089" w:type="dxa"/>
            <w:vMerge w:val="restart"/>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Merge w:val="continue"/>
            <w:vAlign w:val="top"/>
          </w:tcPr>
          <w:p>
            <w:pPr>
              <w:rPr>
                <w:rFonts w:hint="eastAsia" w:asciiTheme="minorEastAsia" w:hAnsiTheme="minorEastAsia"/>
                <w:szCs w:val="21"/>
                <w:vertAlign w:val="baseline"/>
                <w:lang w:val="en-US" w:eastAsia="zh-CN"/>
              </w:rPr>
            </w:pPr>
          </w:p>
        </w:tc>
        <w:tc>
          <w:tcPr>
            <w:tcW w:w="1816" w:type="dxa"/>
            <w:gridSpan w:val="2"/>
            <w:vAlign w:val="top"/>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垂直距离</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vMerge w:val="continue"/>
          </w:tcPr>
          <w:p>
            <w:pPr>
              <w:rPr>
                <w:rFonts w:hint="eastAsia" w:asciiTheme="minorEastAsia" w:hAnsiTheme="minorEastAsia"/>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83" w:type="dxa"/>
            <w:vMerge w:val="continue"/>
          </w:tcPr>
          <w:p>
            <w:pPr>
              <w:rPr>
                <w:rFonts w:hint="eastAsia" w:asciiTheme="minorEastAsia" w:hAnsiTheme="minorEastAsia"/>
                <w:szCs w:val="21"/>
                <w:vertAlign w:val="baseline"/>
                <w:lang w:val="en-US" w:eastAsia="zh-CN"/>
              </w:rPr>
            </w:pPr>
          </w:p>
        </w:tc>
        <w:tc>
          <w:tcPr>
            <w:tcW w:w="1467" w:type="dxa"/>
            <w:vMerge w:val="continue"/>
          </w:tcPr>
          <w:p>
            <w:pPr>
              <w:rPr>
                <w:rFonts w:hint="eastAsia" w:asciiTheme="minorEastAsia" w:hAnsiTheme="minorEastAsia"/>
                <w:szCs w:val="21"/>
                <w:vertAlign w:val="baseline"/>
                <w:lang w:val="en-US" w:eastAsia="zh-CN"/>
              </w:rPr>
            </w:pPr>
          </w:p>
        </w:tc>
        <w:tc>
          <w:tcPr>
            <w:tcW w:w="1750" w:type="dxa"/>
            <w:vAlign w:val="top"/>
          </w:tcPr>
          <w:p>
            <w:pPr>
              <w:rPr>
                <w:rFonts w:hint="default" w:asciiTheme="minorEastAsia" w:hAnsiTheme="minorEastAsia" w:eastAsiaTheme="minorEastAsia" w:cstheme="minorBidi"/>
                <w:kern w:val="2"/>
                <w:sz w:val="21"/>
                <w:szCs w:val="21"/>
                <w:vertAlign w:val="baseline"/>
                <w:lang w:val="en-US" w:eastAsia="zh-CN" w:bidi="ar-SA"/>
              </w:rPr>
            </w:pPr>
            <w:r>
              <w:rPr>
                <w:rFonts w:hint="eastAsia" w:asciiTheme="minorEastAsia" w:hAnsiTheme="minorEastAsia"/>
                <w:szCs w:val="21"/>
                <w:vertAlign w:val="baseline"/>
                <w:lang w:val="en-US" w:eastAsia="zh-CN"/>
              </w:rPr>
              <w:t>(3)底坑中固定的最高部件和轿厢最低部件之间的自由垂直距离</w:t>
            </w:r>
          </w:p>
        </w:tc>
        <w:tc>
          <w:tcPr>
            <w:tcW w:w="1816" w:type="dxa"/>
            <w:gridSpan w:val="2"/>
            <w:vAlign w:val="top"/>
          </w:tcPr>
          <w:p>
            <w:pPr>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≥0.30m</w:t>
            </w:r>
          </w:p>
        </w:tc>
        <w:tc>
          <w:tcPr>
            <w:tcW w:w="650" w:type="dxa"/>
            <w:vMerge w:val="continue"/>
          </w:tcPr>
          <w:p>
            <w:pPr>
              <w:rPr>
                <w:rFonts w:hint="eastAsia" w:asciiTheme="minorEastAsia" w:hAnsiTheme="minorEastAsia"/>
                <w:szCs w:val="21"/>
                <w:vertAlign w:val="baseline"/>
                <w:lang w:val="en-US" w:eastAsia="zh-CN"/>
              </w:rPr>
            </w:pPr>
          </w:p>
        </w:tc>
        <w:tc>
          <w:tcPr>
            <w:tcW w:w="1067" w:type="dxa"/>
          </w:tcPr>
          <w:p>
            <w:pPr>
              <w:rPr>
                <w:rFonts w:hint="eastAsia" w:asciiTheme="minorEastAsia" w:hAnsiTheme="minorEastAsia"/>
                <w:szCs w:val="21"/>
                <w:vertAlign w:val="baseline"/>
                <w:lang w:val="en-US" w:eastAsia="zh-CN"/>
              </w:rPr>
            </w:pPr>
          </w:p>
        </w:tc>
        <w:tc>
          <w:tcPr>
            <w:tcW w:w="1089" w:type="dxa"/>
          </w:tcPr>
          <w:p>
            <w:pPr>
              <w:rPr>
                <w:rFonts w:hint="eastAsia" w:asciiTheme="minorEastAsia" w:hAnsiTheme="minorEastAsia"/>
                <w:szCs w:val="21"/>
                <w:vertAlign w:val="baseline"/>
                <w:lang w:val="en-US" w:eastAsia="zh-CN"/>
              </w:rPr>
            </w:pPr>
          </w:p>
        </w:tc>
      </w:tr>
    </w:tbl>
    <w:p>
      <w:pPr>
        <w:widowControl/>
        <w:jc w:val="left"/>
      </w:pPr>
    </w:p>
    <w:p>
      <w:r>
        <w:rPr>
          <w:rFonts w:hint="eastAsia" w:asciiTheme="minorEastAsia" w:hAnsiTheme="minorEastAsia"/>
          <w:szCs w:val="21"/>
          <w:lang w:val="en-US" w:eastAsia="zh-CN"/>
        </w:rPr>
        <w:t>附表D：</w:t>
      </w:r>
      <w:r>
        <w:rPr>
          <w:rFonts w:ascii="宋体" w:hAnsi="宋体" w:eastAsia="宋体" w:cs="宋体"/>
          <w:spacing w:val="6"/>
          <w:sz w:val="22"/>
          <w:szCs w:val="22"/>
        </w:rPr>
        <w:t>噪声的A频率计权声级</w:t>
      </w:r>
      <w:r>
        <w:rPr>
          <w:rFonts w:hint="eastAsia" w:ascii="宋体" w:hAnsi="宋体" w:eastAsia="宋体" w:cs="宋体"/>
          <w:spacing w:val="6"/>
          <w:sz w:val="22"/>
          <w:szCs w:val="22"/>
          <w:lang w:val="en-US" w:eastAsia="zh-CN"/>
        </w:rPr>
        <w:t>测量值</w:t>
      </w:r>
    </w:p>
    <w:tbl>
      <w:tblPr>
        <w:tblStyle w:val="19"/>
        <w:tblpPr w:leftFromText="180" w:rightFromText="180" w:vertAnchor="text" w:horzAnchor="page" w:tblpXSpec="center" w:tblpY="141"/>
        <w:tblOverlap w:val="never"/>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503"/>
        <w:gridCol w:w="790"/>
        <w:gridCol w:w="720"/>
        <w:gridCol w:w="767"/>
        <w:gridCol w:w="773"/>
        <w:gridCol w:w="753"/>
        <w:gridCol w:w="735"/>
        <w:gridCol w:w="1318"/>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jc w:val="center"/>
        </w:trPr>
        <w:tc>
          <w:tcPr>
            <w:tcW w:w="1503" w:type="dxa"/>
            <w:shd w:val="clear" w:color="auto" w:fill="auto"/>
            <w:vAlign w:val="top"/>
          </w:tcPr>
          <w:p>
            <w:pPr>
              <w:spacing w:before="115" w:line="219" w:lineRule="auto"/>
              <w:ind w:left="194"/>
              <w:rPr>
                <w:rFonts w:ascii="宋体" w:hAnsi="宋体" w:eastAsia="宋体" w:cs="宋体"/>
                <w:sz w:val="24"/>
                <w:szCs w:val="24"/>
              </w:rPr>
            </w:pPr>
            <w:r>
              <w:rPr>
                <w:rFonts w:ascii="宋体" w:hAnsi="宋体" w:eastAsia="宋体" w:cs="宋体"/>
                <w:color w:val="44504C"/>
                <w:spacing w:val="3"/>
                <w:sz w:val="24"/>
                <w:szCs w:val="24"/>
              </w:rPr>
              <w:t>额定速度v</w:t>
            </w:r>
          </w:p>
        </w:tc>
        <w:tc>
          <w:tcPr>
            <w:tcW w:w="1510" w:type="dxa"/>
            <w:gridSpan w:val="2"/>
            <w:shd w:val="clear" w:color="auto" w:fill="auto"/>
            <w:vAlign w:val="top"/>
          </w:tcPr>
          <w:p>
            <w:pPr>
              <w:spacing w:before="113" w:line="219" w:lineRule="auto"/>
              <w:ind w:left="271"/>
              <w:rPr>
                <w:rFonts w:ascii="宋体" w:hAnsi="宋体" w:eastAsia="宋体" w:cs="宋体"/>
                <w:sz w:val="24"/>
                <w:szCs w:val="24"/>
              </w:rPr>
            </w:pPr>
            <w:r>
              <w:rPr>
                <w:rFonts w:ascii="宋体" w:hAnsi="宋体" w:eastAsia="宋体" w:cs="宋体"/>
                <w:color w:val="4E5C57"/>
                <w:spacing w:val="4"/>
                <w:sz w:val="24"/>
                <w:szCs w:val="24"/>
              </w:rPr>
              <w:t>机房噪声</w:t>
            </w:r>
          </w:p>
        </w:tc>
        <w:tc>
          <w:tcPr>
            <w:tcW w:w="1540" w:type="dxa"/>
            <w:gridSpan w:val="2"/>
            <w:shd w:val="clear" w:color="auto" w:fill="auto"/>
            <w:vAlign w:val="top"/>
          </w:tcPr>
          <w:p>
            <w:pPr>
              <w:spacing w:before="115" w:line="219" w:lineRule="auto"/>
              <w:ind w:left="183"/>
              <w:rPr>
                <w:rFonts w:ascii="宋体" w:hAnsi="宋体" w:eastAsia="宋体" w:cs="宋体"/>
                <w:sz w:val="24"/>
                <w:szCs w:val="24"/>
              </w:rPr>
            </w:pPr>
            <w:r>
              <w:rPr>
                <w:rFonts w:ascii="宋体" w:hAnsi="宋体" w:eastAsia="宋体" w:cs="宋体"/>
                <w:color w:val="414C48"/>
                <w:spacing w:val="3"/>
                <w:sz w:val="24"/>
                <w:szCs w:val="24"/>
              </w:rPr>
              <w:t>轿厢内噪声</w:t>
            </w:r>
          </w:p>
        </w:tc>
        <w:tc>
          <w:tcPr>
            <w:tcW w:w="1488" w:type="dxa"/>
            <w:gridSpan w:val="2"/>
            <w:shd w:val="clear" w:color="auto" w:fill="auto"/>
            <w:vAlign w:val="top"/>
          </w:tcPr>
          <w:p>
            <w:pPr>
              <w:spacing w:before="116" w:line="220" w:lineRule="auto"/>
              <w:ind w:left="165"/>
              <w:rPr>
                <w:rFonts w:ascii="宋体" w:hAnsi="宋体" w:eastAsia="宋体" w:cs="宋体"/>
                <w:sz w:val="24"/>
                <w:szCs w:val="24"/>
              </w:rPr>
            </w:pPr>
            <w:r>
              <w:rPr>
                <w:rFonts w:ascii="宋体" w:hAnsi="宋体" w:eastAsia="宋体" w:cs="宋体"/>
                <w:color w:val="4A5652"/>
                <w:spacing w:val="3"/>
                <w:sz w:val="24"/>
                <w:szCs w:val="24"/>
              </w:rPr>
              <w:t>开关门噪声</w:t>
            </w:r>
          </w:p>
        </w:tc>
        <w:tc>
          <w:tcPr>
            <w:tcW w:w="2620" w:type="dxa"/>
            <w:gridSpan w:val="2"/>
            <w:shd w:val="clear" w:color="auto" w:fill="auto"/>
            <w:vAlign w:val="top"/>
          </w:tcPr>
          <w:p>
            <w:pPr>
              <w:spacing w:before="113" w:line="219" w:lineRule="auto"/>
              <w:ind w:left="117"/>
              <w:rPr>
                <w:rFonts w:ascii="宋体" w:hAnsi="宋体" w:eastAsia="宋体" w:cs="宋体"/>
                <w:sz w:val="24"/>
                <w:szCs w:val="24"/>
              </w:rPr>
            </w:pPr>
            <w:r>
              <w:rPr>
                <w:rFonts w:ascii="宋体" w:hAnsi="宋体" w:eastAsia="宋体" w:cs="宋体"/>
                <w:color w:val="303735"/>
                <w:spacing w:val="1"/>
                <w:sz w:val="24"/>
                <w:szCs w:val="24"/>
              </w:rPr>
              <w:t>无机房电梯层门处噪声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503" w:type="dxa"/>
            <w:shd w:val="clear" w:color="auto" w:fill="auto"/>
            <w:vAlign w:val="top"/>
          </w:tcPr>
          <w:p>
            <w:pPr>
              <w:spacing w:before="109" w:line="224" w:lineRule="auto"/>
              <w:ind w:left="194"/>
              <w:rPr>
                <w:rFonts w:ascii="宋体" w:hAnsi="宋体" w:eastAsia="宋体" w:cs="宋体"/>
                <w:sz w:val="24"/>
                <w:szCs w:val="24"/>
              </w:rPr>
            </w:pPr>
            <w:r>
              <w:rPr>
                <w:rFonts w:ascii="宋体" w:hAnsi="宋体" w:eastAsia="宋体" w:cs="宋体"/>
                <w:color w:val="37403D"/>
                <w:spacing w:val="-2"/>
                <w:sz w:val="24"/>
                <w:szCs w:val="24"/>
              </w:rPr>
              <w:t>v≤2</w:t>
            </w:r>
            <w:r>
              <w:rPr>
                <w:rFonts w:ascii="宋体" w:hAnsi="宋体" w:eastAsia="宋体" w:cs="宋体"/>
                <w:color w:val="6B7D77"/>
                <w:spacing w:val="-2"/>
                <w:sz w:val="24"/>
                <w:szCs w:val="24"/>
              </w:rPr>
              <w:t>.</w:t>
            </w:r>
            <w:r>
              <w:rPr>
                <w:rFonts w:ascii="宋体" w:hAnsi="宋体" w:eastAsia="宋体" w:cs="宋体"/>
                <w:color w:val="212725"/>
                <w:spacing w:val="-2"/>
                <w:sz w:val="24"/>
                <w:szCs w:val="24"/>
              </w:rPr>
              <w:t>5m</w:t>
            </w:r>
            <w:r>
              <w:rPr>
                <w:rFonts w:ascii="宋体" w:hAnsi="宋体" w:eastAsia="宋体" w:cs="宋体"/>
                <w:color w:val="586762"/>
                <w:spacing w:val="-2"/>
                <w:sz w:val="24"/>
                <w:szCs w:val="24"/>
              </w:rPr>
              <w:t>/</w:t>
            </w:r>
            <w:r>
              <w:rPr>
                <w:rFonts w:ascii="宋体" w:hAnsi="宋体" w:eastAsia="宋体" w:cs="宋体"/>
                <w:color w:val="47524E"/>
                <w:spacing w:val="-2"/>
                <w:sz w:val="24"/>
                <w:szCs w:val="24"/>
              </w:rPr>
              <w:t>s</w:t>
            </w:r>
          </w:p>
        </w:tc>
        <w:tc>
          <w:tcPr>
            <w:tcW w:w="790" w:type="dxa"/>
            <w:tcBorders>
              <w:right w:val="single" w:color="auto" w:sz="4" w:space="0"/>
            </w:tcBorders>
            <w:shd w:val="clear" w:color="auto" w:fill="auto"/>
            <w:vAlign w:val="top"/>
          </w:tcPr>
          <w:p>
            <w:pPr>
              <w:spacing w:before="146" w:line="236" w:lineRule="auto"/>
              <w:jc w:val="both"/>
              <w:rPr>
                <w:rFonts w:ascii="宋体" w:hAnsi="宋体" w:eastAsia="宋体" w:cs="宋体"/>
                <w:sz w:val="24"/>
                <w:szCs w:val="24"/>
              </w:rPr>
            </w:pPr>
            <w:r>
              <w:rPr>
                <w:rFonts w:ascii="宋体" w:hAnsi="宋体" w:eastAsia="宋体" w:cs="宋体"/>
                <w:color w:val="232927"/>
                <w:spacing w:val="-4"/>
                <w:sz w:val="24"/>
                <w:szCs w:val="24"/>
              </w:rPr>
              <w:t>≤80dB</w:t>
            </w:r>
          </w:p>
        </w:tc>
        <w:tc>
          <w:tcPr>
            <w:tcW w:w="720" w:type="dxa"/>
            <w:tcBorders>
              <w:left w:val="single" w:color="auto" w:sz="4" w:space="0"/>
            </w:tcBorders>
            <w:shd w:val="clear" w:color="auto" w:fill="auto"/>
            <w:vAlign w:val="top"/>
          </w:tcPr>
          <w:p>
            <w:pPr>
              <w:spacing w:before="146" w:line="236" w:lineRule="auto"/>
              <w:ind w:left="492"/>
              <w:jc w:val="both"/>
              <w:rPr>
                <w:rFonts w:ascii="宋体" w:hAnsi="宋体" w:eastAsia="宋体" w:cs="宋体"/>
                <w:color w:val="232927"/>
                <w:spacing w:val="-4"/>
                <w:sz w:val="24"/>
                <w:szCs w:val="24"/>
              </w:rPr>
            </w:pPr>
          </w:p>
        </w:tc>
        <w:tc>
          <w:tcPr>
            <w:tcW w:w="767" w:type="dxa"/>
            <w:tcBorders>
              <w:right w:val="single" w:color="auto" w:sz="4" w:space="0"/>
            </w:tcBorders>
            <w:shd w:val="clear" w:color="auto" w:fill="auto"/>
            <w:vAlign w:val="top"/>
          </w:tcPr>
          <w:p>
            <w:pPr>
              <w:spacing w:before="125" w:line="231" w:lineRule="auto"/>
              <w:jc w:val="both"/>
              <w:rPr>
                <w:rFonts w:ascii="宋体" w:hAnsi="宋体" w:eastAsia="宋体" w:cs="宋体"/>
                <w:sz w:val="24"/>
                <w:szCs w:val="24"/>
              </w:rPr>
            </w:pPr>
            <w:r>
              <w:rPr>
                <w:rFonts w:ascii="宋体" w:hAnsi="宋体" w:eastAsia="宋体" w:cs="宋体"/>
                <w:color w:val="2F3634"/>
                <w:spacing w:val="-2"/>
                <w:sz w:val="24"/>
                <w:szCs w:val="24"/>
              </w:rPr>
              <w:t>≤</w:t>
            </w:r>
            <w:r>
              <w:rPr>
                <w:rFonts w:ascii="宋体" w:hAnsi="宋体" w:eastAsia="宋体" w:cs="宋体"/>
                <w:color w:val="2C3330"/>
                <w:spacing w:val="-2"/>
                <w:sz w:val="24"/>
                <w:szCs w:val="24"/>
              </w:rPr>
              <w:t>5</w:t>
            </w:r>
            <w:r>
              <w:rPr>
                <w:rFonts w:ascii="宋体" w:hAnsi="宋体" w:eastAsia="宋体" w:cs="宋体"/>
                <w:color w:val="262D2A"/>
                <w:spacing w:val="-2"/>
                <w:sz w:val="24"/>
                <w:szCs w:val="24"/>
              </w:rPr>
              <w:t>5</w:t>
            </w:r>
            <w:r>
              <w:rPr>
                <w:rFonts w:ascii="宋体" w:hAnsi="宋体" w:eastAsia="宋体" w:cs="宋体"/>
                <w:color w:val="333B39"/>
                <w:spacing w:val="-2"/>
                <w:sz w:val="24"/>
                <w:szCs w:val="24"/>
              </w:rPr>
              <w:t>dB</w:t>
            </w:r>
          </w:p>
        </w:tc>
        <w:tc>
          <w:tcPr>
            <w:tcW w:w="773" w:type="dxa"/>
            <w:tcBorders>
              <w:left w:val="single" w:color="auto" w:sz="4" w:space="0"/>
            </w:tcBorders>
            <w:shd w:val="clear" w:color="auto" w:fill="auto"/>
            <w:vAlign w:val="top"/>
          </w:tcPr>
          <w:p>
            <w:pPr>
              <w:spacing w:before="125" w:line="231" w:lineRule="auto"/>
              <w:ind w:left="434"/>
              <w:jc w:val="both"/>
              <w:rPr>
                <w:rFonts w:ascii="宋体" w:hAnsi="宋体" w:eastAsia="宋体" w:cs="宋体"/>
                <w:color w:val="2F3634"/>
                <w:spacing w:val="-2"/>
                <w:sz w:val="24"/>
                <w:szCs w:val="24"/>
              </w:rPr>
            </w:pPr>
          </w:p>
        </w:tc>
        <w:tc>
          <w:tcPr>
            <w:tcW w:w="753" w:type="dxa"/>
            <w:tcBorders>
              <w:right w:val="single" w:color="auto" w:sz="4" w:space="0"/>
            </w:tcBorders>
            <w:shd w:val="clear" w:color="auto" w:fill="auto"/>
            <w:vAlign w:val="top"/>
          </w:tcPr>
          <w:p>
            <w:pPr>
              <w:spacing w:before="125" w:line="231" w:lineRule="auto"/>
              <w:jc w:val="both"/>
              <w:rPr>
                <w:rFonts w:ascii="宋体" w:hAnsi="宋体" w:eastAsia="宋体" w:cs="宋体"/>
                <w:sz w:val="24"/>
                <w:szCs w:val="24"/>
              </w:rPr>
            </w:pPr>
            <w:r>
              <w:rPr>
                <w:rFonts w:ascii="宋体" w:hAnsi="宋体" w:eastAsia="宋体" w:cs="宋体"/>
                <w:color w:val="333C39"/>
                <w:spacing w:val="-2"/>
                <w:sz w:val="24"/>
                <w:szCs w:val="24"/>
              </w:rPr>
              <w:t>≤</w:t>
            </w:r>
            <w:r>
              <w:rPr>
                <w:rFonts w:ascii="宋体" w:hAnsi="宋体" w:eastAsia="宋体" w:cs="宋体"/>
                <w:color w:val="262C2A"/>
                <w:spacing w:val="-2"/>
                <w:sz w:val="24"/>
                <w:szCs w:val="24"/>
              </w:rPr>
              <w:t>6</w:t>
            </w:r>
            <w:r>
              <w:rPr>
                <w:rFonts w:ascii="宋体" w:hAnsi="宋体" w:eastAsia="宋体" w:cs="宋体"/>
                <w:color w:val="2B3330"/>
                <w:spacing w:val="-2"/>
                <w:sz w:val="24"/>
                <w:szCs w:val="24"/>
              </w:rPr>
              <w:t>5</w:t>
            </w:r>
            <w:r>
              <w:rPr>
                <w:rFonts w:ascii="宋体" w:hAnsi="宋体" w:eastAsia="宋体" w:cs="宋体"/>
                <w:color w:val="1F2422"/>
                <w:spacing w:val="-2"/>
                <w:sz w:val="24"/>
                <w:szCs w:val="24"/>
              </w:rPr>
              <w:t>dB</w:t>
            </w:r>
          </w:p>
        </w:tc>
        <w:tc>
          <w:tcPr>
            <w:tcW w:w="735" w:type="dxa"/>
            <w:tcBorders>
              <w:left w:val="single" w:color="auto" w:sz="4" w:space="0"/>
            </w:tcBorders>
            <w:shd w:val="clear" w:color="auto" w:fill="auto"/>
            <w:vAlign w:val="top"/>
          </w:tcPr>
          <w:p>
            <w:pPr>
              <w:spacing w:before="125" w:line="231" w:lineRule="auto"/>
              <w:ind w:left="415"/>
              <w:jc w:val="both"/>
              <w:rPr>
                <w:rFonts w:ascii="宋体" w:hAnsi="宋体" w:eastAsia="宋体" w:cs="宋体"/>
                <w:color w:val="333C39"/>
                <w:spacing w:val="-2"/>
                <w:sz w:val="24"/>
                <w:szCs w:val="24"/>
              </w:rPr>
            </w:pPr>
          </w:p>
        </w:tc>
        <w:tc>
          <w:tcPr>
            <w:tcW w:w="1318" w:type="dxa"/>
            <w:tcBorders>
              <w:right w:val="single" w:color="auto" w:sz="4" w:space="0"/>
            </w:tcBorders>
            <w:shd w:val="clear" w:color="auto" w:fill="auto"/>
            <w:vAlign w:val="top"/>
          </w:tcPr>
          <w:p>
            <w:pPr>
              <w:spacing w:before="125" w:line="231" w:lineRule="auto"/>
              <w:jc w:val="left"/>
              <w:rPr>
                <w:rFonts w:ascii="宋体" w:hAnsi="宋体" w:eastAsia="宋体" w:cs="宋体"/>
                <w:sz w:val="24"/>
                <w:szCs w:val="24"/>
              </w:rPr>
            </w:pPr>
            <w:r>
              <w:rPr>
                <w:rFonts w:ascii="宋体" w:hAnsi="宋体" w:eastAsia="宋体" w:cs="宋体"/>
                <w:color w:val="2F3734"/>
                <w:spacing w:val="-2"/>
                <w:sz w:val="24"/>
                <w:szCs w:val="24"/>
              </w:rPr>
              <w:t>≤</w:t>
            </w:r>
            <w:r>
              <w:rPr>
                <w:rFonts w:ascii="宋体" w:hAnsi="宋体" w:eastAsia="宋体" w:cs="宋体"/>
                <w:color w:val="2E3533"/>
                <w:spacing w:val="-2"/>
                <w:sz w:val="24"/>
                <w:szCs w:val="24"/>
              </w:rPr>
              <w:t>6</w:t>
            </w:r>
            <w:r>
              <w:rPr>
                <w:rFonts w:ascii="宋体" w:hAnsi="宋体" w:eastAsia="宋体" w:cs="宋体"/>
                <w:color w:val="2D3431"/>
                <w:spacing w:val="-2"/>
                <w:sz w:val="24"/>
                <w:szCs w:val="24"/>
              </w:rPr>
              <w:t>5</w:t>
            </w:r>
            <w:r>
              <w:rPr>
                <w:rFonts w:ascii="宋体" w:hAnsi="宋体" w:eastAsia="宋体" w:cs="宋体"/>
                <w:color w:val="212624"/>
                <w:spacing w:val="-2"/>
                <w:sz w:val="24"/>
                <w:szCs w:val="24"/>
              </w:rPr>
              <w:t>dB</w:t>
            </w:r>
          </w:p>
        </w:tc>
        <w:tc>
          <w:tcPr>
            <w:tcW w:w="1302" w:type="dxa"/>
            <w:tcBorders>
              <w:left w:val="single" w:color="auto" w:sz="4" w:space="0"/>
            </w:tcBorders>
            <w:shd w:val="clear" w:color="auto" w:fill="auto"/>
            <w:vAlign w:val="top"/>
          </w:tcPr>
          <w:p>
            <w:pPr>
              <w:spacing w:before="125" w:line="231" w:lineRule="auto"/>
              <w:ind w:left="1007"/>
              <w:rPr>
                <w:rFonts w:ascii="宋体" w:hAnsi="宋体" w:eastAsia="宋体" w:cs="宋体"/>
                <w:color w:val="2F3734"/>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503" w:type="dxa"/>
            <w:shd w:val="clear" w:color="auto" w:fill="auto"/>
            <w:vAlign w:val="top"/>
          </w:tcPr>
          <w:p>
            <w:pPr>
              <w:spacing w:before="100" w:line="228" w:lineRule="auto"/>
              <w:ind w:left="265" w:right="293"/>
              <w:rPr>
                <w:rFonts w:ascii="宋体" w:hAnsi="宋体" w:eastAsia="宋体" w:cs="宋体"/>
                <w:sz w:val="24"/>
                <w:szCs w:val="24"/>
              </w:rPr>
            </w:pPr>
            <w:r>
              <w:rPr>
                <w:rFonts w:ascii="宋体" w:hAnsi="宋体" w:eastAsia="宋体" w:cs="宋体"/>
                <w:color w:val="272D2B"/>
                <w:spacing w:val="-4"/>
                <w:sz w:val="24"/>
                <w:szCs w:val="24"/>
              </w:rPr>
              <w:t>2</w:t>
            </w:r>
            <w:r>
              <w:rPr>
                <w:rFonts w:ascii="宋体" w:hAnsi="宋体" w:eastAsia="宋体" w:cs="宋体"/>
                <w:color w:val="525F5B"/>
                <w:spacing w:val="-4"/>
                <w:sz w:val="24"/>
                <w:szCs w:val="24"/>
              </w:rPr>
              <w:t>.</w:t>
            </w:r>
            <w:r>
              <w:rPr>
                <w:rFonts w:ascii="宋体" w:hAnsi="宋体" w:eastAsia="宋体" w:cs="宋体"/>
                <w:color w:val="272D2B"/>
                <w:spacing w:val="-4"/>
                <w:sz w:val="24"/>
                <w:szCs w:val="24"/>
              </w:rPr>
              <w:t>5m</w:t>
            </w:r>
            <w:r>
              <w:rPr>
                <w:rFonts w:ascii="宋体" w:hAnsi="宋体" w:eastAsia="宋体" w:cs="宋体"/>
                <w:color w:val="3F4A46"/>
                <w:spacing w:val="-4"/>
                <w:sz w:val="24"/>
                <w:szCs w:val="24"/>
              </w:rPr>
              <w:t>/</w:t>
            </w:r>
            <w:r>
              <w:rPr>
                <w:rFonts w:ascii="宋体" w:hAnsi="宋体" w:eastAsia="宋体" w:cs="宋体"/>
                <w:color w:val="353E3B"/>
                <w:spacing w:val="-4"/>
                <w:sz w:val="24"/>
                <w:szCs w:val="24"/>
              </w:rPr>
              <w:t>s&lt;v</w:t>
            </w:r>
            <w:r>
              <w:rPr>
                <w:rFonts w:ascii="宋体" w:hAnsi="宋体" w:eastAsia="宋体" w:cs="宋体"/>
                <w:color w:val="282F2D"/>
                <w:spacing w:val="-4"/>
                <w:sz w:val="24"/>
                <w:szCs w:val="24"/>
              </w:rPr>
              <w:t>≤6</w:t>
            </w:r>
            <w:r>
              <w:rPr>
                <w:rFonts w:ascii="宋体" w:hAnsi="宋体" w:eastAsia="宋体" w:cs="宋体"/>
                <w:color w:val="131716"/>
                <w:spacing w:val="-4"/>
                <w:sz w:val="24"/>
                <w:szCs w:val="24"/>
              </w:rPr>
              <w:t>.0m</w:t>
            </w:r>
            <w:r>
              <w:rPr>
                <w:rFonts w:ascii="宋体" w:hAnsi="宋体" w:eastAsia="宋体" w:cs="宋体"/>
                <w:color w:val="53615C"/>
                <w:spacing w:val="-4"/>
                <w:sz w:val="24"/>
                <w:szCs w:val="24"/>
              </w:rPr>
              <w:t>/</w:t>
            </w:r>
            <w:r>
              <w:rPr>
                <w:rFonts w:ascii="宋体" w:hAnsi="宋体" w:eastAsia="宋体" w:cs="宋体"/>
                <w:color w:val="2C3431"/>
                <w:spacing w:val="-4"/>
                <w:sz w:val="24"/>
                <w:szCs w:val="24"/>
              </w:rPr>
              <w:t>s</w:t>
            </w:r>
          </w:p>
        </w:tc>
        <w:tc>
          <w:tcPr>
            <w:tcW w:w="790" w:type="dxa"/>
            <w:tcBorders>
              <w:right w:val="single" w:color="auto" w:sz="4" w:space="0"/>
            </w:tcBorders>
            <w:shd w:val="clear" w:color="auto" w:fill="auto"/>
            <w:vAlign w:val="top"/>
          </w:tcPr>
          <w:p>
            <w:pPr>
              <w:spacing w:before="288" w:line="236" w:lineRule="auto"/>
              <w:jc w:val="both"/>
              <w:rPr>
                <w:rFonts w:ascii="宋体" w:hAnsi="宋体" w:eastAsia="宋体" w:cs="宋体"/>
                <w:sz w:val="24"/>
                <w:szCs w:val="24"/>
              </w:rPr>
            </w:pPr>
            <w:r>
              <w:rPr>
                <w:rFonts w:ascii="宋体" w:hAnsi="宋体" w:eastAsia="宋体" w:cs="宋体"/>
                <w:color w:val="252B29"/>
                <w:spacing w:val="-4"/>
                <w:sz w:val="24"/>
                <w:szCs w:val="24"/>
              </w:rPr>
              <w:t>≤85dB</w:t>
            </w:r>
          </w:p>
        </w:tc>
        <w:tc>
          <w:tcPr>
            <w:tcW w:w="720" w:type="dxa"/>
            <w:tcBorders>
              <w:left w:val="single" w:color="auto" w:sz="4" w:space="0"/>
            </w:tcBorders>
            <w:shd w:val="clear" w:color="auto" w:fill="auto"/>
            <w:vAlign w:val="top"/>
          </w:tcPr>
          <w:p>
            <w:pPr>
              <w:spacing w:before="288" w:line="236" w:lineRule="auto"/>
              <w:ind w:left="492"/>
              <w:jc w:val="both"/>
              <w:rPr>
                <w:rFonts w:ascii="宋体" w:hAnsi="宋体" w:eastAsia="宋体" w:cs="宋体"/>
                <w:color w:val="252B29"/>
                <w:spacing w:val="-4"/>
                <w:sz w:val="24"/>
                <w:szCs w:val="24"/>
              </w:rPr>
            </w:pPr>
          </w:p>
        </w:tc>
        <w:tc>
          <w:tcPr>
            <w:tcW w:w="767" w:type="dxa"/>
            <w:tcBorders>
              <w:right w:val="single" w:color="auto" w:sz="4" w:space="0"/>
            </w:tcBorders>
            <w:shd w:val="clear" w:color="auto" w:fill="auto"/>
            <w:vAlign w:val="top"/>
          </w:tcPr>
          <w:p>
            <w:pPr>
              <w:spacing w:before="266" w:line="236" w:lineRule="auto"/>
              <w:jc w:val="both"/>
              <w:rPr>
                <w:rFonts w:ascii="宋体" w:hAnsi="宋体" w:eastAsia="宋体" w:cs="宋体"/>
                <w:sz w:val="24"/>
                <w:szCs w:val="24"/>
              </w:rPr>
            </w:pPr>
            <w:r>
              <w:rPr>
                <w:rFonts w:ascii="宋体" w:hAnsi="宋体" w:eastAsia="宋体" w:cs="宋体"/>
                <w:color w:val="313936"/>
                <w:spacing w:val="-2"/>
                <w:sz w:val="24"/>
                <w:szCs w:val="24"/>
              </w:rPr>
              <w:t>≤</w:t>
            </w:r>
            <w:r>
              <w:rPr>
                <w:rFonts w:ascii="宋体" w:hAnsi="宋体" w:eastAsia="宋体" w:cs="宋体"/>
                <w:color w:val="262C2A"/>
                <w:spacing w:val="-2"/>
                <w:sz w:val="24"/>
                <w:szCs w:val="24"/>
              </w:rPr>
              <w:t>6</w:t>
            </w:r>
            <w:r>
              <w:rPr>
                <w:rFonts w:ascii="宋体" w:hAnsi="宋体" w:eastAsia="宋体" w:cs="宋体"/>
                <w:color w:val="1A1E1D"/>
                <w:spacing w:val="-2"/>
                <w:sz w:val="24"/>
                <w:szCs w:val="24"/>
              </w:rPr>
              <w:t>0</w:t>
            </w:r>
            <w:r>
              <w:rPr>
                <w:rFonts w:ascii="宋体" w:hAnsi="宋体" w:eastAsia="宋体" w:cs="宋体"/>
                <w:color w:val="262C2A"/>
                <w:spacing w:val="-2"/>
                <w:sz w:val="24"/>
                <w:szCs w:val="24"/>
              </w:rPr>
              <w:t>dB</w:t>
            </w:r>
          </w:p>
        </w:tc>
        <w:tc>
          <w:tcPr>
            <w:tcW w:w="773" w:type="dxa"/>
            <w:tcBorders>
              <w:left w:val="single" w:color="auto" w:sz="4" w:space="0"/>
            </w:tcBorders>
            <w:shd w:val="clear" w:color="auto" w:fill="auto"/>
            <w:vAlign w:val="top"/>
          </w:tcPr>
          <w:p>
            <w:pPr>
              <w:spacing w:before="266" w:line="236" w:lineRule="auto"/>
              <w:ind w:left="434"/>
              <w:jc w:val="both"/>
              <w:rPr>
                <w:rFonts w:ascii="宋体" w:hAnsi="宋体" w:eastAsia="宋体" w:cs="宋体"/>
                <w:color w:val="313936"/>
                <w:spacing w:val="-2"/>
                <w:sz w:val="24"/>
                <w:szCs w:val="24"/>
              </w:rPr>
            </w:pPr>
          </w:p>
        </w:tc>
        <w:tc>
          <w:tcPr>
            <w:tcW w:w="753" w:type="dxa"/>
            <w:tcBorders>
              <w:right w:val="single" w:color="auto" w:sz="4" w:space="0"/>
            </w:tcBorders>
            <w:shd w:val="clear" w:color="auto" w:fill="auto"/>
            <w:vAlign w:val="top"/>
          </w:tcPr>
          <w:p>
            <w:pPr>
              <w:spacing w:before="266" w:line="236" w:lineRule="auto"/>
              <w:jc w:val="both"/>
              <w:rPr>
                <w:rFonts w:ascii="宋体" w:hAnsi="宋体" w:eastAsia="宋体" w:cs="宋体"/>
                <w:sz w:val="24"/>
                <w:szCs w:val="24"/>
              </w:rPr>
            </w:pPr>
            <w:r>
              <w:rPr>
                <w:rFonts w:ascii="宋体" w:hAnsi="宋体" w:eastAsia="宋体" w:cs="宋体"/>
                <w:color w:val="303835"/>
                <w:spacing w:val="-2"/>
                <w:sz w:val="24"/>
                <w:szCs w:val="24"/>
              </w:rPr>
              <w:t>≤</w:t>
            </w:r>
            <w:r>
              <w:rPr>
                <w:rFonts w:ascii="宋体" w:hAnsi="宋体" w:eastAsia="宋体" w:cs="宋体"/>
                <w:color w:val="202523"/>
                <w:spacing w:val="-2"/>
                <w:sz w:val="24"/>
                <w:szCs w:val="24"/>
              </w:rPr>
              <w:t>6</w:t>
            </w:r>
            <w:r>
              <w:rPr>
                <w:rFonts w:ascii="宋体" w:hAnsi="宋体" w:eastAsia="宋体" w:cs="宋体"/>
                <w:color w:val="2B322F"/>
                <w:spacing w:val="-2"/>
                <w:sz w:val="24"/>
                <w:szCs w:val="24"/>
              </w:rPr>
              <w:t>5</w:t>
            </w:r>
            <w:r>
              <w:rPr>
                <w:rFonts w:ascii="宋体" w:hAnsi="宋体" w:eastAsia="宋体" w:cs="宋体"/>
                <w:color w:val="222826"/>
                <w:spacing w:val="-2"/>
                <w:sz w:val="24"/>
                <w:szCs w:val="24"/>
              </w:rPr>
              <w:t>dB</w:t>
            </w:r>
          </w:p>
        </w:tc>
        <w:tc>
          <w:tcPr>
            <w:tcW w:w="735" w:type="dxa"/>
            <w:tcBorders>
              <w:left w:val="single" w:color="auto" w:sz="4" w:space="0"/>
            </w:tcBorders>
            <w:shd w:val="clear" w:color="auto" w:fill="auto"/>
            <w:vAlign w:val="top"/>
          </w:tcPr>
          <w:p>
            <w:pPr>
              <w:spacing w:before="266" w:line="236" w:lineRule="auto"/>
              <w:ind w:left="415"/>
              <w:jc w:val="both"/>
              <w:rPr>
                <w:rFonts w:ascii="宋体" w:hAnsi="宋体" w:eastAsia="宋体" w:cs="宋体"/>
                <w:color w:val="303835"/>
                <w:spacing w:val="-2"/>
                <w:sz w:val="24"/>
                <w:szCs w:val="24"/>
              </w:rPr>
            </w:pPr>
          </w:p>
        </w:tc>
        <w:tc>
          <w:tcPr>
            <w:tcW w:w="2620" w:type="dxa"/>
            <w:gridSpan w:val="2"/>
            <w:vMerge w:val="restart"/>
            <w:tcBorders>
              <w:bottom w:val="nil"/>
            </w:tcBorders>
            <w:shd w:val="clear" w:color="auto" w:fill="auto"/>
            <w:vAlign w:val="top"/>
          </w:tcPr>
          <w:p>
            <w:pPr>
              <w:spacing w:before="64" w:line="219" w:lineRule="auto"/>
              <w:ind w:left="117"/>
              <w:rPr>
                <w:rFonts w:ascii="宋体" w:hAnsi="宋体" w:eastAsia="宋体" w:cs="宋体"/>
                <w:sz w:val="24"/>
                <w:szCs w:val="24"/>
              </w:rPr>
            </w:pPr>
            <w:r>
              <w:rPr>
                <w:rFonts w:ascii="宋体" w:hAnsi="宋体" w:eastAsia="宋体" w:cs="宋体"/>
                <w:color w:val="2F3835"/>
                <w:sz w:val="24"/>
                <w:szCs w:val="24"/>
              </w:rPr>
              <w:t>不超过制造单位的允许</w:t>
            </w:r>
            <w:r>
              <w:rPr>
                <w:rFonts w:ascii="宋体" w:hAnsi="宋体" w:eastAsia="宋体" w:cs="宋体"/>
                <w:color w:val="363F3B"/>
                <w:spacing w:val="1"/>
                <w:sz w:val="24"/>
                <w:szCs w:val="24"/>
              </w:rPr>
              <w:t>值</w:t>
            </w:r>
            <w:r>
              <w:rPr>
                <w:rFonts w:ascii="宋体" w:hAnsi="宋体" w:eastAsia="宋体" w:cs="宋体"/>
                <w:color w:val="91A8A0"/>
                <w:spacing w:val="1"/>
                <w:sz w:val="24"/>
                <w:szCs w:val="24"/>
              </w:rPr>
              <w:t>。</w:t>
            </w:r>
            <w:r>
              <w:rPr>
                <w:rFonts w:ascii="宋体" w:hAnsi="宋体" w:eastAsia="宋体" w:cs="宋体"/>
                <w:color w:val="404C48"/>
                <w:spacing w:val="1"/>
                <w:sz w:val="24"/>
                <w:szCs w:val="24"/>
              </w:rPr>
              <w:t>制造单位未规定</w:t>
            </w:r>
            <w:r>
              <w:rPr>
                <w:rFonts w:ascii="宋体" w:hAnsi="宋体" w:eastAsia="宋体" w:cs="宋体"/>
                <w:color w:val="333D39"/>
                <w:spacing w:val="1"/>
                <w:sz w:val="24"/>
                <w:szCs w:val="24"/>
              </w:rPr>
              <w:t>的，按照额定速度为</w:t>
            </w:r>
            <w:r>
              <w:rPr>
                <w:rFonts w:ascii="宋体" w:hAnsi="宋体" w:eastAsia="宋体" w:cs="宋体"/>
                <w:color w:val="272D2B"/>
                <w:sz w:val="24"/>
                <w:szCs w:val="24"/>
              </w:rPr>
              <w:t>2.5m/s的电梯限值指标</w:t>
            </w:r>
            <w:r>
              <w:rPr>
                <w:rFonts w:ascii="宋体" w:hAnsi="宋体" w:eastAsia="宋体" w:cs="宋体"/>
                <w:color w:val="363F3C"/>
                <w:spacing w:val="8"/>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1503" w:type="dxa"/>
            <w:shd w:val="clear" w:color="auto" w:fill="auto"/>
            <w:vAlign w:val="top"/>
          </w:tcPr>
          <w:p>
            <w:pPr>
              <w:spacing w:before="100" w:line="228" w:lineRule="auto"/>
              <w:ind w:left="265" w:right="293"/>
              <w:rPr>
                <w:rFonts w:ascii="宋体" w:hAnsi="宋体" w:eastAsia="宋体" w:cs="宋体"/>
                <w:color w:val="272D2B"/>
                <w:spacing w:val="-4"/>
                <w:sz w:val="24"/>
                <w:szCs w:val="24"/>
              </w:rPr>
            </w:pPr>
            <w:r>
              <w:rPr>
                <w:rFonts w:ascii="宋体" w:hAnsi="宋体" w:eastAsia="宋体" w:cs="宋体"/>
                <w:color w:val="272D2B"/>
                <w:spacing w:val="-4"/>
                <w:sz w:val="24"/>
                <w:szCs w:val="24"/>
              </w:rPr>
              <w:t>v&gt;6.0m/s</w:t>
            </w:r>
          </w:p>
        </w:tc>
        <w:tc>
          <w:tcPr>
            <w:tcW w:w="4538" w:type="dxa"/>
            <w:gridSpan w:val="6"/>
            <w:shd w:val="clear" w:color="auto" w:fill="auto"/>
            <w:vAlign w:val="top"/>
          </w:tcPr>
          <w:p>
            <w:pPr>
              <w:spacing w:before="100" w:line="228" w:lineRule="auto"/>
              <w:ind w:left="265" w:right="293"/>
              <w:rPr>
                <w:rFonts w:ascii="宋体" w:hAnsi="宋体" w:eastAsia="宋体" w:cs="宋体"/>
                <w:color w:val="272D2B"/>
                <w:spacing w:val="-4"/>
                <w:sz w:val="24"/>
                <w:szCs w:val="24"/>
              </w:rPr>
            </w:pPr>
            <w:r>
              <w:rPr>
                <w:rFonts w:ascii="宋体" w:hAnsi="宋体" w:eastAsia="宋体" w:cs="宋体"/>
                <w:color w:val="272D2B"/>
                <w:spacing w:val="-4"/>
                <w:sz w:val="24"/>
                <w:szCs w:val="24"/>
              </w:rPr>
              <w:t>不超过制造单位的允许值。制造单位未规定的，按照额定速度为6.0m/s的电梯限值指标判定</w:t>
            </w:r>
          </w:p>
        </w:tc>
        <w:tc>
          <w:tcPr>
            <w:tcW w:w="2620" w:type="dxa"/>
            <w:gridSpan w:val="2"/>
            <w:vMerge w:val="continue"/>
            <w:tcBorders>
              <w:top w:val="nil"/>
            </w:tcBorders>
            <w:shd w:val="clear" w:color="auto" w:fill="auto"/>
            <w:vAlign w:val="top"/>
          </w:tcPr>
          <w:p>
            <w:pPr>
              <w:rPr>
                <w:rFonts w:ascii="Arial"/>
                <w:sz w:val="21"/>
              </w:rPr>
            </w:pPr>
          </w:p>
        </w:tc>
      </w:tr>
    </w:tbl>
    <w:p>
      <w:pPr>
        <w:widowControl/>
        <w:jc w:val="left"/>
      </w:pPr>
    </w:p>
    <w:p>
      <w:pPr>
        <w:widowControl/>
        <w:jc w:val="left"/>
      </w:pPr>
      <w:bookmarkStart w:id="0" w:name="_MON_1568034552"/>
      <w:bookmarkEnd w:id="0"/>
    </w:p>
    <w:p>
      <w:pPr>
        <w:widowControl/>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055F"/>
    <w:multiLevelType w:val="multilevel"/>
    <w:tmpl w:val="4D31055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zkzMDRmOWQzYmZjMmRjZmEwNzU0OWRiNGMwNjgifQ=="/>
    <w:docVar w:name="KSO_WPS_MARK_KEY" w:val="d25d8867-09ec-44c0-a2a4-fca61e45e8f6"/>
  </w:docVars>
  <w:rsids>
    <w:rsidRoot w:val="00E1595B"/>
    <w:rsid w:val="00000343"/>
    <w:rsid w:val="000003E0"/>
    <w:rsid w:val="00010256"/>
    <w:rsid w:val="00020330"/>
    <w:rsid w:val="000537E9"/>
    <w:rsid w:val="00054D1D"/>
    <w:rsid w:val="00055C91"/>
    <w:rsid w:val="000B46DE"/>
    <w:rsid w:val="000B5F22"/>
    <w:rsid w:val="000B7DD3"/>
    <w:rsid w:val="000C06EF"/>
    <w:rsid w:val="000C3AC8"/>
    <w:rsid w:val="000E518C"/>
    <w:rsid w:val="00100429"/>
    <w:rsid w:val="00103678"/>
    <w:rsid w:val="00117411"/>
    <w:rsid w:val="00121A31"/>
    <w:rsid w:val="0013266D"/>
    <w:rsid w:val="00137FDE"/>
    <w:rsid w:val="001631B7"/>
    <w:rsid w:val="00176A6F"/>
    <w:rsid w:val="001813A3"/>
    <w:rsid w:val="001824A6"/>
    <w:rsid w:val="001902E9"/>
    <w:rsid w:val="00192404"/>
    <w:rsid w:val="00193899"/>
    <w:rsid w:val="0019498D"/>
    <w:rsid w:val="001B13FB"/>
    <w:rsid w:val="001B3658"/>
    <w:rsid w:val="001B4018"/>
    <w:rsid w:val="001B54ED"/>
    <w:rsid w:val="001C3577"/>
    <w:rsid w:val="001C3976"/>
    <w:rsid w:val="001D0350"/>
    <w:rsid w:val="001D2A00"/>
    <w:rsid w:val="001E4D70"/>
    <w:rsid w:val="001F2FC6"/>
    <w:rsid w:val="002065C7"/>
    <w:rsid w:val="00206CEB"/>
    <w:rsid w:val="00211CA9"/>
    <w:rsid w:val="002168C7"/>
    <w:rsid w:val="00217FB8"/>
    <w:rsid w:val="00220C64"/>
    <w:rsid w:val="00230970"/>
    <w:rsid w:val="00251AEB"/>
    <w:rsid w:val="00251F73"/>
    <w:rsid w:val="00253581"/>
    <w:rsid w:val="00257A19"/>
    <w:rsid w:val="00263FC0"/>
    <w:rsid w:val="00264B4A"/>
    <w:rsid w:val="002664B9"/>
    <w:rsid w:val="002717BB"/>
    <w:rsid w:val="002726E5"/>
    <w:rsid w:val="0027563F"/>
    <w:rsid w:val="0029082D"/>
    <w:rsid w:val="00291828"/>
    <w:rsid w:val="00292F1F"/>
    <w:rsid w:val="002A7625"/>
    <w:rsid w:val="002B0C05"/>
    <w:rsid w:val="002B2E37"/>
    <w:rsid w:val="002B52C9"/>
    <w:rsid w:val="002C2254"/>
    <w:rsid w:val="002D4E36"/>
    <w:rsid w:val="002E49C9"/>
    <w:rsid w:val="002E7333"/>
    <w:rsid w:val="002F1104"/>
    <w:rsid w:val="00312DDD"/>
    <w:rsid w:val="00320D64"/>
    <w:rsid w:val="003233DC"/>
    <w:rsid w:val="0034609D"/>
    <w:rsid w:val="00346ACA"/>
    <w:rsid w:val="00351571"/>
    <w:rsid w:val="00367343"/>
    <w:rsid w:val="003731EE"/>
    <w:rsid w:val="00384A97"/>
    <w:rsid w:val="00385CB2"/>
    <w:rsid w:val="00386A04"/>
    <w:rsid w:val="0039116C"/>
    <w:rsid w:val="0039389B"/>
    <w:rsid w:val="00394973"/>
    <w:rsid w:val="003A2F8E"/>
    <w:rsid w:val="003A7B4C"/>
    <w:rsid w:val="003B15CA"/>
    <w:rsid w:val="003B61EC"/>
    <w:rsid w:val="003C0B80"/>
    <w:rsid w:val="003C0ED5"/>
    <w:rsid w:val="003C2C22"/>
    <w:rsid w:val="003D59AF"/>
    <w:rsid w:val="003D5D6A"/>
    <w:rsid w:val="003D607B"/>
    <w:rsid w:val="003D6B7D"/>
    <w:rsid w:val="003D77B9"/>
    <w:rsid w:val="003E1020"/>
    <w:rsid w:val="003E1633"/>
    <w:rsid w:val="003E2457"/>
    <w:rsid w:val="003E484A"/>
    <w:rsid w:val="003F15C5"/>
    <w:rsid w:val="003F3DC0"/>
    <w:rsid w:val="0040798F"/>
    <w:rsid w:val="004141E1"/>
    <w:rsid w:val="00444462"/>
    <w:rsid w:val="0044618A"/>
    <w:rsid w:val="004500B9"/>
    <w:rsid w:val="004501A0"/>
    <w:rsid w:val="00450CC3"/>
    <w:rsid w:val="00454EA6"/>
    <w:rsid w:val="00457C1D"/>
    <w:rsid w:val="00460E98"/>
    <w:rsid w:val="00464696"/>
    <w:rsid w:val="004655B4"/>
    <w:rsid w:val="00465698"/>
    <w:rsid w:val="004659FE"/>
    <w:rsid w:val="004670E0"/>
    <w:rsid w:val="00477FF8"/>
    <w:rsid w:val="00490C53"/>
    <w:rsid w:val="004A4902"/>
    <w:rsid w:val="004A4DF2"/>
    <w:rsid w:val="004B0849"/>
    <w:rsid w:val="004B78FC"/>
    <w:rsid w:val="004C17C2"/>
    <w:rsid w:val="004C1AAB"/>
    <w:rsid w:val="004C1AC1"/>
    <w:rsid w:val="004C1B70"/>
    <w:rsid w:val="004C4BB8"/>
    <w:rsid w:val="004C7A03"/>
    <w:rsid w:val="004D0339"/>
    <w:rsid w:val="004D06EF"/>
    <w:rsid w:val="004D6610"/>
    <w:rsid w:val="004D7FD5"/>
    <w:rsid w:val="004F4CC8"/>
    <w:rsid w:val="00513198"/>
    <w:rsid w:val="00514007"/>
    <w:rsid w:val="00527D5F"/>
    <w:rsid w:val="005345F2"/>
    <w:rsid w:val="005379BF"/>
    <w:rsid w:val="005468B9"/>
    <w:rsid w:val="005574A7"/>
    <w:rsid w:val="00580FBB"/>
    <w:rsid w:val="00594E95"/>
    <w:rsid w:val="005B6595"/>
    <w:rsid w:val="005C4C6A"/>
    <w:rsid w:val="005D1EBA"/>
    <w:rsid w:val="005E0884"/>
    <w:rsid w:val="005E2D6F"/>
    <w:rsid w:val="005F54FB"/>
    <w:rsid w:val="005F6984"/>
    <w:rsid w:val="005F756F"/>
    <w:rsid w:val="00600B3D"/>
    <w:rsid w:val="00604EEE"/>
    <w:rsid w:val="006104BE"/>
    <w:rsid w:val="006112E4"/>
    <w:rsid w:val="0063041A"/>
    <w:rsid w:val="0063090E"/>
    <w:rsid w:val="00633DC2"/>
    <w:rsid w:val="00641294"/>
    <w:rsid w:val="00641D0F"/>
    <w:rsid w:val="00651D24"/>
    <w:rsid w:val="00653052"/>
    <w:rsid w:val="00655A63"/>
    <w:rsid w:val="00656339"/>
    <w:rsid w:val="00667738"/>
    <w:rsid w:val="006715F6"/>
    <w:rsid w:val="006763F6"/>
    <w:rsid w:val="006872D4"/>
    <w:rsid w:val="00696A8B"/>
    <w:rsid w:val="006A5110"/>
    <w:rsid w:val="006B71E8"/>
    <w:rsid w:val="006B7B9F"/>
    <w:rsid w:val="006C52E2"/>
    <w:rsid w:val="006D6C06"/>
    <w:rsid w:val="006E1E41"/>
    <w:rsid w:val="006E75C2"/>
    <w:rsid w:val="006F1AC7"/>
    <w:rsid w:val="006F35D2"/>
    <w:rsid w:val="006F4305"/>
    <w:rsid w:val="007044ED"/>
    <w:rsid w:val="00712628"/>
    <w:rsid w:val="007157FA"/>
    <w:rsid w:val="0073159D"/>
    <w:rsid w:val="00750D0D"/>
    <w:rsid w:val="00762A8E"/>
    <w:rsid w:val="00763C20"/>
    <w:rsid w:val="00780351"/>
    <w:rsid w:val="0078600C"/>
    <w:rsid w:val="00792257"/>
    <w:rsid w:val="0079581C"/>
    <w:rsid w:val="007B369C"/>
    <w:rsid w:val="007C2A1C"/>
    <w:rsid w:val="007D08B8"/>
    <w:rsid w:val="007D08C1"/>
    <w:rsid w:val="007E0878"/>
    <w:rsid w:val="007E5B58"/>
    <w:rsid w:val="007F1591"/>
    <w:rsid w:val="007F4DF3"/>
    <w:rsid w:val="008055C3"/>
    <w:rsid w:val="00811DC9"/>
    <w:rsid w:val="00812EDD"/>
    <w:rsid w:val="00814D55"/>
    <w:rsid w:val="00823A37"/>
    <w:rsid w:val="00827866"/>
    <w:rsid w:val="008368AC"/>
    <w:rsid w:val="0085503F"/>
    <w:rsid w:val="0086268E"/>
    <w:rsid w:val="008652AD"/>
    <w:rsid w:val="0087554E"/>
    <w:rsid w:val="008814B9"/>
    <w:rsid w:val="00884230"/>
    <w:rsid w:val="008858D3"/>
    <w:rsid w:val="00886C00"/>
    <w:rsid w:val="00895532"/>
    <w:rsid w:val="00895947"/>
    <w:rsid w:val="008A4202"/>
    <w:rsid w:val="008B4A36"/>
    <w:rsid w:val="008C4B68"/>
    <w:rsid w:val="008C7E76"/>
    <w:rsid w:val="008D5F92"/>
    <w:rsid w:val="008D7463"/>
    <w:rsid w:val="008E19F6"/>
    <w:rsid w:val="00901C18"/>
    <w:rsid w:val="009107A6"/>
    <w:rsid w:val="00916045"/>
    <w:rsid w:val="00924128"/>
    <w:rsid w:val="009409DC"/>
    <w:rsid w:val="00955981"/>
    <w:rsid w:val="00980DE6"/>
    <w:rsid w:val="00986325"/>
    <w:rsid w:val="0099453E"/>
    <w:rsid w:val="009D10F7"/>
    <w:rsid w:val="009D29A5"/>
    <w:rsid w:val="009D5E30"/>
    <w:rsid w:val="009E59E8"/>
    <w:rsid w:val="009E5FB6"/>
    <w:rsid w:val="009E64DC"/>
    <w:rsid w:val="009F22AF"/>
    <w:rsid w:val="009F3004"/>
    <w:rsid w:val="009F5436"/>
    <w:rsid w:val="00A0470B"/>
    <w:rsid w:val="00A07833"/>
    <w:rsid w:val="00A261B4"/>
    <w:rsid w:val="00A327AB"/>
    <w:rsid w:val="00A32C29"/>
    <w:rsid w:val="00A42F1C"/>
    <w:rsid w:val="00A54C90"/>
    <w:rsid w:val="00A63B16"/>
    <w:rsid w:val="00A76C6D"/>
    <w:rsid w:val="00A9138E"/>
    <w:rsid w:val="00AA0DAC"/>
    <w:rsid w:val="00AA45CB"/>
    <w:rsid w:val="00AB3CF2"/>
    <w:rsid w:val="00AE2895"/>
    <w:rsid w:val="00AE646B"/>
    <w:rsid w:val="00AE6674"/>
    <w:rsid w:val="00AE7DCD"/>
    <w:rsid w:val="00B11A8E"/>
    <w:rsid w:val="00B13FAA"/>
    <w:rsid w:val="00B33275"/>
    <w:rsid w:val="00B343B7"/>
    <w:rsid w:val="00B43E78"/>
    <w:rsid w:val="00B4455E"/>
    <w:rsid w:val="00B52601"/>
    <w:rsid w:val="00B555D6"/>
    <w:rsid w:val="00B60B31"/>
    <w:rsid w:val="00B65D03"/>
    <w:rsid w:val="00B66412"/>
    <w:rsid w:val="00B86FA9"/>
    <w:rsid w:val="00B953C8"/>
    <w:rsid w:val="00B978EB"/>
    <w:rsid w:val="00BB144C"/>
    <w:rsid w:val="00BC398F"/>
    <w:rsid w:val="00BC72B4"/>
    <w:rsid w:val="00BD0DE9"/>
    <w:rsid w:val="00BD556B"/>
    <w:rsid w:val="00BE2586"/>
    <w:rsid w:val="00BF3DFA"/>
    <w:rsid w:val="00BF48B9"/>
    <w:rsid w:val="00BF67A2"/>
    <w:rsid w:val="00C46469"/>
    <w:rsid w:val="00C568D4"/>
    <w:rsid w:val="00C61639"/>
    <w:rsid w:val="00C676A3"/>
    <w:rsid w:val="00C74AEE"/>
    <w:rsid w:val="00C81888"/>
    <w:rsid w:val="00C862F7"/>
    <w:rsid w:val="00CB25F1"/>
    <w:rsid w:val="00CB470B"/>
    <w:rsid w:val="00CC365A"/>
    <w:rsid w:val="00CC3ED4"/>
    <w:rsid w:val="00CC4633"/>
    <w:rsid w:val="00CD00C5"/>
    <w:rsid w:val="00CE3DCB"/>
    <w:rsid w:val="00CF1709"/>
    <w:rsid w:val="00D03CFF"/>
    <w:rsid w:val="00D07D7B"/>
    <w:rsid w:val="00D202FD"/>
    <w:rsid w:val="00D24764"/>
    <w:rsid w:val="00D27AB1"/>
    <w:rsid w:val="00D34B05"/>
    <w:rsid w:val="00D40496"/>
    <w:rsid w:val="00D42515"/>
    <w:rsid w:val="00D54FF2"/>
    <w:rsid w:val="00D57D1C"/>
    <w:rsid w:val="00D60203"/>
    <w:rsid w:val="00D71D35"/>
    <w:rsid w:val="00D779DE"/>
    <w:rsid w:val="00D842A0"/>
    <w:rsid w:val="00D84615"/>
    <w:rsid w:val="00D90A94"/>
    <w:rsid w:val="00D956BC"/>
    <w:rsid w:val="00DA6BC5"/>
    <w:rsid w:val="00DB336E"/>
    <w:rsid w:val="00DC4B06"/>
    <w:rsid w:val="00DE2957"/>
    <w:rsid w:val="00DF2C23"/>
    <w:rsid w:val="00E00A6B"/>
    <w:rsid w:val="00E029C9"/>
    <w:rsid w:val="00E109CE"/>
    <w:rsid w:val="00E1595B"/>
    <w:rsid w:val="00E17789"/>
    <w:rsid w:val="00E3420B"/>
    <w:rsid w:val="00E41125"/>
    <w:rsid w:val="00E4757E"/>
    <w:rsid w:val="00E52851"/>
    <w:rsid w:val="00E63AC1"/>
    <w:rsid w:val="00E66B10"/>
    <w:rsid w:val="00E71C1B"/>
    <w:rsid w:val="00E7284B"/>
    <w:rsid w:val="00E72DB9"/>
    <w:rsid w:val="00E74408"/>
    <w:rsid w:val="00E8050C"/>
    <w:rsid w:val="00E8208E"/>
    <w:rsid w:val="00E906E6"/>
    <w:rsid w:val="00E90946"/>
    <w:rsid w:val="00EC6E07"/>
    <w:rsid w:val="00F12910"/>
    <w:rsid w:val="00F12F83"/>
    <w:rsid w:val="00F20270"/>
    <w:rsid w:val="00F241AF"/>
    <w:rsid w:val="00F372A2"/>
    <w:rsid w:val="00F45B4A"/>
    <w:rsid w:val="00F462BD"/>
    <w:rsid w:val="00F46312"/>
    <w:rsid w:val="00F53498"/>
    <w:rsid w:val="00F6107F"/>
    <w:rsid w:val="00F73133"/>
    <w:rsid w:val="00F87756"/>
    <w:rsid w:val="00F94766"/>
    <w:rsid w:val="00FB13FC"/>
    <w:rsid w:val="00FC0891"/>
    <w:rsid w:val="00FC5762"/>
    <w:rsid w:val="00FC635C"/>
    <w:rsid w:val="00FC7252"/>
    <w:rsid w:val="00FC73C0"/>
    <w:rsid w:val="00FC7435"/>
    <w:rsid w:val="00FD2FDC"/>
    <w:rsid w:val="00FD32D3"/>
    <w:rsid w:val="00FE5D28"/>
    <w:rsid w:val="00FE6F8C"/>
    <w:rsid w:val="00FF3903"/>
    <w:rsid w:val="050532C6"/>
    <w:rsid w:val="06823252"/>
    <w:rsid w:val="06986C01"/>
    <w:rsid w:val="075D25AE"/>
    <w:rsid w:val="09E37861"/>
    <w:rsid w:val="0AA333AA"/>
    <w:rsid w:val="0AAA39EB"/>
    <w:rsid w:val="0C611673"/>
    <w:rsid w:val="0E01685C"/>
    <w:rsid w:val="0E590AFF"/>
    <w:rsid w:val="0E8502DA"/>
    <w:rsid w:val="1105722D"/>
    <w:rsid w:val="14552F92"/>
    <w:rsid w:val="14B95A53"/>
    <w:rsid w:val="154A407A"/>
    <w:rsid w:val="163D0D06"/>
    <w:rsid w:val="1A9F3D3E"/>
    <w:rsid w:val="1AD601FA"/>
    <w:rsid w:val="1BAD7475"/>
    <w:rsid w:val="1E2E2B78"/>
    <w:rsid w:val="1E5C4D0A"/>
    <w:rsid w:val="21D3238B"/>
    <w:rsid w:val="221D35CF"/>
    <w:rsid w:val="22761828"/>
    <w:rsid w:val="232C571D"/>
    <w:rsid w:val="2A1D31D1"/>
    <w:rsid w:val="2A79715B"/>
    <w:rsid w:val="2C4D23AE"/>
    <w:rsid w:val="31065039"/>
    <w:rsid w:val="32553F47"/>
    <w:rsid w:val="37057BD3"/>
    <w:rsid w:val="37B671A6"/>
    <w:rsid w:val="3972570E"/>
    <w:rsid w:val="3B2F6531"/>
    <w:rsid w:val="3F9439A0"/>
    <w:rsid w:val="3FDA700E"/>
    <w:rsid w:val="439F2362"/>
    <w:rsid w:val="441B265B"/>
    <w:rsid w:val="44393120"/>
    <w:rsid w:val="44E133A1"/>
    <w:rsid w:val="465364D6"/>
    <w:rsid w:val="4682400F"/>
    <w:rsid w:val="47C0513B"/>
    <w:rsid w:val="49F8502C"/>
    <w:rsid w:val="4A4C12E5"/>
    <w:rsid w:val="4B091A91"/>
    <w:rsid w:val="4B532524"/>
    <w:rsid w:val="4B6D2F36"/>
    <w:rsid w:val="4CAC7ABF"/>
    <w:rsid w:val="4DCE7807"/>
    <w:rsid w:val="4E907704"/>
    <w:rsid w:val="4F9351E9"/>
    <w:rsid w:val="505779B3"/>
    <w:rsid w:val="51FB32FC"/>
    <w:rsid w:val="55485B36"/>
    <w:rsid w:val="55E55DA1"/>
    <w:rsid w:val="5857430B"/>
    <w:rsid w:val="58C70A4E"/>
    <w:rsid w:val="5B7F196C"/>
    <w:rsid w:val="60C2565D"/>
    <w:rsid w:val="62A20F5B"/>
    <w:rsid w:val="63E80705"/>
    <w:rsid w:val="65626472"/>
    <w:rsid w:val="6A6236B1"/>
    <w:rsid w:val="6B1B1866"/>
    <w:rsid w:val="6BE24273"/>
    <w:rsid w:val="6C0122AD"/>
    <w:rsid w:val="6C947729"/>
    <w:rsid w:val="6DA6548D"/>
    <w:rsid w:val="6EA6036C"/>
    <w:rsid w:val="73FE5E73"/>
    <w:rsid w:val="750C69D3"/>
    <w:rsid w:val="755B36FB"/>
    <w:rsid w:val="78B6784E"/>
    <w:rsid w:val="79E9647C"/>
    <w:rsid w:val="7A290CBE"/>
    <w:rsid w:val="7A4E6AAC"/>
    <w:rsid w:val="7A5549F4"/>
    <w:rsid w:val="7B1C2905"/>
    <w:rsid w:val="7D124E9F"/>
    <w:rsid w:val="7DBD122E"/>
    <w:rsid w:val="7DC94127"/>
    <w:rsid w:val="7DE22301"/>
    <w:rsid w:val="7DE92023"/>
    <w:rsid w:val="7E001BC6"/>
    <w:rsid w:val="7FFE0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footer"/>
    <w:basedOn w:val="1"/>
    <w:link w:val="16"/>
    <w:autoRedefine/>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006595"/>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6595"/>
      <w:u w:val="none"/>
    </w:rPr>
  </w:style>
  <w:style w:type="character" w:styleId="12">
    <w:name w:val="HTML Code"/>
    <w:basedOn w:val="7"/>
    <w:autoRedefine/>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13">
    <w:name w:val="HTML Keyboard"/>
    <w:basedOn w:val="7"/>
    <w:autoRedefine/>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autoRedefine/>
    <w:semiHidden/>
    <w:unhideWhenUsed/>
    <w:qFormat/>
    <w:uiPriority w:val="99"/>
    <w:rPr>
      <w:rFonts w:ascii="Consolas" w:hAnsi="Consolas" w:eastAsia="Consolas" w:cs="Consolas"/>
      <w:sz w:val="21"/>
      <w:szCs w:val="21"/>
    </w:rPr>
  </w:style>
  <w:style w:type="character" w:customStyle="1" w:styleId="15">
    <w:name w:val="页眉 Char"/>
    <w:basedOn w:val="7"/>
    <w:link w:val="4"/>
    <w:autoRedefine/>
    <w:qFormat/>
    <w:uiPriority w:val="99"/>
    <w:rPr>
      <w:sz w:val="18"/>
      <w:szCs w:val="18"/>
    </w:rPr>
  </w:style>
  <w:style w:type="character" w:customStyle="1" w:styleId="16">
    <w:name w:val="页脚 Char"/>
    <w:basedOn w:val="7"/>
    <w:link w:val="3"/>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star"/>
    <w:basedOn w:val="7"/>
    <w:autoRedefine/>
    <w:qFormat/>
    <w:uiPriority w:val="0"/>
    <w:rPr>
      <w:rFonts w:hint="default" w:ascii="FontAwesome" w:hAnsi="FontAwesome" w:eastAsia="FontAwesome" w:cs="FontAwesome"/>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15517</Words>
  <Characters>17462</Characters>
  <Lines>173</Lines>
  <Paragraphs>48</Paragraphs>
  <TotalTime>10</TotalTime>
  <ScaleCrop>false</ScaleCrop>
  <LinksUpToDate>false</LinksUpToDate>
  <CharactersWithSpaces>17620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2019-05-13T10:16:00Z</dcterms:created>
  <dc:creator>Windows 用户</dc:creator>
  <cp:lastModifiedBy>龙翔九天</cp:lastModifiedBy>
  <cp:lastPrinted>2020-09-17T08:15:00Z</cp:lastPrinted>
  <dcterms:modified xsi:type="dcterms:W3CDTF">2024-04-09T14:41:08Z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6A24B78BCAAC4F9CA0B84F46417C0488</vt:lpwstr>
  </property>
</Properties>
</file>