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52"/>
          <w:szCs w:val="52"/>
        </w:rPr>
      </w:pPr>
    </w:p>
    <w:p>
      <w:pPr>
        <w:jc w:val="center"/>
        <w:rPr>
          <w:rFonts w:ascii="黑体" w:hAnsi="黑体" w:eastAsia="黑体"/>
          <w:b/>
          <w:sz w:val="52"/>
          <w:szCs w:val="52"/>
        </w:rPr>
      </w:pPr>
      <w:r>
        <w:rPr>
          <w:rFonts w:hint="eastAsia" w:ascii="黑体" w:hAnsi="黑体" w:eastAsia="黑体"/>
          <w:b/>
          <w:sz w:val="52"/>
          <w:szCs w:val="52"/>
          <w:lang w:val="en-US" w:eastAsia="zh-CN"/>
        </w:rPr>
        <w:t>杂物</w:t>
      </w:r>
      <w:r>
        <w:rPr>
          <w:rFonts w:hint="eastAsia" w:ascii="黑体" w:hAnsi="黑体" w:eastAsia="黑体"/>
          <w:b/>
          <w:sz w:val="52"/>
          <w:szCs w:val="52"/>
        </w:rPr>
        <w:t>电梯施工自检报告</w:t>
      </w:r>
    </w:p>
    <w:p/>
    <w:p/>
    <w:p/>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使用单位名称：</w:t>
            </w:r>
          </w:p>
        </w:tc>
        <w:tc>
          <w:tcPr>
            <w:tcW w:w="5891" w:type="dxa"/>
            <w:tcBorders>
              <w:top w:val="nil"/>
              <w:left w:val="nil"/>
              <w:right w:val="nil"/>
            </w:tcBorders>
          </w:tcPr>
          <w:p>
            <w:pPr>
              <w:jc w:val="left"/>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设备代码：</w:t>
            </w:r>
          </w:p>
        </w:tc>
        <w:tc>
          <w:tcPr>
            <w:tcW w:w="5891" w:type="dxa"/>
            <w:tcBorders>
              <w:left w:val="nil"/>
              <w:right w:val="nil"/>
            </w:tcBorders>
          </w:tcPr>
          <w:p>
            <w:pPr>
              <w:rPr>
                <w:rFonts w:hint="default"/>
                <w:sz w:val="32"/>
                <w:szCs w:val="32"/>
                <w:lang w:val="en-US"/>
              </w:rPr>
            </w:pPr>
            <w:r>
              <w:rPr>
                <w:rFonts w:hint="eastAsia"/>
                <w:sz w:val="32"/>
                <w:szCs w:val="32"/>
              </w:rPr>
              <w:t xml:space="preserve">   </w:t>
            </w:r>
            <w:r>
              <w:rPr>
                <w:rFonts w:hint="eastAsia"/>
                <w:sz w:val="32"/>
                <w:szCs w:val="32"/>
                <w:lang w:val="en-US" w:eastAsia="zh-CN"/>
              </w:rPr>
              <w:t xml:space="preserve">         </w:t>
            </w:r>
            <w:r>
              <w:rPr>
                <w:rFonts w:hint="eastAsia" w:asciiTheme="minorEastAsia" w:hAnsiTheme="minorEastAsia"/>
                <w:b/>
                <w:sz w:val="28"/>
                <w:szCs w:val="28"/>
                <w:lang w:val="en-US" w:eastAsia="zh-CN"/>
              </w:rPr>
              <w:t>3430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设备类别：</w:t>
            </w:r>
          </w:p>
        </w:tc>
        <w:tc>
          <w:tcPr>
            <w:tcW w:w="5891" w:type="dxa"/>
            <w:tcBorders>
              <w:left w:val="nil"/>
              <w:right w:val="nil"/>
            </w:tcBorders>
          </w:tcPr>
          <w:p>
            <w:pPr>
              <w:rPr>
                <w:sz w:val="32"/>
                <w:szCs w:val="32"/>
              </w:rPr>
            </w:pPr>
            <w:r>
              <w:rPr>
                <w:rFonts w:hint="eastAsia"/>
                <w:sz w:val="32"/>
                <w:szCs w:val="32"/>
              </w:rPr>
              <w:t xml:space="preserve">    </w:t>
            </w:r>
            <w:r>
              <w:rPr>
                <w:rFonts w:hint="eastAsia"/>
                <w:sz w:val="32"/>
                <w:szCs w:val="32"/>
                <w:lang w:val="en-US" w:eastAsia="zh-CN"/>
              </w:rPr>
              <w:t xml:space="preserve">      </w:t>
            </w:r>
            <w:r>
              <w:rPr>
                <w:rFonts w:hint="eastAsia"/>
                <w:b/>
                <w:bCs/>
                <w:sz w:val="32"/>
                <w:szCs w:val="32"/>
                <w:lang w:val="en-US" w:eastAsia="zh-CN"/>
              </w:rPr>
              <w:t>其它类型电梯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设备品种：</w:t>
            </w:r>
          </w:p>
        </w:tc>
        <w:tc>
          <w:tcPr>
            <w:tcW w:w="5891" w:type="dxa"/>
            <w:tcBorders>
              <w:left w:val="nil"/>
              <w:right w:val="nil"/>
            </w:tcBorders>
          </w:tcPr>
          <w:p>
            <w:pPr>
              <w:rPr>
                <w:rFonts w:hint="eastAsia" w:eastAsiaTheme="minorEastAsia"/>
                <w:sz w:val="32"/>
                <w:szCs w:val="32"/>
                <w:lang w:eastAsia="zh-CN"/>
              </w:rPr>
            </w:pPr>
            <w:r>
              <w:rPr>
                <w:rFonts w:hint="eastAsia"/>
                <w:sz w:val="32"/>
                <w:szCs w:val="32"/>
              </w:rPr>
              <w:t xml:space="preserve">  </w:t>
            </w:r>
            <w:r>
              <w:rPr>
                <w:rFonts w:hint="eastAsia"/>
                <w:sz w:val="32"/>
                <w:szCs w:val="32"/>
                <w:lang w:val="en-US" w:eastAsia="zh-CN"/>
              </w:rPr>
              <w:t xml:space="preserve">          </w:t>
            </w:r>
            <w:r>
              <w:rPr>
                <w:rFonts w:hint="eastAsia" w:asciiTheme="minorEastAsia" w:hAnsiTheme="minorEastAsia"/>
                <w:b/>
                <w:sz w:val="28"/>
                <w:szCs w:val="28"/>
                <w:lang w:val="en-US" w:eastAsia="zh-CN"/>
              </w:rPr>
              <w:t>杂物电梯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施工类别：</w:t>
            </w:r>
          </w:p>
        </w:tc>
        <w:tc>
          <w:tcPr>
            <w:tcW w:w="5891" w:type="dxa"/>
            <w:tcBorders>
              <w:left w:val="nil"/>
              <w:right w:val="nil"/>
            </w:tcBorders>
            <w:vAlign w:val="center"/>
          </w:tcPr>
          <w:p>
            <w:pPr>
              <w:ind w:firstLine="275" w:firstLineChars="98"/>
              <w:rPr>
                <w:b/>
                <w:sz w:val="28"/>
                <w:szCs w:val="28"/>
              </w:rPr>
            </w:pPr>
            <w:r>
              <w:rPr>
                <w:rFonts w:hint="eastAsia" w:asciiTheme="minorEastAsia" w:hAnsiTheme="minorEastAsia"/>
                <w:b/>
                <w:sz w:val="28"/>
                <w:szCs w:val="28"/>
                <w:lang w:eastAsia="zh-CN"/>
              </w:rPr>
              <w:t>□</w:t>
            </w:r>
            <w:r>
              <w:rPr>
                <w:rFonts w:hint="eastAsia"/>
                <w:b/>
                <w:sz w:val="28"/>
                <w:szCs w:val="28"/>
              </w:rPr>
              <w:t>安装</w:t>
            </w:r>
            <w:r>
              <w:rPr>
                <w:rFonts w:hint="eastAsia"/>
                <w:b/>
                <w:sz w:val="28"/>
                <w:szCs w:val="28"/>
                <w:lang w:val="en-US" w:eastAsia="zh-CN"/>
              </w:rPr>
              <w:t xml:space="preserve">    </w:t>
            </w:r>
            <w:r>
              <w:rPr>
                <w:rFonts w:hint="eastAsia"/>
                <w:b/>
                <w:sz w:val="28"/>
                <w:szCs w:val="28"/>
              </w:rPr>
              <w:t xml:space="preserve"> </w:t>
            </w:r>
            <w:r>
              <w:rPr>
                <w:rFonts w:hint="eastAsia" w:ascii="宋体" w:hAnsi="宋体" w:eastAsia="宋体"/>
                <w:b/>
                <w:sz w:val="28"/>
                <w:szCs w:val="28"/>
                <w:lang w:eastAsia="zh-CN"/>
              </w:rPr>
              <w:t>□</w:t>
            </w:r>
            <w:r>
              <w:rPr>
                <w:rFonts w:hint="eastAsia"/>
                <w:b/>
                <w:sz w:val="28"/>
                <w:szCs w:val="28"/>
              </w:rPr>
              <w:t xml:space="preserve">改造    </w:t>
            </w:r>
            <w:r>
              <w:rPr>
                <w:rFonts w:hint="eastAsia" w:ascii="宋体" w:hAnsi="宋体" w:eastAsia="宋体"/>
                <w:b/>
                <w:sz w:val="28"/>
                <w:szCs w:val="28"/>
              </w:rPr>
              <w:t>□</w:t>
            </w:r>
            <w:r>
              <w:rPr>
                <w:rFonts w:hint="eastAsia"/>
                <w:b/>
                <w:sz w:val="28"/>
                <w:szCs w:val="28"/>
              </w:rPr>
              <w:t>重大修理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制造单位名称：</w:t>
            </w:r>
          </w:p>
        </w:tc>
        <w:tc>
          <w:tcPr>
            <w:tcW w:w="5891" w:type="dxa"/>
            <w:tcBorders>
              <w:left w:val="nil"/>
              <w:right w:val="nil"/>
            </w:tcBorders>
          </w:tcPr>
          <w:p>
            <w:pPr>
              <w:ind w:firstLine="640" w:firstLineChars="200"/>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施工单位名称：</w:t>
            </w:r>
          </w:p>
        </w:tc>
        <w:tc>
          <w:tcPr>
            <w:tcW w:w="5891" w:type="dxa"/>
            <w:tcBorders>
              <w:left w:val="nil"/>
              <w:right w:val="nil"/>
            </w:tcBorders>
          </w:tcPr>
          <w:p>
            <w:pPr>
              <w:ind w:firstLine="320" w:firstLineChars="100"/>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维护保养单位：</w:t>
            </w:r>
          </w:p>
        </w:tc>
        <w:tc>
          <w:tcPr>
            <w:tcW w:w="5891" w:type="dxa"/>
            <w:tcBorders>
              <w:left w:val="nil"/>
              <w:right w:val="nil"/>
            </w:tcBorders>
          </w:tcPr>
          <w:p>
            <w:pPr>
              <w:ind w:firstLine="320" w:firstLineChars="100"/>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施工开始日期：</w:t>
            </w:r>
          </w:p>
        </w:tc>
        <w:tc>
          <w:tcPr>
            <w:tcW w:w="5891" w:type="dxa"/>
            <w:tcBorders>
              <w:left w:val="nil"/>
              <w:right w:val="nil"/>
            </w:tcBorders>
          </w:tcPr>
          <w:p>
            <w:pPr>
              <w:rPr>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年  </w:t>
            </w:r>
            <w:r>
              <w:rPr>
                <w:rFonts w:hint="eastAsia"/>
                <w:sz w:val="32"/>
                <w:szCs w:val="32"/>
                <w:lang w:val="en-US" w:eastAsia="zh-CN"/>
              </w:rPr>
              <w:t xml:space="preserve">   </w:t>
            </w:r>
            <w:r>
              <w:rPr>
                <w:rFonts w:hint="eastAsia"/>
                <w:sz w:val="32"/>
                <w:szCs w:val="32"/>
              </w:rPr>
              <w:t xml:space="preserve">月  </w:t>
            </w:r>
            <w:r>
              <w:rPr>
                <w:rFonts w:hint="eastAsia"/>
                <w:sz w:val="32"/>
                <w:szCs w:val="32"/>
                <w:lang w:val="en-US" w:eastAsia="zh-CN"/>
              </w:rPr>
              <w:t xml:space="preserve">  </w:t>
            </w:r>
            <w:r>
              <w:rPr>
                <w:rFonts w:hint="eastAsia"/>
                <w:sz w:val="32"/>
                <w:szCs w:val="3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施工结束日期：</w:t>
            </w:r>
          </w:p>
        </w:tc>
        <w:tc>
          <w:tcPr>
            <w:tcW w:w="5891" w:type="dxa"/>
            <w:tcBorders>
              <w:left w:val="nil"/>
              <w:right w:val="nil"/>
            </w:tcBorders>
          </w:tcPr>
          <w:p>
            <w:pPr>
              <w:rPr>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 xml:space="preserve">月  </w:t>
            </w:r>
            <w:r>
              <w:rPr>
                <w:rFonts w:hint="eastAsia"/>
                <w:sz w:val="32"/>
                <w:szCs w:val="32"/>
                <w:lang w:val="en-US" w:eastAsia="zh-CN"/>
              </w:rPr>
              <w:t xml:space="preserve">   </w:t>
            </w:r>
            <w:r>
              <w:rPr>
                <w:rFonts w:hint="eastAsia"/>
                <w:sz w:val="32"/>
                <w:szCs w:val="32"/>
              </w:rPr>
              <w:t>日</w:t>
            </w:r>
          </w:p>
        </w:tc>
      </w:tr>
    </w:tbl>
    <w:p/>
    <w:p>
      <w:pPr>
        <w:widowControl/>
        <w:jc w:val="left"/>
      </w:pPr>
      <w:r>
        <w:br w:type="page"/>
      </w:r>
    </w:p>
    <w:p>
      <w:pPr>
        <w:spacing w:before="156" w:beforeLines="50" w:after="156" w:afterLines="50" w:line="440" w:lineRule="atLeast"/>
        <w:jc w:val="center"/>
        <w:rPr>
          <w:rFonts w:ascii="黑体" w:hAnsi="黑体" w:eastAsia="黑体"/>
          <w:sz w:val="32"/>
          <w:szCs w:val="32"/>
        </w:rPr>
      </w:pPr>
      <w:r>
        <w:rPr>
          <w:rFonts w:hint="eastAsia" w:ascii="黑体" w:hAnsi="黑体" w:eastAsia="黑体"/>
          <w:sz w:val="32"/>
          <w:szCs w:val="32"/>
        </w:rPr>
        <w:t>报告填写说明</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本报告书适用于曳引驱动电梯的安装（含移装）、改造、重大修理监督检验的自检，不适用于液压电梯、防爆电梯、杂物电梯、自动扶梯与自动人行道和消防员电梯；</w:t>
      </w:r>
    </w:p>
    <w:p>
      <w:pPr>
        <w:pStyle w:val="17"/>
        <w:numPr>
          <w:ilvl w:val="0"/>
          <w:numId w:val="1"/>
        </w:numPr>
        <w:spacing w:line="440" w:lineRule="atLeast"/>
        <w:ind w:firstLineChars="0"/>
        <w:jc w:val="left"/>
        <w:rPr>
          <w:rFonts w:asciiTheme="minorEastAsia" w:hAnsiTheme="minorEastAsia"/>
          <w:sz w:val="24"/>
          <w:szCs w:val="24"/>
        </w:rPr>
      </w:pPr>
      <w:r>
        <w:rPr>
          <w:rFonts w:asciiTheme="minorEastAsia" w:hAnsiTheme="minorEastAsia"/>
          <w:sz w:val="24"/>
          <w:szCs w:val="24"/>
        </w:rPr>
        <w:t>本报告书应使用黑色中性笔填写或使用计算机录入；</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本报告应在曳引驱动电梯现场检验环节及试验环节提供；</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自检结果填写检验合格项填写“○”、不合格项填写“×”、无此项填“/”，；</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有测试数据的项目将自检结果填写在自检结果栏中，测试数据填写在数据填写表相应的栏目中，有计算过程的需填写计算过程；</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本报告项目全部合格，报告结论判定为合格；</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对于安装（包括移装）及重大修理施工，本报告的结论页需有施工单位技术负责人与自检人员（注</w:t>
      </w:r>
      <w:r>
        <w:rPr>
          <w:rFonts w:hint="eastAsia" w:asciiTheme="minorEastAsia" w:hAnsiTheme="minorEastAsia"/>
          <w:sz w:val="24"/>
          <w:szCs w:val="24"/>
          <w:lang w:val="en-US" w:eastAsia="zh-CN"/>
        </w:rPr>
        <w:t>1</w:t>
      </w:r>
      <w:r>
        <w:rPr>
          <w:rFonts w:hint="eastAsia" w:asciiTheme="minorEastAsia" w:hAnsiTheme="minorEastAsia"/>
          <w:sz w:val="24"/>
          <w:szCs w:val="24"/>
        </w:rPr>
        <w:t>）签字，加盖安装单位公章或检验专用章，并经受检电梯制造单位确认并加盖公章或检验专用章后方可生效；</w:t>
      </w:r>
    </w:p>
    <w:p>
      <w:pPr>
        <w:pStyle w:val="17"/>
        <w:numPr>
          <w:ilvl w:val="0"/>
          <w:numId w:val="1"/>
        </w:numPr>
        <w:spacing w:line="440" w:lineRule="atLeast"/>
        <w:ind w:firstLineChars="0"/>
        <w:jc w:val="left"/>
        <w:rPr>
          <w:rFonts w:asciiTheme="minorEastAsia" w:hAnsiTheme="minorEastAsia"/>
          <w:sz w:val="24"/>
          <w:szCs w:val="24"/>
        </w:rPr>
      </w:pPr>
      <w:r>
        <w:rPr>
          <w:rFonts w:asciiTheme="minorEastAsia" w:hAnsiTheme="minorEastAsia"/>
          <w:sz w:val="24"/>
          <w:szCs w:val="24"/>
        </w:rPr>
        <w:t>对于改造电梯，</w:t>
      </w:r>
      <w:r>
        <w:rPr>
          <w:rFonts w:hint="eastAsia" w:asciiTheme="minorEastAsia" w:hAnsiTheme="minorEastAsia"/>
          <w:sz w:val="24"/>
          <w:szCs w:val="24"/>
        </w:rPr>
        <w:t>本报告的结论页需有施工单位技术负责人与自检人员签字，加盖改造单位公章或检验专用章，并经改造单位确认加盖公章或检验专用章，否则无效。</w:t>
      </w:r>
    </w:p>
    <w:p>
      <w:pPr>
        <w:widowControl/>
        <w:spacing w:line="440" w:lineRule="atLeast"/>
        <w:jc w:val="left"/>
        <w:rPr>
          <w:sz w:val="48"/>
          <w:szCs w:val="48"/>
        </w:rPr>
      </w:pPr>
      <w:r>
        <w:rPr>
          <w:rFonts w:hint="eastAsia" w:asciiTheme="minorEastAsia" w:hAnsiTheme="minorEastAsia"/>
          <w:b/>
          <w:szCs w:val="21"/>
        </w:rPr>
        <w:t>注</w:t>
      </w:r>
      <w:r>
        <w:rPr>
          <w:rFonts w:hint="eastAsia" w:asciiTheme="minorEastAsia" w:hAnsiTheme="minorEastAsia"/>
          <w:b/>
          <w:szCs w:val="21"/>
          <w:lang w:val="en-US" w:eastAsia="zh-CN"/>
        </w:rPr>
        <w:t>1</w:t>
      </w:r>
      <w:r>
        <w:rPr>
          <w:rFonts w:hint="eastAsia" w:asciiTheme="minorEastAsia" w:hAnsiTheme="minorEastAsia"/>
          <w:b/>
          <w:szCs w:val="21"/>
        </w:rPr>
        <w:t>：自检人员应为施工单位的持有相应证书的人员。</w:t>
      </w:r>
      <w:r>
        <w:rPr>
          <w:sz w:val="48"/>
          <w:szCs w:val="48"/>
        </w:rPr>
        <w:br w:type="page"/>
      </w:r>
    </w:p>
    <w:tbl>
      <w:tblPr>
        <w:tblStyle w:val="5"/>
        <w:tblpPr w:leftFromText="180" w:rightFromText="180" w:vertAnchor="text" w:horzAnchor="page" w:tblpXSpec="center" w:tblpY="297"/>
        <w:tblOverlap w:val="never"/>
        <w:tblW w:w="5000" w:type="pct"/>
        <w:jc w:val="center"/>
        <w:shd w:val="clear" w:color="auto" w:fill="auto"/>
        <w:tblLayout w:type="fixed"/>
        <w:tblCellMar>
          <w:top w:w="0" w:type="dxa"/>
          <w:left w:w="108" w:type="dxa"/>
          <w:bottom w:w="0" w:type="dxa"/>
          <w:right w:w="108" w:type="dxa"/>
        </w:tblCellMar>
      </w:tblPr>
      <w:tblGrid>
        <w:gridCol w:w="2736"/>
        <w:gridCol w:w="1195"/>
        <w:gridCol w:w="651"/>
        <w:gridCol w:w="128"/>
        <w:gridCol w:w="1657"/>
        <w:gridCol w:w="2155"/>
      </w:tblGrid>
      <w:tr>
        <w:tblPrEx>
          <w:shd w:val="clear" w:color="auto" w:fill="auto"/>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基本信息</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nil"/>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设备号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nil"/>
              <w:left w:val="nil"/>
              <w:bottom w:val="single" w:color="000000" w:sz="4" w:space="0"/>
              <w:right w:val="single" w:color="000000" w:sz="4" w:space="0"/>
            </w:tcBorders>
            <w:shd w:val="clear" w:color="auto" w:fill="auto"/>
            <w:noWrap/>
            <w:vAlign w:val="center"/>
          </w:tcPr>
          <w:p>
            <w:pPr>
              <w:jc w:val="center"/>
            </w:pPr>
            <w:r>
              <w:rPr>
                <w:rFonts w:hint="eastAsia"/>
                <w:kern w:val="0"/>
              </w:rPr>
              <w:t>设备品种</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型号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kern w:val="0"/>
              </w:rPr>
              <w:t>产品编号</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设备代码</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kern w:val="0"/>
              </w:rPr>
              <w:t>制造日期</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位置信息</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安装地区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kern w:val="0"/>
              </w:rPr>
              <w:t>安装地点</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设备经度(东经E)</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设备纬度（北纬N）</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使用信息</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使用单位名称</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使用单位地址</w:t>
            </w:r>
          </w:p>
        </w:tc>
        <w:tc>
          <w:tcPr>
            <w:tcW w:w="3394" w:type="pct"/>
            <w:gridSpan w:val="5"/>
            <w:tcBorders>
              <w:top w:val="single" w:color="000000" w:sz="4" w:space="0"/>
              <w:left w:val="nil"/>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kern w:val="0"/>
              </w:rPr>
              <w:t>使用单位代码</w:t>
            </w:r>
          </w:p>
        </w:tc>
        <w:tc>
          <w:tcPr>
            <w:tcW w:w="3394" w:type="pct"/>
            <w:gridSpan w:val="5"/>
            <w:tcBorders>
              <w:top w:val="single" w:color="000000" w:sz="4" w:space="0"/>
              <w:left w:val="nil"/>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安全管理部门</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部门名称</w:t>
            </w:r>
          </w:p>
        </w:tc>
        <w:tc>
          <w:tcPr>
            <w:tcW w:w="26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是否分支机构</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地址</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kern w:val="0"/>
              </w:rPr>
              <w:t>制造信息</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制造单位名称</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制造单位许可证编号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制造许可证级别</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施工信息</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安装单位名称</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FFFFFF"/>
              </w:rPr>
            </w:pPr>
            <w:r>
              <w:rPr>
                <w:rFonts w:hint="eastAsia"/>
                <w:kern w:val="0"/>
              </w:rPr>
              <w:t>安装许可证编号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安装许可证级别</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FFFFFF"/>
              </w:rPr>
            </w:pPr>
            <w:r>
              <w:rPr>
                <w:rFonts w:hint="eastAsia"/>
                <w:kern w:val="0"/>
              </w:rPr>
              <w:t>安装单位联系人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rPr>
              <w:t>安装单位联系人电话</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kern w:val="0"/>
              </w:rPr>
            </w:pPr>
            <w:r>
              <w:rPr>
                <w:rFonts w:hint="eastAsia"/>
                <w:kern w:val="0"/>
                <w:highlight w:val="green"/>
              </w:rPr>
              <w:t>安装结束日期</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改造单位名称</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改造单位许可证编号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改造许可证级别</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FFFFFF"/>
              </w:rPr>
            </w:pPr>
            <w:r>
              <w:rPr>
                <w:rFonts w:hint="eastAsia"/>
                <w:kern w:val="0"/>
              </w:rPr>
              <w:t>改造单位联系人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改造单位联系人电话</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FFFFFF"/>
              </w:rPr>
            </w:pPr>
            <w:r>
              <w:rPr>
                <w:rFonts w:hint="eastAsia"/>
                <w:kern w:val="0"/>
              </w:rPr>
              <w:t>改造日期</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重大修理单位名称</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重大修理单位许可证编号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重大修理许可证级别</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重大修理单位负责人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重大修理单位联系人</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重大修理单位联系电话</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重大修理日期</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维保信息</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维护保养单位名称</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维保单位许可证编号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维保许可证级别</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许可证有效期</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维保救援电话</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注册信息</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使用登记证编号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注册代码</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管理信息</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kern w:val="0"/>
              </w:rPr>
              <w:t>安全管理人员</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kern w:val="0"/>
              </w:rPr>
              <w:t>使用救援电话</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kern w:val="0"/>
              </w:rPr>
              <w:t>场所性质</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kern w:val="0"/>
              </w:rPr>
              <w:t>使用单位内部编号</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kern w:val="0"/>
              </w:rPr>
            </w:pPr>
            <w:r>
              <w:rPr>
                <w:rFonts w:hint="eastAsia"/>
                <w:kern w:val="0"/>
              </w:rPr>
              <w:t>是否有机房</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kern w:val="0"/>
              </w:rPr>
            </w:pPr>
            <w:r>
              <w:rPr>
                <w:rFonts w:hint="eastAsia"/>
                <w:kern w:val="0"/>
              </w:rPr>
              <w:t>是</w:t>
            </w: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rPr>
            </w:pPr>
            <w:r>
              <w:rPr>
                <w:rFonts w:hint="eastAsia"/>
                <w:kern w:val="0"/>
              </w:rPr>
              <w:t>是否旧楼加装电梯</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kern w:val="0"/>
              </w:rPr>
            </w:pPr>
            <w:r>
              <w:rPr>
                <w:rFonts w:hint="eastAsia"/>
                <w:kern w:val="0"/>
              </w:rPr>
              <w:t>否</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kern w:val="0"/>
              </w:rPr>
            </w:pPr>
            <w:r>
              <w:rPr>
                <w:rFonts w:hint="eastAsia"/>
                <w:kern w:val="0"/>
              </w:rPr>
              <w:t>是否特种设备</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kern w:val="0"/>
              </w:rPr>
            </w:pPr>
            <w:r>
              <w:rPr>
                <w:rFonts w:hint="eastAsia"/>
                <w:kern w:val="0"/>
              </w:rPr>
              <w:t>是</w:t>
            </w: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kern w:val="0"/>
              </w:rPr>
              <w:t>是否公众聚集场所</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否</w:t>
            </w:r>
          </w:p>
        </w:tc>
      </w:tr>
      <w:tr>
        <w:tblPrEx>
          <w:shd w:val="clear" w:color="auto" w:fill="auto"/>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技术参数</w:t>
            </w:r>
          </w:p>
        </w:tc>
      </w:tr>
      <w:tr>
        <w:tblPrEx>
          <w:shd w:val="clear" w:color="auto" w:fill="auto"/>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（一）基本参数</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额定载重量</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pPr>
          </w:p>
        </w:tc>
        <w:tc>
          <w:tcPr>
            <w:tcW w:w="457"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kern w:val="0"/>
              </w:rPr>
              <w:t>kg</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kern w:val="0"/>
              </w:rPr>
              <w:t>额定速度</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m/s</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rPr>
            </w:pPr>
            <w:r>
              <w:rPr>
                <w:rFonts w:hint="eastAsia"/>
                <w:kern w:val="0"/>
              </w:rPr>
              <w:t>提升高度</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pPr>
          </w:p>
        </w:tc>
        <w:tc>
          <w:tcPr>
            <w:tcW w:w="2693" w:type="pct"/>
            <w:gridSpan w:val="4"/>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rPr>
              <w:t>m</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层数</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pPr>
          </w:p>
        </w:tc>
        <w:tc>
          <w:tcPr>
            <w:tcW w:w="457"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kern w:val="0"/>
              </w:rPr>
              <w:t>层</w:t>
            </w:r>
          </w:p>
        </w:tc>
        <w:tc>
          <w:tcPr>
            <w:tcW w:w="972" w:type="pct"/>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kern w:val="0"/>
              </w:rPr>
              <w:t>站数</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站</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门数</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pPr>
          </w:p>
        </w:tc>
        <w:tc>
          <w:tcPr>
            <w:tcW w:w="457"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kern w:val="0"/>
              </w:rPr>
              <w:t>门</w:t>
            </w:r>
          </w:p>
        </w:tc>
        <w:tc>
          <w:tcPr>
            <w:tcW w:w="972" w:type="pct"/>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kern w:val="0"/>
              </w:rPr>
              <w:t>轿厢高</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m</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轿厢宽</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pPr>
          </w:p>
        </w:tc>
        <w:tc>
          <w:tcPr>
            <w:tcW w:w="457" w:type="pct"/>
            <w:gridSpan w:val="2"/>
            <w:tcBorders>
              <w:top w:val="single" w:color="000000" w:sz="4" w:space="0"/>
              <w:left w:val="nil"/>
              <w:bottom w:val="single" w:color="000000" w:sz="4" w:space="0"/>
              <w:right w:val="single" w:color="auto" w:sz="4" w:space="0"/>
            </w:tcBorders>
            <w:shd w:val="clear" w:color="auto" w:fill="auto"/>
            <w:noWrap/>
            <w:vAlign w:val="center"/>
          </w:tcPr>
          <w:p>
            <w:pPr>
              <w:jc w:val="center"/>
            </w:pPr>
            <w:r>
              <w:rPr>
                <w:rFonts w:hint="eastAsia"/>
                <w:kern w:val="0"/>
              </w:rPr>
              <w:t>m</w:t>
            </w:r>
          </w:p>
        </w:tc>
        <w:tc>
          <w:tcPr>
            <w:tcW w:w="97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pPr>
            <w:r>
              <w:rPr>
                <w:rFonts w:hint="eastAsia"/>
                <w:kern w:val="0"/>
              </w:rPr>
              <w:t>轿厢深</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m</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轿厢间隔数</w:t>
            </w:r>
          </w:p>
        </w:tc>
        <w:tc>
          <w:tcPr>
            <w:tcW w:w="1158"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pPr>
          </w:p>
        </w:tc>
        <w:tc>
          <w:tcPr>
            <w:tcW w:w="97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kern w:val="0"/>
              </w:rPr>
            </w:pPr>
            <w:r>
              <w:rPr>
                <w:rFonts w:hint="eastAsia"/>
                <w:kern w:val="0"/>
              </w:rPr>
              <w:t>控制方式</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开门方式</w:t>
            </w:r>
          </w:p>
        </w:tc>
        <w:tc>
          <w:tcPr>
            <w:tcW w:w="1158"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pPr>
          </w:p>
        </w:tc>
        <w:tc>
          <w:tcPr>
            <w:tcW w:w="97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kern w:val="0"/>
              </w:rPr>
            </w:pPr>
            <w:r>
              <w:rPr>
                <w:rFonts w:hint="eastAsia"/>
                <w:kern w:val="0"/>
              </w:rPr>
              <w:t>开门方向</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井道/底坑是否可进人</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pPr>
          </w:p>
        </w:tc>
        <w:tc>
          <w:tcPr>
            <w:tcW w:w="457"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缓冲器型式</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kern w:val="0"/>
              </w:rPr>
            </w:pPr>
            <w:r>
              <w:rPr>
                <w:rFonts w:hint="eastAsia"/>
                <w:kern w:val="0"/>
              </w:rPr>
              <w:t>是否单根悬挂</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pPr>
          </w:p>
        </w:tc>
        <w:tc>
          <w:tcPr>
            <w:tcW w:w="457"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kern w:val="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kern w:val="0"/>
              </w:rPr>
            </w:pPr>
            <w:r>
              <w:rPr>
                <w:rFonts w:hint="eastAsia"/>
                <w:kern w:val="0"/>
              </w:rPr>
              <w:t>整机防爆标志</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rPr>
              <w:t>区域防爆等级</w:t>
            </w:r>
          </w:p>
        </w:tc>
        <w:tc>
          <w:tcPr>
            <w:tcW w:w="701" w:type="pct"/>
            <w:tcBorders>
              <w:top w:val="nil"/>
              <w:left w:val="nil"/>
              <w:bottom w:val="single" w:color="000000" w:sz="4" w:space="0"/>
              <w:right w:val="nil"/>
            </w:tcBorders>
            <w:shd w:val="clear" w:color="auto" w:fill="auto"/>
            <w:noWrap/>
            <w:vAlign w:val="center"/>
          </w:tcPr>
          <w:p>
            <w:pPr>
              <w:jc w:val="center"/>
            </w:pPr>
          </w:p>
        </w:tc>
        <w:tc>
          <w:tcPr>
            <w:tcW w:w="457"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FFFFFF"/>
              </w:rPr>
            </w:pPr>
            <w:r>
              <w:rPr>
                <w:rFonts w:hint="eastAsia"/>
              </w:rPr>
              <w:t>使用环境</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rPr>
              <w:t>油缸数量</w:t>
            </w:r>
          </w:p>
        </w:tc>
        <w:tc>
          <w:tcPr>
            <w:tcW w:w="701" w:type="pct"/>
            <w:tcBorders>
              <w:top w:val="nil"/>
              <w:left w:val="nil"/>
              <w:bottom w:val="single" w:color="000000" w:sz="4" w:space="0"/>
              <w:right w:val="nil"/>
            </w:tcBorders>
            <w:shd w:val="clear" w:color="auto" w:fill="auto"/>
            <w:noWrap/>
            <w:vAlign w:val="center"/>
          </w:tcPr>
          <w:p>
            <w:pPr>
              <w:jc w:val="center"/>
            </w:pPr>
          </w:p>
        </w:tc>
        <w:tc>
          <w:tcPr>
            <w:tcW w:w="457"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rPr>
              <w:t>顶升方式</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（二）杂物电梯参数</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FFFFFF"/>
              </w:rPr>
            </w:pPr>
            <w:r>
              <w:rPr>
                <w:rFonts w:hint="eastAsia"/>
                <w:color w:val="FFFFFF"/>
                <w:kern w:val="0"/>
              </w:rPr>
              <w:t>曳</w:t>
            </w:r>
            <w:r>
              <w:rPr>
                <w:rFonts w:hint="eastAsia"/>
                <w:kern w:val="0"/>
              </w:rPr>
              <w:t>曳引绳根数</w:t>
            </w:r>
            <w:r>
              <w:rPr>
                <w:rFonts w:hint="eastAsia"/>
                <w:color w:val="FFFFFF"/>
                <w:kern w:val="0"/>
              </w:rPr>
              <w:t>数</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pPr>
          </w:p>
        </w:tc>
        <w:tc>
          <w:tcPr>
            <w:tcW w:w="457"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kern w:val="0"/>
              </w:rPr>
              <w:t>根</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曳引绳直径</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mm</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曳引轮节径</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pPr>
          </w:p>
        </w:tc>
        <w:tc>
          <w:tcPr>
            <w:tcW w:w="457"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kern w:val="0"/>
              </w:rPr>
              <w:t>mm</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曳引比</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bl>
    <w:p>
      <w:pPr>
        <w:rPr>
          <w:rFonts w:ascii="黑体" w:hAnsi="黑体" w:eastAsia="黑体"/>
          <w:b/>
          <w:sz w:val="28"/>
          <w:szCs w:val="28"/>
        </w:rPr>
      </w:pPr>
    </w:p>
    <w:p/>
    <w:tbl>
      <w:tblPr>
        <w:tblStyle w:val="6"/>
        <w:tblW w:w="82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trPr>
        <w:tc>
          <w:tcPr>
            <w:tcW w:w="8296" w:type="dxa"/>
            <w:tcBorders>
              <w:top w:val="nil"/>
              <w:left w:val="nil"/>
              <w:bottom w:val="single" w:color="auto" w:sz="4" w:space="0"/>
              <w:right w:val="nil"/>
            </w:tcBorders>
            <w:vAlign w:val="center"/>
          </w:tcPr>
          <w:p>
            <w:pPr>
              <w:spacing w:line="440" w:lineRule="atLeast"/>
              <w:jc w:val="left"/>
              <w:rPr>
                <w:rFonts w:ascii="黑体" w:hAnsi="黑体" w:eastAsia="黑体"/>
                <w:b/>
                <w:sz w:val="28"/>
                <w:szCs w:val="28"/>
              </w:rPr>
            </w:pPr>
            <w:r>
              <w:rPr>
                <w:rFonts w:ascii="黑体" w:hAnsi="黑体" w:eastAsia="黑体"/>
                <w:b/>
                <w:sz w:val="28"/>
                <w:szCs w:val="28"/>
              </w:rPr>
              <w:t>自检结论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96" w:type="dxa"/>
            <w:tcBorders>
              <w:bottom w:val="single" w:color="auto" w:sz="4" w:space="0"/>
            </w:tcBorders>
            <w:vAlign w:val="center"/>
          </w:tcPr>
          <w:p>
            <w:pPr>
              <w:spacing w:before="156" w:beforeLines="50" w:after="156" w:afterLines="50" w:line="440" w:lineRule="atLeast"/>
              <w:jc w:val="left"/>
              <w:rPr>
                <w:rFonts w:ascii="黑体" w:hAnsi="黑体" w:eastAsia="黑体"/>
                <w:b/>
                <w:sz w:val="28"/>
                <w:szCs w:val="28"/>
              </w:rPr>
            </w:pPr>
            <w:r>
              <w:rPr>
                <w:rFonts w:ascii="黑体" w:hAnsi="黑体" w:eastAsia="黑体"/>
                <w:b/>
                <w:sz w:val="28"/>
                <w:szCs w:val="28"/>
              </w:rPr>
              <w:t>检验结论：</w:t>
            </w:r>
            <w:r>
              <w:rPr>
                <w:rFonts w:hint="eastAsia" w:ascii="黑体" w:hAnsi="黑体" w:eastAsia="黑体"/>
                <w:b/>
                <w:sz w:val="28"/>
                <w:szCs w:val="28"/>
              </w:rPr>
              <w:t xml:space="preserve">           </w:t>
            </w:r>
            <w:r>
              <w:rPr>
                <w:rFonts w:hint="eastAsia" w:ascii="黑体" w:hAnsi="黑体" w:eastAsia="黑体"/>
                <w:b/>
                <w:sz w:val="28"/>
                <w:szCs w:val="28"/>
                <w:lang w:eastAsia="zh-CN"/>
              </w:rPr>
              <w:t>□</w:t>
            </w:r>
            <w:r>
              <w:rPr>
                <w:rFonts w:ascii="黑体" w:hAnsi="黑体" w:eastAsia="黑体"/>
                <w:b/>
                <w:sz w:val="28"/>
                <w:szCs w:val="28"/>
              </w:rPr>
              <w:t>合格</w:t>
            </w:r>
            <w:r>
              <w:rPr>
                <w:rFonts w:hint="eastAsia" w:ascii="黑体" w:hAnsi="黑体" w:eastAsia="黑体"/>
                <w:b/>
                <w:sz w:val="28"/>
                <w:szCs w:val="28"/>
              </w:rPr>
              <w:t xml:space="preserve">    □不合格</w:t>
            </w:r>
          </w:p>
          <w:p>
            <w:pPr>
              <w:spacing w:before="156" w:beforeLines="50" w:after="156" w:afterLines="50" w:line="440" w:lineRule="atLeast"/>
              <w:jc w:val="left"/>
              <w:rPr>
                <w:rFonts w:ascii="黑体" w:hAnsi="黑体" w:eastAsia="黑体"/>
                <w:b/>
                <w:sz w:val="28"/>
                <w:szCs w:val="28"/>
              </w:rPr>
            </w:pPr>
            <w:r>
              <w:rPr>
                <w:rFonts w:hint="eastAsia" w:ascii="黑体" w:hAnsi="黑体" w:eastAsia="黑体"/>
                <w:b/>
                <w:sz w:val="28"/>
                <w:szCs w:val="28"/>
              </w:rPr>
              <w:t>自检人员（签章）：</w:t>
            </w:r>
          </w:p>
          <w:p>
            <w:pPr>
              <w:spacing w:before="156" w:beforeLines="50" w:after="156" w:afterLines="50" w:line="440" w:lineRule="atLeast"/>
              <w:jc w:val="left"/>
              <w:rPr>
                <w:rFonts w:ascii="黑体" w:hAnsi="黑体" w:eastAsia="黑体"/>
                <w:b/>
                <w:sz w:val="28"/>
                <w:szCs w:val="28"/>
              </w:rPr>
            </w:pPr>
            <w:r>
              <w:rPr>
                <w:rFonts w:ascii="黑体" w:hAnsi="黑体" w:eastAsia="黑体"/>
                <w:b/>
                <w:sz w:val="28"/>
                <w:szCs w:val="28"/>
              </w:rPr>
              <w:t>技术负责人（签章）：</w:t>
            </w:r>
          </w:p>
          <w:p>
            <w:pPr>
              <w:spacing w:before="156" w:beforeLines="50" w:after="156" w:afterLines="50" w:line="440" w:lineRule="atLeast"/>
              <w:ind w:firstLine="5138" w:firstLineChars="1828"/>
              <w:jc w:val="left"/>
              <w:rPr>
                <w:rFonts w:ascii="黑体" w:hAnsi="黑体" w:eastAsia="黑体"/>
                <w:b/>
                <w:sz w:val="28"/>
                <w:szCs w:val="28"/>
              </w:rPr>
            </w:pPr>
            <w:r>
              <w:rPr>
                <w:rFonts w:hint="eastAsia" w:ascii="黑体" w:hAnsi="黑体" w:eastAsia="黑体"/>
                <w:b/>
                <w:sz w:val="28"/>
                <w:szCs w:val="28"/>
              </w:rPr>
              <w:t>施工单位（盖章）</w:t>
            </w:r>
          </w:p>
          <w:p>
            <w:pPr>
              <w:spacing w:before="156" w:beforeLines="50" w:after="156" w:afterLines="50" w:line="440" w:lineRule="atLeast"/>
              <w:ind w:firstLine="5138" w:firstLineChars="1828"/>
              <w:jc w:val="left"/>
              <w:rPr>
                <w:rFonts w:ascii="黑体" w:hAnsi="黑体" w:eastAsia="黑体"/>
                <w:b/>
                <w:sz w:val="28"/>
                <w:szCs w:val="28"/>
              </w:rPr>
            </w:pPr>
            <w:r>
              <w:rPr>
                <w:rFonts w:ascii="黑体" w:hAnsi="黑体" w:eastAsia="黑体"/>
                <w:b/>
                <w:sz w:val="28"/>
                <w:szCs w:val="28"/>
              </w:rPr>
              <w:t>年</w:t>
            </w:r>
            <w:r>
              <w:rPr>
                <w:rFonts w:hint="eastAsia" w:ascii="黑体" w:hAnsi="黑体" w:eastAsia="黑体"/>
                <w:b/>
                <w:sz w:val="28"/>
                <w:szCs w:val="28"/>
              </w:rPr>
              <w:t xml:space="preserve">    月    日</w:t>
            </w:r>
          </w:p>
        </w:tc>
      </w:tr>
    </w:tbl>
    <w:p>
      <w:pPr>
        <w:jc w:val="center"/>
      </w:pPr>
    </w:p>
    <w:tbl>
      <w:tblPr>
        <w:tblStyle w:val="6"/>
        <w:tblW w:w="82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96" w:type="dxa"/>
            <w:tcBorders>
              <w:top w:val="nil"/>
              <w:left w:val="nil"/>
              <w:right w:val="nil"/>
            </w:tcBorders>
          </w:tcPr>
          <w:p>
            <w:pPr>
              <w:tabs>
                <w:tab w:val="left" w:pos="2925"/>
              </w:tabs>
              <w:spacing w:line="440" w:lineRule="atLeast"/>
              <w:jc w:val="left"/>
              <w:rPr>
                <w:rFonts w:ascii="黑体" w:hAnsi="黑体" w:eastAsia="黑体"/>
                <w:b/>
                <w:sz w:val="28"/>
                <w:szCs w:val="28"/>
              </w:rPr>
            </w:pPr>
            <w:r>
              <w:br w:type="page"/>
            </w:r>
            <w:r>
              <w:rPr>
                <w:rFonts w:hint="eastAsia" w:ascii="黑体" w:hAnsi="黑体" w:eastAsia="黑体"/>
                <w:b/>
                <w:sz w:val="28"/>
                <w:szCs w:val="28"/>
              </w:rPr>
              <w:t>七</w:t>
            </w:r>
            <w:r>
              <w:rPr>
                <w:rFonts w:ascii="黑体" w:hAnsi="黑体" w:eastAsia="黑体"/>
                <w:b/>
                <w:sz w:val="28"/>
                <w:szCs w:val="28"/>
              </w:rPr>
              <w:t>、制造单位确认</w:t>
            </w:r>
            <w:r>
              <w:rPr>
                <w:rFonts w:ascii="黑体" w:hAnsi="黑体" w:eastAsia="黑体"/>
                <w:b/>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96" w:type="dxa"/>
          </w:tcPr>
          <w:p>
            <w:pPr>
              <w:spacing w:before="156" w:beforeLines="50" w:after="156" w:afterLines="50" w:line="440" w:lineRule="atLeast"/>
              <w:ind w:firstLine="562" w:firstLineChars="200"/>
              <w:rPr>
                <w:rFonts w:ascii="黑体" w:hAnsi="黑体" w:eastAsia="黑体"/>
                <w:b/>
                <w:sz w:val="28"/>
                <w:szCs w:val="28"/>
              </w:rPr>
            </w:pPr>
            <w:r>
              <w:rPr>
                <w:rFonts w:ascii="黑体" w:hAnsi="黑体" w:eastAsia="黑体"/>
                <w:b/>
                <w:sz w:val="28"/>
                <w:szCs w:val="28"/>
              </w:rPr>
              <w:t>我司已对产品编号为</w:t>
            </w:r>
            <w:r>
              <w:rPr>
                <w:rFonts w:hint="eastAsia"/>
                <w:color w:val="0000FF"/>
                <w:sz w:val="28"/>
                <w:szCs w:val="28"/>
                <w:u w:val="single"/>
                <w:lang w:val="en-US" w:eastAsia="zh-CN"/>
              </w:rPr>
              <w:t xml:space="preserve">            </w:t>
            </w:r>
            <w:r>
              <w:rPr>
                <w:rFonts w:hint="eastAsia" w:ascii="黑体" w:hAnsi="黑体" w:eastAsia="黑体"/>
                <w:b/>
                <w:sz w:val="28"/>
                <w:szCs w:val="28"/>
              </w:rPr>
              <w:t>的</w:t>
            </w:r>
            <w:r>
              <w:rPr>
                <w:rFonts w:hint="eastAsia" w:ascii="黑体" w:hAnsi="黑体" w:eastAsia="黑体"/>
                <w:b/>
                <w:sz w:val="28"/>
                <w:szCs w:val="28"/>
                <w:lang w:val="en-US" w:eastAsia="zh-CN"/>
              </w:rPr>
              <w:t>杂物</w:t>
            </w:r>
            <w:r>
              <w:rPr>
                <w:rFonts w:hint="eastAsia" w:ascii="黑体" w:hAnsi="黑体" w:eastAsia="黑体"/>
                <w:b/>
                <w:sz w:val="28"/>
                <w:szCs w:val="28"/>
              </w:rPr>
              <w:t>电梯</w:t>
            </w:r>
            <w:r>
              <w:rPr>
                <w:rFonts w:ascii="黑体" w:hAnsi="黑体" w:eastAsia="黑体"/>
                <w:b/>
                <w:sz w:val="28"/>
                <w:szCs w:val="28"/>
              </w:rPr>
              <w:t>进行厂检并合格，且确认上述自检结论，并同意施工单位</w:t>
            </w:r>
            <w:r>
              <w:rPr>
                <w:rFonts w:hint="eastAsia" w:ascii="黑体" w:hAnsi="黑体" w:eastAsia="黑体"/>
                <w:b/>
                <w:sz w:val="28"/>
                <w:szCs w:val="28"/>
                <w:lang w:val="en-US" w:eastAsia="zh-CN"/>
              </w:rPr>
              <w:t>申报现场监督</w:t>
            </w:r>
            <w:r>
              <w:rPr>
                <w:rFonts w:ascii="黑体" w:hAnsi="黑体" w:eastAsia="黑体"/>
                <w:b/>
                <w:sz w:val="28"/>
                <w:szCs w:val="28"/>
              </w:rPr>
              <w:t>检验。</w:t>
            </w:r>
          </w:p>
          <w:p>
            <w:pPr>
              <w:spacing w:before="156" w:beforeLines="50" w:after="156" w:afterLines="50" w:line="440" w:lineRule="atLeast"/>
              <w:rPr>
                <w:rFonts w:ascii="黑体" w:hAnsi="黑体" w:eastAsia="黑体"/>
                <w:b/>
                <w:sz w:val="28"/>
                <w:szCs w:val="28"/>
              </w:rPr>
            </w:pPr>
            <w:r>
              <w:rPr>
                <w:rFonts w:ascii="黑体" w:hAnsi="黑体" w:eastAsia="黑体"/>
                <w:b/>
                <w:sz w:val="28"/>
                <w:szCs w:val="28"/>
              </w:rPr>
              <w:t>厂检人员（签章）：</w:t>
            </w:r>
          </w:p>
          <w:p>
            <w:pPr>
              <w:spacing w:before="156" w:beforeLines="50" w:after="156" w:afterLines="50" w:line="440" w:lineRule="atLeast"/>
              <w:ind w:firstLine="5138" w:firstLineChars="1828"/>
              <w:jc w:val="left"/>
              <w:rPr>
                <w:rFonts w:ascii="黑体" w:hAnsi="黑体" w:eastAsia="黑体"/>
                <w:b/>
                <w:sz w:val="28"/>
                <w:szCs w:val="28"/>
              </w:rPr>
            </w:pPr>
            <w:r>
              <w:rPr>
                <w:rFonts w:ascii="黑体" w:hAnsi="黑体" w:eastAsia="黑体"/>
                <w:b/>
                <w:sz w:val="28"/>
                <w:szCs w:val="28"/>
              </w:rPr>
              <w:t>制造单位（盖章）</w:t>
            </w:r>
          </w:p>
          <w:p>
            <w:pPr>
              <w:spacing w:before="156" w:beforeLines="50" w:after="156" w:afterLines="50" w:line="440" w:lineRule="atLeast"/>
              <w:ind w:firstLine="5138" w:firstLineChars="1828"/>
              <w:jc w:val="left"/>
              <w:rPr>
                <w:rFonts w:asciiTheme="minorEastAsia" w:hAnsiTheme="minorEastAsia"/>
                <w:b/>
                <w:sz w:val="28"/>
                <w:szCs w:val="28"/>
              </w:rPr>
            </w:pPr>
            <w:r>
              <w:rPr>
                <w:rFonts w:ascii="黑体" w:hAnsi="黑体" w:eastAsia="黑体"/>
                <w:b/>
                <w:sz w:val="28"/>
                <w:szCs w:val="28"/>
              </w:rPr>
              <w:t>年</w:t>
            </w:r>
            <w:r>
              <w:rPr>
                <w:rFonts w:hint="eastAsia" w:ascii="黑体" w:hAnsi="黑体" w:eastAsia="黑体"/>
                <w:b/>
                <w:sz w:val="28"/>
                <w:szCs w:val="28"/>
              </w:rPr>
              <w:t xml:space="preserve">    月    日</w:t>
            </w:r>
          </w:p>
        </w:tc>
      </w:tr>
    </w:tbl>
    <w:p>
      <w:pPr>
        <w:jc w:val="center"/>
      </w:pPr>
    </w:p>
    <w:p>
      <w:pPr>
        <w:widowControl/>
        <w:jc w:val="left"/>
      </w:pPr>
      <w:r>
        <w:br w:type="page"/>
      </w:r>
    </w:p>
    <w:p>
      <w:pPr>
        <w:widowControl/>
        <w:jc w:val="left"/>
      </w:pPr>
    </w:p>
    <w:tbl>
      <w:tblPr>
        <w:tblStyle w:val="6"/>
        <w:tblW w:w="832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32"/>
        <w:gridCol w:w="810"/>
        <w:gridCol w:w="5565"/>
        <w:gridCol w:w="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jc w:val="center"/>
        </w:trPr>
        <w:tc>
          <w:tcPr>
            <w:tcW w:w="7607" w:type="dxa"/>
            <w:gridSpan w:val="3"/>
            <w:vAlign w:val="center"/>
          </w:tcPr>
          <w:p>
            <w:r>
              <w:rPr>
                <w:rFonts w:hint="eastAsia"/>
              </w:rPr>
              <w:t>检验项目</w:t>
            </w:r>
          </w:p>
        </w:tc>
        <w:tc>
          <w:tcPr>
            <w:tcW w:w="720" w:type="dxa"/>
            <w:vMerge w:val="restart"/>
            <w:vAlign w:val="center"/>
          </w:tcPr>
          <w:p>
            <w:r>
              <w:rPr>
                <w:rFonts w:hint="eastAsia"/>
              </w:rPr>
              <w:t>检验</w:t>
            </w:r>
          </w:p>
          <w:p>
            <w:r>
              <w:rPr>
                <w:rFonts w:hint="eastAsia"/>
              </w:rPr>
              <w:t>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jc w:val="center"/>
        </w:trPr>
        <w:tc>
          <w:tcPr>
            <w:tcW w:w="1232" w:type="dxa"/>
            <w:vAlign w:val="center"/>
          </w:tcPr>
          <w:p>
            <w:r>
              <w:rPr>
                <w:rFonts w:hint="eastAsia"/>
              </w:rPr>
              <w:t>编号</w:t>
            </w:r>
          </w:p>
        </w:tc>
        <w:tc>
          <w:tcPr>
            <w:tcW w:w="810" w:type="dxa"/>
            <w:tcBorders>
              <w:right w:val="single" w:color="auto" w:sz="4" w:space="0"/>
            </w:tcBorders>
            <w:vAlign w:val="center"/>
          </w:tcPr>
          <w:p>
            <w:r>
              <w:rPr>
                <w:rFonts w:hint="eastAsia"/>
              </w:rPr>
              <w:t>名称</w:t>
            </w:r>
          </w:p>
        </w:tc>
        <w:tc>
          <w:tcPr>
            <w:tcW w:w="5565" w:type="dxa"/>
            <w:tcBorders>
              <w:left w:val="single" w:color="auto" w:sz="4" w:space="0"/>
            </w:tcBorders>
            <w:vAlign w:val="center"/>
          </w:tcPr>
          <w:p>
            <w:r>
              <w:rPr>
                <w:rFonts w:hint="eastAsia"/>
              </w:rPr>
              <w:t>内容</w:t>
            </w:r>
          </w:p>
        </w:tc>
        <w:tc>
          <w:tcPr>
            <w:tcW w:w="720" w:type="dxa"/>
            <w:vMerge w:val="continue"/>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jc w:val="center"/>
        </w:trPr>
        <w:tc>
          <w:tcPr>
            <w:tcW w:w="1232" w:type="dxa"/>
            <w:vMerge w:val="restart"/>
            <w:vAlign w:val="center"/>
          </w:tcPr>
          <w:p>
            <w:r>
              <w:t>A3.1.1</w:t>
            </w:r>
          </w:p>
        </w:tc>
        <w:tc>
          <w:tcPr>
            <w:tcW w:w="810" w:type="dxa"/>
            <w:vMerge w:val="restart"/>
            <w:tcBorders>
              <w:right w:val="single" w:color="auto" w:sz="4" w:space="0"/>
            </w:tcBorders>
            <w:vAlign w:val="center"/>
          </w:tcPr>
          <w:p>
            <w:r>
              <w:t>制造资料</w:t>
            </w:r>
          </w:p>
          <w:p>
            <w:r>
              <w:rPr>
                <w:rFonts w:hint="eastAsia"/>
              </w:rPr>
              <w:t>注 A3-1: 提供的制造资料为复印件时，应当加盖整机制造单位(或者进口杂物电梯的国内代</w:t>
            </w:r>
          </w:p>
          <w:p>
            <w:r>
              <w:rPr>
                <w:rFonts w:hint="eastAsia"/>
              </w:rPr>
              <w:t>理商)公章或者检验专用章</w:t>
            </w:r>
          </w:p>
          <w:p/>
        </w:tc>
        <w:tc>
          <w:tcPr>
            <w:tcW w:w="5565" w:type="dxa"/>
            <w:tcBorders>
              <w:left w:val="single" w:color="auto" w:sz="4" w:space="0"/>
            </w:tcBorders>
            <w:vAlign w:val="center"/>
          </w:tcPr>
          <w:p>
            <w:pPr>
              <w:rPr>
                <w:spacing w:val="-6"/>
                <w:sz w:val="23"/>
                <w:szCs w:val="23"/>
              </w:rPr>
            </w:pPr>
            <w:r>
              <w:rPr>
                <w:rFonts w:hint="eastAsia"/>
              </w:rPr>
              <w:t>（1）配置说明，按照杂物电梯的实际配置，列明其产品编号、型号、主要技术参 数[包括提升高度、轿厢尺寸、额定载重量、额定速度、层站数、控制方式、油缸数 量和顶升方式(适用于液压驱动杂物电梯)、区域防爆等级和整机防爆标志(适用于防 爆杂物电梯)],主要部件和安全保护装置(注 A3-2) 的产品名称、型号、编号(绳头组 合、门锁装置、含有电子元件的安全电路、可编程电子安全相关系统，可以不标注编 号而标注制造批次号)、制造单位名称、型式试验证书编号、制造日期，悬挂装置的 名称、型号、主要参数(如直径、数量);配置说明加盖整机制造单位(或者进口杂物电梯的国内代理商)公章或者检验专用章，并且注明签发日期。</w:t>
            </w:r>
            <w:r>
              <w:rPr>
                <w:rFonts w:hint="eastAsia"/>
                <w:spacing w:val="-6"/>
                <w:sz w:val="13"/>
                <w:szCs w:val="13"/>
              </w:rPr>
              <w:t>注 A3-2: 本附件 A3 节所称主要部件包括绳头组合、控制柜、驱动主机(适用于曳引与强制 驱动杂物电梯);安全保护装置包括限速器、安全钳、缓冲器、门锁装置(层门锁紧不需要电气证 实的门锁装置除外)、含有电子元件的安全电路、可编程电子安全相关系统、限速切断阀(适用于液压驱动杂物电梯)。</w:t>
            </w:r>
          </w:p>
        </w:tc>
        <w:tc>
          <w:tcPr>
            <w:tcW w:w="720"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left w:val="single" w:color="auto" w:sz="4" w:space="0"/>
            </w:tcBorders>
            <w:vAlign w:val="center"/>
          </w:tcPr>
          <w:p>
            <w:r>
              <w:rPr>
                <w:rFonts w:hint="eastAsia"/>
              </w:rPr>
              <w:t>(2)《特种设备生产许可证》(适用于境内制造单位)。</w:t>
            </w:r>
          </w:p>
        </w:tc>
        <w:tc>
          <w:tcPr>
            <w:tcW w:w="720"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left w:val="single" w:color="auto" w:sz="4" w:space="0"/>
              <w:bottom w:val="single" w:color="auto" w:sz="4" w:space="0"/>
            </w:tcBorders>
            <w:vAlign w:val="center"/>
          </w:tcPr>
          <w:p>
            <w:r>
              <w:rPr>
                <w:rFonts w:hint="eastAsia"/>
              </w:rPr>
              <w:t>(3)型式试验证书，包括整机、主要部件和安全保护装置的型式试验证书。</w:t>
            </w:r>
          </w:p>
        </w:tc>
        <w:tc>
          <w:tcPr>
            <w:tcW w:w="720" w:type="dxa"/>
            <w:tcBorders>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8"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pPr>
              <w:rPr>
                <w:spacing w:val="10"/>
              </w:rPr>
            </w:pPr>
            <w:r>
              <w:rPr>
                <w:rFonts w:hint="eastAsia"/>
                <w:spacing w:val="10"/>
              </w:rPr>
              <w:t>(4)</w:t>
            </w:r>
            <w:r>
              <w:t>限速器、渐进式安全钳、破裂阀的调试证书</w:t>
            </w:r>
            <w:r>
              <w:rPr>
                <w:rFonts w:hint="eastAsia"/>
              </w:rPr>
              <w:t>。</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其他证明文件，包括采用一根悬挂装置的防护说明，是否允许人员进入杂物电梯机房、井道、底坑和轿顶的说明。</w:t>
            </w:r>
          </w:p>
        </w:tc>
        <w:tc>
          <w:tcPr>
            <w:tcW w:w="720" w:type="dxa"/>
            <w:tcBorders>
              <w:top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tcBorders>
            <w:vAlign w:val="center"/>
          </w:tcPr>
          <w:p>
            <w:r>
              <w:rPr>
                <w:rFonts w:hint="eastAsia"/>
              </w:rPr>
              <w:t>(6)安装使用维护保养说明书，包括安装、使用、维护保养说明和应急救援说明。</w:t>
            </w:r>
          </w:p>
        </w:tc>
        <w:tc>
          <w:tcPr>
            <w:tcW w:w="720" w:type="dxa"/>
            <w:tcBorders>
              <w:top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tcBorders>
            <w:vAlign w:val="center"/>
          </w:tcPr>
          <w:p>
            <w:r>
              <w:rPr>
                <w:rFonts w:hint="eastAsia"/>
              </w:rPr>
              <w:t>(7)整机质量证明文件，包括整机制造单位的《特种设备生产许可证》编号，杂物电梯的设备品种、产品编号、型号、主要技术参数，安装单位的《特种设备生产许可证》编号、安装竣工日期、安装地点，杂物电梯符合相关安全技术规范的声明；整 机质量证明文件加盖整机制造单位(或者进口杂物电梯的国内代理商)公章或者检验专用章，并且注明签发日期。</w:t>
            </w:r>
          </w:p>
        </w:tc>
        <w:tc>
          <w:tcPr>
            <w:tcW w:w="720" w:type="dxa"/>
            <w:tcBorders>
              <w:top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jc w:val="center"/>
        </w:trPr>
        <w:tc>
          <w:tcPr>
            <w:tcW w:w="1232" w:type="dxa"/>
            <w:vMerge w:val="restart"/>
            <w:vAlign w:val="center"/>
          </w:tcPr>
          <w:p>
            <w:r>
              <w:t xml:space="preserve">A3.1.2 </w:t>
            </w:r>
          </w:p>
        </w:tc>
        <w:tc>
          <w:tcPr>
            <w:tcW w:w="810" w:type="dxa"/>
            <w:vMerge w:val="restart"/>
            <w:tcBorders>
              <w:right w:val="single" w:color="auto" w:sz="4" w:space="0"/>
            </w:tcBorders>
            <w:vAlign w:val="center"/>
          </w:tcPr>
          <w:p>
            <w:r>
              <w:t>安装资料</w:t>
            </w:r>
          </w:p>
          <w:p>
            <w:r>
              <w:t>注A3-3: 提供的安装资料为复印件时，应当加盖安装单位公章或者检验专用章</w:t>
            </w:r>
          </w:p>
          <w:p/>
        </w:tc>
        <w:tc>
          <w:tcPr>
            <w:tcW w:w="5565" w:type="dxa"/>
            <w:tcBorders>
              <w:left w:val="single" w:color="auto" w:sz="4" w:space="0"/>
              <w:bottom w:val="single" w:color="auto" w:sz="4" w:space="0"/>
            </w:tcBorders>
          </w:tcPr>
          <w:p>
            <w:r>
              <w:rPr>
                <w:rFonts w:hint="eastAsia"/>
              </w:rPr>
              <w:t>(1)安装单位的《特种设备生产许可证》。</w:t>
            </w:r>
          </w:p>
        </w:tc>
        <w:tc>
          <w:tcPr>
            <w:tcW w:w="720" w:type="dxa"/>
            <w:tcBorders>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tcPr>
          <w:p>
            <w:r>
              <w:rPr>
                <w:rFonts w:hint="eastAsia"/>
              </w:rPr>
              <w:t>(2)安装告知证明资料。</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0"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tcPr>
          <w:p>
            <w:r>
              <w:rPr>
                <w:rFonts w:hint="eastAsia"/>
              </w:rPr>
              <w:t>(3)杂物电梯相关建筑接口符合性声明，表明用于安装该杂物电梯的机器空间、井道、层站以及井道下方人员可以到达的空间等按照相关规定进行了土建交接，并且满足相关要求，加盖安装单位公章或者检验专用章。</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tcPr>
          <w:p>
            <w:r>
              <w:rPr>
                <w:rFonts w:hint="eastAsia"/>
              </w:rPr>
              <w:t>(4)变更设计证明文件(适用于发生设计变更时),有由使用单位提出、经整机制造单位同意的见证。</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tcPr>
          <w:p>
            <w:r>
              <w:rPr>
                <w:rFonts w:hint="eastAsia"/>
              </w:rPr>
              <w:t>(5)安装自检报告，由整机制造单位(或者进口电梯的国内代理商)出具或者盖章确认。</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5" w:hRule="atLeast"/>
          <w:jc w:val="center"/>
        </w:trPr>
        <w:tc>
          <w:tcPr>
            <w:tcW w:w="1232" w:type="dxa"/>
            <w:vMerge w:val="restart"/>
            <w:vAlign w:val="center"/>
          </w:tcPr>
          <w:p>
            <w:r>
              <w:t>A3.1.3</w:t>
            </w:r>
          </w:p>
        </w:tc>
        <w:tc>
          <w:tcPr>
            <w:tcW w:w="810" w:type="dxa"/>
            <w:vMerge w:val="restart"/>
            <w:tcBorders>
              <w:right w:val="single" w:color="auto" w:sz="4" w:space="0"/>
            </w:tcBorders>
            <w:vAlign w:val="center"/>
          </w:tcPr>
          <w:p>
            <w:r>
              <w:t>改造或者重大修理资料</w:t>
            </w:r>
          </w:p>
          <w:p>
            <w:r>
              <w:t>注A3-4: 提供的改造或者重大修理资料为复印件时，应当加盖改造或者修理单位公章或者检</w:t>
            </w:r>
          </w:p>
          <w:p>
            <w:r>
              <w:t>验专用章</w:t>
            </w:r>
          </w:p>
          <w:p/>
        </w:tc>
        <w:tc>
          <w:tcPr>
            <w:tcW w:w="5565" w:type="dxa"/>
            <w:tcBorders>
              <w:left w:val="single" w:color="auto" w:sz="4" w:space="0"/>
              <w:bottom w:val="single" w:color="auto" w:sz="4" w:space="0"/>
            </w:tcBorders>
            <w:vAlign w:val="center"/>
          </w:tcPr>
          <w:p>
            <w:r>
              <w:rPr>
                <w:rFonts w:hint="eastAsia"/>
              </w:rPr>
              <w:t>(1)改造或者重大修理电梯的使用登记证。</w:t>
            </w:r>
          </w:p>
        </w:tc>
        <w:tc>
          <w:tcPr>
            <w:tcW w:w="720" w:type="dxa"/>
            <w:tcBorders>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3"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(2)改造或者修理单位的《特种设备生产许可证》。</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(3)改造或者重大修理告知证明资料</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(4)改造或者重大修理方案。</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(5)加装或者更换的各主要部件和安全保护装置的型式试验证书。</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9"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(6)加装或者更换的限速器、渐进式安全钳、破裂阀的调试证书。</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(7)安装使用维护保养说明书(补充件),根据改造或者重大修理情况增补的相关安装、使用、维护保养说明和应急救援说明。</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(8)改造或者重大修理自检报告。</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tcBorders>
            <w:vAlign w:val="center"/>
          </w:tcPr>
          <w:p>
            <w:r>
              <w:rPr>
                <w:rFonts w:hint="eastAsia"/>
              </w:rPr>
              <w:t>(9)改造或者重大修理质量证明文件，包括杂物电梯的设备品种、使用登记证编 号、型号、主要技术参数，改造或者修理单位的《特种设备生产许可证》编号、改造 或者重大修理竣工日期，杂物电梯符合相关安全技术规范的声明；改造或者重大修理质量证明文件加盖改造或者修理单位公章或者检验专用章，并且注明签发日期。</w:t>
            </w:r>
          </w:p>
        </w:tc>
        <w:tc>
          <w:tcPr>
            <w:tcW w:w="720" w:type="dxa"/>
            <w:tcBorders>
              <w:top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1" w:hRule="atLeast"/>
          <w:jc w:val="center"/>
        </w:trPr>
        <w:tc>
          <w:tcPr>
            <w:tcW w:w="1232" w:type="dxa"/>
            <w:vMerge w:val="restart"/>
            <w:vAlign w:val="center"/>
          </w:tcPr>
          <w:p>
            <w:r>
              <w:rPr>
                <w:rFonts w:hint="eastAsia"/>
              </w:rPr>
              <w:t xml:space="preserve">A3.1.5 </w:t>
            </w:r>
          </w:p>
        </w:tc>
        <w:tc>
          <w:tcPr>
            <w:tcW w:w="810" w:type="dxa"/>
            <w:vMerge w:val="restart"/>
            <w:tcBorders>
              <w:right w:val="single" w:color="auto" w:sz="4" w:space="0"/>
            </w:tcBorders>
            <w:vAlign w:val="center"/>
          </w:tcPr>
          <w:p>
            <w:pPr>
              <w:rPr>
                <w:rFonts w:asciiTheme="minorEastAsia" w:hAnsiTheme="minorEastAsia"/>
                <w:color w:val="000000" w:themeColor="text1"/>
                <w:szCs w:val="21"/>
                <w14:textFill>
                  <w14:solidFill>
                    <w14:schemeClr w14:val="tx1"/>
                  </w14:solidFill>
                </w14:textFill>
              </w:rPr>
            </w:pPr>
            <w:r>
              <w:t>技术资料与铭牌(可识别标志)的一致性</w:t>
            </w:r>
          </w:p>
        </w:tc>
        <w:tc>
          <w:tcPr>
            <w:tcW w:w="5565" w:type="dxa"/>
            <w:tcBorders>
              <w:left w:val="single" w:color="auto" w:sz="4" w:space="0"/>
              <w:bottom w:val="single" w:color="auto" w:sz="4" w:space="0"/>
            </w:tcBorders>
            <w:vAlign w:val="center"/>
          </w:tcPr>
          <w:p>
            <w:r>
              <w:rPr>
                <w:rFonts w:hint="eastAsia"/>
              </w:rPr>
              <w:t>(1)主要部件(绳头组合除外)和安全保护装置的铭牌或者可识别标志(含有电子元件的安全电路、可编程电子安全相关系统可以采用可识别标志)上标注的产品型号、编号(制造批次号)、制造单位名称或者商标、型式试验证书编号(含有电子元件的安 全电路、可编程电子安全相关系统可以不标注型式试验证书编号)、制造日期与配置说明[见本附件A3.1.1 条第(1)项]一致。</w:t>
            </w:r>
          </w:p>
        </w:tc>
        <w:tc>
          <w:tcPr>
            <w:tcW w:w="720" w:type="dxa"/>
            <w:tcBorders>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(2)主要部件和安全保护装置的铭牌或者可识别标志上标注的内容与相应的型式试验证书内容相符。</w:t>
            </w:r>
          </w:p>
          <w:p>
            <w:r>
              <w:rPr>
                <w:rFonts w:hint="eastAsia"/>
              </w:rPr>
              <w:t>改造、重大修理监督检验时，应当对加装或者更换的主要部件和安全保护装置的铭牌或者可识别标志上标注的内容与相应型式试验证书的一致性进行审查。</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 w:hRule="atLeast"/>
          <w:jc w:val="center"/>
        </w:trPr>
        <w:tc>
          <w:tcPr>
            <w:tcW w:w="1232" w:type="dxa"/>
            <w:vMerge w:val="restart"/>
            <w:vAlign w:val="center"/>
          </w:tcPr>
          <w:p>
            <w:r>
              <w:t>A</w:t>
            </w:r>
            <w:r>
              <w:fldChar w:fldCharType="begin"/>
            </w:r>
            <w:r>
              <w:instrText xml:space="preserve"> HYPERLINK "https://3.2.1.1" </w:instrText>
            </w:r>
            <w:r>
              <w:fldChar w:fldCharType="separate"/>
            </w:r>
            <w:r>
              <w:t>3.2.1.1</w:t>
            </w:r>
            <w:r>
              <w:fldChar w:fldCharType="end"/>
            </w:r>
          </w:p>
        </w:tc>
        <w:tc>
          <w:tcPr>
            <w:tcW w:w="810" w:type="dxa"/>
            <w:vMerge w:val="restart"/>
            <w:tcBorders>
              <w:right w:val="single" w:color="auto" w:sz="4" w:space="0"/>
            </w:tcBorders>
            <w:vAlign w:val="center"/>
          </w:tcPr>
          <w:p>
            <w:r>
              <w:t>通往机器空间的通道及门、活板门</w:t>
            </w:r>
          </w:p>
        </w:tc>
        <w:tc>
          <w:tcPr>
            <w:tcW w:w="5565" w:type="dxa"/>
            <w:tcBorders>
              <w:top w:val="single" w:color="auto" w:sz="4" w:space="0"/>
              <w:left w:val="single" w:color="auto" w:sz="4" w:space="0"/>
              <w:bottom w:val="single" w:color="auto" w:sz="4" w:space="0"/>
            </w:tcBorders>
            <w:vAlign w:val="center"/>
          </w:tcPr>
          <w:p>
            <w:r>
              <w:rPr>
                <w:rFonts w:hint="eastAsia"/>
              </w:rPr>
              <w:t>(1)通道保持通畅，相关人员能够安全、方便、无阻碍地使用，并且设有永久性电气照明。</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1"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(2)通道门、通道活板门、检修门和检修活板门能够可靠锁住。</w:t>
            </w:r>
          </w:p>
        </w:tc>
        <w:tc>
          <w:tcPr>
            <w:tcW w:w="720" w:type="dxa"/>
            <w:tcBorders>
              <w:top w:val="single" w:color="auto" w:sz="4" w:space="0"/>
              <w:bottom w:val="single" w:color="auto" w:sz="4" w:space="0"/>
            </w:tcBorders>
            <w:vAlign w:val="center"/>
          </w:tcPr>
          <w:p/>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(3)对于人员可进入的机房，通道门、通道活板门外侧设有包含“杂物电梯机器-危险，未授权人员禁止入内"文字的警示标志。</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(4)对于人员可进入的机房，当通道门和通道活板门开启后不用钥匙能够将其关闭和锁住，门锁住后不用钥匙能够从机房内将门打开。</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(5)对于人员不可进入的机房，从检修门或者检修活板门边缘到检查、维护的任一部件的水平距离不大于0.60m。</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jc w:val="center"/>
        </w:trPr>
        <w:tc>
          <w:tcPr>
            <w:tcW w:w="1232" w:type="dxa"/>
            <w:vAlign w:val="center"/>
          </w:tcPr>
          <w:p>
            <w:r>
              <w:t>A</w:t>
            </w:r>
            <w:r>
              <w:fldChar w:fldCharType="begin"/>
            </w:r>
            <w:r>
              <w:instrText xml:space="preserve"> HYPERLINK "https://3.2.1.2" </w:instrText>
            </w:r>
            <w:r>
              <w:fldChar w:fldCharType="separate"/>
            </w:r>
            <w:r>
              <w:t>3.2.1.2</w:t>
            </w:r>
            <w:r>
              <w:fldChar w:fldCharType="end"/>
            </w:r>
          </w:p>
        </w:tc>
        <w:tc>
          <w:tcPr>
            <w:tcW w:w="810" w:type="dxa"/>
            <w:vAlign w:val="center"/>
          </w:tcPr>
          <w:p>
            <w:r>
              <w:t>机器空间专用</w:t>
            </w:r>
          </w:p>
        </w:tc>
        <w:tc>
          <w:tcPr>
            <w:tcW w:w="5565" w:type="dxa"/>
          </w:tcPr>
          <w:p>
            <w:r>
              <w:rPr>
                <w:rFonts w:hint="eastAsia"/>
              </w:rPr>
              <w:t>机器空间未用于杂物电梯以外的其他用途。</w:t>
            </w:r>
          </w:p>
        </w:tc>
        <w:tc>
          <w:tcPr>
            <w:tcW w:w="720"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jc w:val="center"/>
        </w:trPr>
        <w:tc>
          <w:tcPr>
            <w:tcW w:w="1232" w:type="dxa"/>
            <w:vAlign w:val="center"/>
          </w:tcPr>
          <w:p>
            <w:r>
              <w:t>A</w:t>
            </w:r>
            <w:r>
              <w:fldChar w:fldCharType="begin"/>
            </w:r>
            <w:r>
              <w:instrText xml:space="preserve"> HYPERLINK "https://3.2.1.3" </w:instrText>
            </w:r>
            <w:r>
              <w:fldChar w:fldCharType="separate"/>
            </w:r>
            <w:r>
              <w:t>3.2.1.3</w:t>
            </w:r>
            <w:r>
              <w:fldChar w:fldCharType="end"/>
            </w:r>
          </w:p>
        </w:tc>
        <w:tc>
          <w:tcPr>
            <w:tcW w:w="810" w:type="dxa"/>
            <w:tcBorders>
              <w:right w:val="single" w:color="auto" w:sz="4" w:space="0"/>
            </w:tcBorders>
            <w:vAlign w:val="center"/>
          </w:tcPr>
          <w:p>
            <w:r>
              <w:t>井道封闭措施</w:t>
            </w:r>
          </w:p>
        </w:tc>
        <w:tc>
          <w:tcPr>
            <w:tcW w:w="5565" w:type="dxa"/>
            <w:tcBorders>
              <w:left w:val="single" w:color="auto" w:sz="4" w:space="0"/>
            </w:tcBorders>
            <w:vAlign w:val="center"/>
          </w:tcPr>
          <w:p>
            <w:r>
              <w:rPr>
                <w:rFonts w:hint="eastAsia"/>
              </w:rPr>
              <w:t>除必要的开口外完全封闭。</w:t>
            </w:r>
          </w:p>
        </w:tc>
        <w:tc>
          <w:tcPr>
            <w:tcW w:w="720"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jc w:val="center"/>
        </w:trPr>
        <w:tc>
          <w:tcPr>
            <w:tcW w:w="1232" w:type="dxa"/>
            <w:vMerge w:val="restart"/>
            <w:vAlign w:val="center"/>
          </w:tcPr>
          <w:p>
            <w:r>
              <w:t>A</w:t>
            </w:r>
            <w:r>
              <w:fldChar w:fldCharType="begin"/>
            </w:r>
            <w:r>
              <w:instrText xml:space="preserve"> HYPERLINK "https://3.2.1.4" </w:instrText>
            </w:r>
            <w:r>
              <w:fldChar w:fldCharType="separate"/>
            </w:r>
            <w:r>
              <w:t>3.2.1.4</w:t>
            </w:r>
            <w:r>
              <w:fldChar w:fldCharType="end"/>
            </w:r>
          </w:p>
        </w:tc>
        <w:tc>
          <w:tcPr>
            <w:tcW w:w="810" w:type="dxa"/>
            <w:vMerge w:val="restart"/>
            <w:vAlign w:val="center"/>
          </w:tcPr>
          <w:p>
            <w:r>
              <w:t>井道上的检修门和检修活板门</w:t>
            </w:r>
          </w:p>
        </w:tc>
        <w:tc>
          <w:tcPr>
            <w:tcW w:w="5565" w:type="dxa"/>
            <w:vAlign w:val="center"/>
          </w:tcPr>
          <w:p>
            <w:r>
              <w:rPr>
                <w:rFonts w:hint="eastAsia"/>
              </w:rPr>
              <w:t>(1)不能向井道内开启；门上装有用钥匙开启的锁，门开启后不用钥匙能够将其关闭和锁住，门锁住后不用钥匙能够从井道内将门打开。</w:t>
            </w:r>
          </w:p>
        </w:tc>
        <w:tc>
          <w:tcPr>
            <w:tcW w:w="720"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0" w:hRule="atLeast"/>
          <w:jc w:val="center"/>
        </w:trPr>
        <w:tc>
          <w:tcPr>
            <w:tcW w:w="1232" w:type="dxa"/>
            <w:vMerge w:val="continue"/>
          </w:tcPr>
          <w:p/>
        </w:tc>
        <w:tc>
          <w:tcPr>
            <w:tcW w:w="810" w:type="dxa"/>
            <w:vMerge w:val="continue"/>
            <w:vAlign w:val="center"/>
          </w:tcPr>
          <w:p/>
        </w:tc>
        <w:tc>
          <w:tcPr>
            <w:tcW w:w="5565" w:type="dxa"/>
            <w:vAlign w:val="center"/>
          </w:tcPr>
          <w:p>
            <w:r>
              <w:rPr>
                <w:rFonts w:hint="eastAsia"/>
              </w:rPr>
              <w:t>(2)验证门关闭状态的电气安全装置功能有效。</w:t>
            </w:r>
          </w:p>
        </w:tc>
        <w:tc>
          <w:tcPr>
            <w:tcW w:w="720" w:type="dxa"/>
            <w:tcBorders>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0" w:hRule="atLeast"/>
          <w:jc w:val="center"/>
        </w:trPr>
        <w:tc>
          <w:tcPr>
            <w:tcW w:w="1232" w:type="dxa"/>
            <w:vMerge w:val="continue"/>
          </w:tcPr>
          <w:p/>
        </w:tc>
        <w:tc>
          <w:tcPr>
            <w:tcW w:w="810" w:type="dxa"/>
            <w:vMerge w:val="continue"/>
            <w:vAlign w:val="center"/>
          </w:tcPr>
          <w:p/>
        </w:tc>
        <w:tc>
          <w:tcPr>
            <w:tcW w:w="5565" w:type="dxa"/>
            <w:vAlign w:val="center"/>
          </w:tcPr>
          <w:p>
            <w:r>
              <w:rPr>
                <w:rFonts w:hint="eastAsia"/>
              </w:rPr>
              <w:t>(3)对于人员不可进入的井道，在井道外的检修门或者检修活板门附近有包含"禁止进入杂物电梯井道"文字的警示标志。</w:t>
            </w:r>
          </w:p>
        </w:tc>
        <w:tc>
          <w:tcPr>
            <w:tcW w:w="720" w:type="dxa"/>
            <w:tcBorders>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8" w:hRule="atLeast"/>
          <w:jc w:val="center"/>
        </w:trPr>
        <w:tc>
          <w:tcPr>
            <w:tcW w:w="1232" w:type="dxa"/>
            <w:vMerge w:val="restart"/>
            <w:vAlign w:val="center"/>
          </w:tcPr>
          <w:p>
            <w:r>
              <w:t>A</w:t>
            </w:r>
            <w:r>
              <w:fldChar w:fldCharType="begin"/>
            </w:r>
            <w:r>
              <w:instrText xml:space="preserve"> HYPERLINK "https://3.2.1.5" </w:instrText>
            </w:r>
            <w:r>
              <w:fldChar w:fldCharType="separate"/>
            </w:r>
            <w:r>
              <w:t>3.2.1.5</w:t>
            </w:r>
            <w:r>
              <w:fldChar w:fldCharType="end"/>
            </w:r>
          </w:p>
        </w:tc>
        <w:tc>
          <w:tcPr>
            <w:tcW w:w="810" w:type="dxa"/>
            <w:vMerge w:val="restart"/>
            <w:tcBorders>
              <w:right w:val="single" w:color="auto" w:sz="4" w:space="0"/>
            </w:tcBorders>
            <w:vAlign w:val="center"/>
          </w:tcPr>
          <w:p>
            <w:pPr>
              <w:rPr>
                <w:rFonts w:asciiTheme="minorEastAsia" w:hAnsiTheme="minorEastAsia"/>
                <w:szCs w:val="21"/>
              </w:rPr>
            </w:pPr>
            <w:r>
              <w:t>井道下方防护措施</w:t>
            </w:r>
          </w:p>
        </w:tc>
        <w:tc>
          <w:tcPr>
            <w:tcW w:w="5565" w:type="dxa"/>
            <w:tcBorders>
              <w:left w:val="single" w:color="auto" w:sz="4" w:space="0"/>
              <w:bottom w:val="single" w:color="auto" w:sz="4" w:space="0"/>
            </w:tcBorders>
            <w:vAlign w:val="center"/>
          </w:tcPr>
          <w:p>
            <w:r>
              <w:rPr>
                <w:rFonts w:hint="eastAsia"/>
              </w:rPr>
              <w:t>(1)在轿厢和对重(平衡重)的行程底部极限位置设置缓冲器。</w:t>
            </w:r>
          </w:p>
        </w:tc>
        <w:tc>
          <w:tcPr>
            <w:tcW w:w="720" w:type="dxa"/>
            <w:tcBorders>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tcBorders>
            <w:vAlign w:val="center"/>
          </w:tcPr>
          <w:p>
            <w:r>
              <w:rPr>
                <w:rFonts w:hint="eastAsia"/>
              </w:rPr>
              <w:t>(2)对于电力驱动的杂物电梯或者间接作用式液压驱动杂物电梯，在轿厢、对重(平衡重)上设置安全钳。</w:t>
            </w:r>
          </w:p>
        </w:tc>
        <w:tc>
          <w:tcPr>
            <w:tcW w:w="720" w:type="dxa"/>
            <w:tcBorders>
              <w:top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tcBorders>
            <w:vAlign w:val="center"/>
          </w:tcPr>
          <w:p>
            <w:r>
              <w:rPr>
                <w:rFonts w:hint="eastAsia"/>
              </w:rPr>
              <w:t>(3)对于直接作用式液压驱动杂物电梯，设置安全钳、破裂阀或者节流阀(单向节流阀)。</w:t>
            </w:r>
          </w:p>
        </w:tc>
        <w:tc>
          <w:tcPr>
            <w:tcW w:w="720" w:type="dxa"/>
            <w:tcBorders>
              <w:top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jc w:val="center"/>
        </w:trPr>
        <w:tc>
          <w:tcPr>
            <w:tcW w:w="1232" w:type="dxa"/>
            <w:vMerge w:val="restart"/>
            <w:vAlign w:val="center"/>
          </w:tcPr>
          <w:p>
            <w:r>
              <w:t>A</w:t>
            </w:r>
            <w:r>
              <w:fldChar w:fldCharType="begin"/>
            </w:r>
            <w:r>
              <w:instrText xml:space="preserve"> HYPERLINK "https://3.2.1.6" </w:instrText>
            </w:r>
            <w:r>
              <w:fldChar w:fldCharType="separate"/>
            </w:r>
            <w:r>
              <w:t>3.2.1.6</w:t>
            </w:r>
            <w:r>
              <w:fldChar w:fldCharType="end"/>
            </w:r>
          </w:p>
        </w:tc>
        <w:tc>
          <w:tcPr>
            <w:tcW w:w="810" w:type="dxa"/>
            <w:vMerge w:val="restart"/>
            <w:vAlign w:val="center"/>
          </w:tcPr>
          <w:p>
            <w:r>
              <w:t>对重(平衡重)运行区域防护措施</w:t>
            </w:r>
          </w:p>
          <w:p/>
        </w:tc>
        <w:tc>
          <w:tcPr>
            <w:tcW w:w="5565" w:type="dxa"/>
          </w:tcPr>
          <w:p>
            <w:r>
              <w:rPr>
                <w:rFonts w:hint="eastAsia"/>
              </w:rPr>
              <w:t>(1)采用刚性隔障防护，该隔障从对重(平衡重)位于最低位置时的最低点延伸到底坑地面以上最小2.00m 处，其宽度至少等于对重(平衡重)宽度。</w:t>
            </w:r>
          </w:p>
        </w:tc>
        <w:tc>
          <w:tcPr>
            <w:tcW w:w="720"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jc w:val="center"/>
        </w:trPr>
        <w:tc>
          <w:tcPr>
            <w:tcW w:w="1232" w:type="dxa"/>
            <w:vMerge w:val="continue"/>
          </w:tcPr>
          <w:p/>
        </w:tc>
        <w:tc>
          <w:tcPr>
            <w:tcW w:w="810" w:type="dxa"/>
            <w:vMerge w:val="continue"/>
          </w:tcPr>
          <w:p/>
        </w:tc>
        <w:tc>
          <w:tcPr>
            <w:tcW w:w="5565" w:type="dxa"/>
          </w:tcPr>
          <w:p/>
          <w:p>
            <w:r>
              <w:rPr>
                <w:rFonts w:hint="eastAsia"/>
              </w:rPr>
              <w:t>(2)在井道内设置可移动装置，该装置能够将对重(平衡重)的运行行程限制在底坑地面以上不小于1.80m 或者行程允许最大高度处。</w:t>
            </w:r>
          </w:p>
        </w:tc>
        <w:tc>
          <w:tcPr>
            <w:tcW w:w="720"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7" w:hRule="atLeast"/>
          <w:jc w:val="center"/>
        </w:trPr>
        <w:tc>
          <w:tcPr>
            <w:tcW w:w="1232" w:type="dxa"/>
            <w:vMerge w:val="restart"/>
            <w:vAlign w:val="center"/>
          </w:tcPr>
          <w:p>
            <w:r>
              <w:t>A</w:t>
            </w:r>
            <w:r>
              <w:fldChar w:fldCharType="begin"/>
            </w:r>
            <w:r>
              <w:instrText xml:space="preserve"> HYPERLINK "https://3.2.1.7" </w:instrText>
            </w:r>
            <w:r>
              <w:fldChar w:fldCharType="separate"/>
            </w:r>
            <w:r>
              <w:t>3.2.1.7</w:t>
            </w:r>
            <w:r>
              <w:fldChar w:fldCharType="end"/>
            </w:r>
          </w:p>
        </w:tc>
        <w:tc>
          <w:tcPr>
            <w:tcW w:w="810" w:type="dxa"/>
            <w:vMerge w:val="restart"/>
            <w:vAlign w:val="center"/>
          </w:tcPr>
          <w:p>
            <w:r>
              <w:t>底坑</w:t>
            </w:r>
          </w:p>
        </w:tc>
        <w:tc>
          <w:tcPr>
            <w:tcW w:w="5565" w:type="dxa"/>
            <w:tcBorders>
              <w:bottom w:val="single" w:color="auto" w:sz="4" w:space="0"/>
            </w:tcBorders>
          </w:tcPr>
          <w:p>
            <w:r>
              <w:rPr>
                <w:rFonts w:hint="eastAsia"/>
              </w:rPr>
              <w:t>(1)底坑地面平整，无渗水、积水。</w:t>
            </w:r>
          </w:p>
        </w:tc>
        <w:tc>
          <w:tcPr>
            <w:tcW w:w="720" w:type="dxa"/>
            <w:tcBorders>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9" w:hRule="atLeast"/>
          <w:jc w:val="center"/>
        </w:trPr>
        <w:tc>
          <w:tcPr>
            <w:tcW w:w="1232" w:type="dxa"/>
            <w:vMerge w:val="continue"/>
            <w:vAlign w:val="center"/>
          </w:tcPr>
          <w:p/>
        </w:tc>
        <w:tc>
          <w:tcPr>
            <w:tcW w:w="810" w:type="dxa"/>
            <w:vMerge w:val="continue"/>
            <w:vAlign w:val="center"/>
          </w:tcPr>
          <w:p/>
        </w:tc>
        <w:tc>
          <w:tcPr>
            <w:tcW w:w="5565" w:type="dxa"/>
            <w:tcBorders>
              <w:top w:val="single" w:color="auto" w:sz="4" w:space="0"/>
            </w:tcBorders>
          </w:tcPr>
          <w:p>
            <w:r>
              <w:rPr>
                <w:rFonts w:hint="eastAsia"/>
              </w:rPr>
              <w:t>(2)对于人员可进入的井道，井道内设置可移动的装置，当轿厢停在其上面时，该装置保证在底坑地面与轿厢的最低部件之间的自由垂直距离至少为1.80m 或者行程允许最大值。</w:t>
            </w:r>
          </w:p>
        </w:tc>
        <w:tc>
          <w:tcPr>
            <w:tcW w:w="720" w:type="dxa"/>
            <w:tcBorders>
              <w:top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jc w:val="center"/>
        </w:trPr>
        <w:tc>
          <w:tcPr>
            <w:tcW w:w="1232" w:type="dxa"/>
            <w:vMerge w:val="continue"/>
          </w:tcPr>
          <w:p/>
        </w:tc>
        <w:tc>
          <w:tcPr>
            <w:tcW w:w="810" w:type="dxa"/>
            <w:vMerge w:val="continue"/>
            <w:vAlign w:val="center"/>
          </w:tcPr>
          <w:p/>
        </w:tc>
        <w:tc>
          <w:tcPr>
            <w:tcW w:w="5565" w:type="dxa"/>
          </w:tcPr>
          <w:p>
            <w:r>
              <w:rPr>
                <w:rFonts w:hint="eastAsia"/>
              </w:rPr>
              <w:t>(3)对于人员可进入的井道，底坑内设有在进入底坑时以及在底坑地面上均能够方便操作的停止装置，并且功能有效。</w:t>
            </w:r>
          </w:p>
        </w:tc>
        <w:tc>
          <w:tcPr>
            <w:tcW w:w="720"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jc w:val="center"/>
        </w:trPr>
        <w:tc>
          <w:tcPr>
            <w:tcW w:w="1232" w:type="dxa"/>
            <w:vMerge w:val="restart"/>
            <w:tcBorders>
              <w:top w:val="single" w:color="auto" w:sz="4" w:space="0"/>
            </w:tcBorders>
          </w:tcPr>
          <w:p/>
          <w:p/>
          <w:p/>
          <w:p/>
          <w:p>
            <w:r>
              <w:t>A</w:t>
            </w:r>
            <w:r>
              <w:fldChar w:fldCharType="begin"/>
            </w:r>
            <w:r>
              <w:instrText xml:space="preserve"> HYPERLINK "https://3.2.1.8" </w:instrText>
            </w:r>
            <w:r>
              <w:fldChar w:fldCharType="separate"/>
            </w:r>
            <w:r>
              <w:t>3.2.1.8</w:t>
            </w:r>
            <w:r>
              <w:fldChar w:fldCharType="end"/>
            </w:r>
          </w:p>
        </w:tc>
        <w:tc>
          <w:tcPr>
            <w:tcW w:w="810" w:type="dxa"/>
            <w:vMerge w:val="restart"/>
            <w:tcBorders>
              <w:top w:val="single" w:color="auto" w:sz="4" w:space="0"/>
              <w:right w:val="single" w:color="auto" w:sz="4" w:space="0"/>
            </w:tcBorders>
            <w:vAlign w:val="center"/>
          </w:tcPr>
          <w:p>
            <w:pPr>
              <w:rPr>
                <w:rFonts w:asciiTheme="minorEastAsia" w:hAnsiTheme="minorEastAsia"/>
                <w:szCs w:val="21"/>
              </w:rPr>
            </w:pPr>
            <w:r>
              <w:t>缓冲器或者限位挡块</w:t>
            </w:r>
          </w:p>
        </w:tc>
        <w:tc>
          <w:tcPr>
            <w:tcW w:w="5565" w:type="dxa"/>
            <w:tcBorders>
              <w:top w:val="single" w:color="auto" w:sz="4" w:space="0"/>
              <w:left w:val="single" w:color="auto" w:sz="4" w:space="0"/>
            </w:tcBorders>
          </w:tcPr>
          <w:p>
            <w:r>
              <w:rPr>
                <w:rFonts w:hint="eastAsia"/>
              </w:rPr>
              <w:t>(1)采用缓冲器或者限位挡块来限制轿厢和对重(平衡重)的下部行程；对于液压驱动杂物电梯，当缓冲器完全压缩或者当轿厢停在限位挡块上时，柱塞不触及缸筒的底座。</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jc w:val="center"/>
        </w:trPr>
        <w:tc>
          <w:tcPr>
            <w:tcW w:w="1232" w:type="dxa"/>
            <w:vMerge w:val="continue"/>
          </w:tcPr>
          <w:p/>
        </w:tc>
        <w:tc>
          <w:tcPr>
            <w:tcW w:w="810" w:type="dxa"/>
            <w:vMerge w:val="continue"/>
            <w:tcBorders>
              <w:right w:val="single" w:color="auto" w:sz="4" w:space="0"/>
            </w:tcBorders>
            <w:vAlign w:val="center"/>
          </w:tcPr>
          <w:p/>
        </w:tc>
        <w:tc>
          <w:tcPr>
            <w:tcW w:w="5565" w:type="dxa"/>
            <w:tcBorders>
              <w:left w:val="single" w:color="auto" w:sz="4" w:space="0"/>
            </w:tcBorders>
          </w:tcPr>
          <w:p>
            <w:r>
              <w:rPr>
                <w:rFonts w:hint="eastAsia"/>
              </w:rPr>
              <w:t>(2)缓冲器或者限位挡块无松动、明显倾斜、断裂、塑性变形、剥落、破损、严重锈蚀等现象。</w:t>
            </w:r>
          </w:p>
        </w:tc>
        <w:tc>
          <w:tcPr>
            <w:tcW w:w="720" w:type="dxa"/>
            <w:tcBorders>
              <w:top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jc w:val="center"/>
        </w:trPr>
        <w:tc>
          <w:tcPr>
            <w:tcW w:w="1232" w:type="dxa"/>
            <w:vMerge w:val="continue"/>
          </w:tcPr>
          <w:p/>
        </w:tc>
        <w:tc>
          <w:tcPr>
            <w:tcW w:w="810" w:type="dxa"/>
            <w:vMerge w:val="continue"/>
            <w:tcBorders>
              <w:right w:val="single" w:color="auto" w:sz="4" w:space="0"/>
            </w:tcBorders>
            <w:vAlign w:val="center"/>
          </w:tcPr>
          <w:p/>
        </w:tc>
        <w:tc>
          <w:tcPr>
            <w:tcW w:w="5565" w:type="dxa"/>
            <w:tcBorders>
              <w:left w:val="single" w:color="auto" w:sz="4" w:space="0"/>
            </w:tcBorders>
          </w:tcPr>
          <w:p>
            <w:r>
              <w:rPr>
                <w:rFonts w:hint="eastAsia"/>
              </w:rPr>
              <w:t>(3)耗能型缓冲器液位正确，验证柱塞复位的电气安全装置功能有效。</w:t>
            </w:r>
          </w:p>
        </w:tc>
        <w:tc>
          <w:tcPr>
            <w:tcW w:w="720" w:type="dxa"/>
            <w:tcBorders>
              <w:top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1232" w:type="dxa"/>
            <w:vMerge w:val="continue"/>
          </w:tcPr>
          <w:p/>
        </w:tc>
        <w:tc>
          <w:tcPr>
            <w:tcW w:w="810" w:type="dxa"/>
            <w:vMerge w:val="continue"/>
            <w:tcBorders>
              <w:right w:val="single" w:color="auto" w:sz="4" w:space="0"/>
            </w:tcBorders>
            <w:vAlign w:val="center"/>
          </w:tcPr>
          <w:p/>
        </w:tc>
        <w:tc>
          <w:tcPr>
            <w:tcW w:w="5565" w:type="dxa"/>
            <w:tcBorders>
              <w:left w:val="single" w:color="auto" w:sz="4" w:space="0"/>
            </w:tcBorders>
          </w:tcPr>
          <w:p>
            <w:r>
              <w:rPr>
                <w:rFonts w:hint="eastAsia"/>
              </w:rPr>
              <w:t>(4)防爆杂物电梯的缓冲器与轿厢、对重(平衡重)的撞击面采取的无火花措施保持完好。</w:t>
            </w:r>
          </w:p>
        </w:tc>
        <w:tc>
          <w:tcPr>
            <w:tcW w:w="720" w:type="dxa"/>
            <w:tcBorders>
              <w:top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3" w:hRule="atLeast"/>
          <w:jc w:val="center"/>
        </w:trPr>
        <w:tc>
          <w:tcPr>
            <w:tcW w:w="1232" w:type="dxa"/>
            <w:vAlign w:val="center"/>
          </w:tcPr>
          <w:p>
            <w:r>
              <w:t>A</w:t>
            </w:r>
            <w:r>
              <w:fldChar w:fldCharType="begin"/>
            </w:r>
            <w:r>
              <w:instrText xml:space="preserve"> HYPERLINK "https://3.2.2.1" </w:instrText>
            </w:r>
            <w:r>
              <w:fldChar w:fldCharType="separate"/>
            </w:r>
            <w:r>
              <w:t>3.2.2.1</w:t>
            </w:r>
            <w:r>
              <w:fldChar w:fldCharType="end"/>
            </w:r>
          </w:p>
        </w:tc>
        <w:tc>
          <w:tcPr>
            <w:tcW w:w="810" w:type="dxa"/>
            <w:tcBorders>
              <w:right w:val="single" w:color="auto" w:sz="4" w:space="0"/>
            </w:tcBorders>
            <w:vAlign w:val="center"/>
          </w:tcPr>
          <w:p>
            <w:r>
              <w:t>主开关</w:t>
            </w:r>
          </w:p>
        </w:tc>
        <w:tc>
          <w:tcPr>
            <w:tcW w:w="5565" w:type="dxa"/>
            <w:tcBorders>
              <w:left w:val="single" w:color="auto" w:sz="4" w:space="0"/>
            </w:tcBorders>
          </w:tcPr>
          <w:p>
            <w:r>
              <w:t>每台杂物电梯单独设有易于直接接近的主开关；机房为多台杂物电梯共用的，各主开关的操作机构易于识别。</w:t>
            </w:r>
          </w:p>
        </w:tc>
        <w:tc>
          <w:tcPr>
            <w:tcW w:w="72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1232" w:type="dxa"/>
            <w:vAlign w:val="center"/>
          </w:tcPr>
          <w:p>
            <w:r>
              <w:t>A</w:t>
            </w:r>
            <w:r>
              <w:fldChar w:fldCharType="begin"/>
            </w:r>
            <w:r>
              <w:instrText xml:space="preserve"> HYPERLINK "https://3.2.2.2" </w:instrText>
            </w:r>
            <w:r>
              <w:fldChar w:fldCharType="separate"/>
            </w:r>
            <w:r>
              <w:t>3.2.2.2</w:t>
            </w:r>
            <w:r>
              <w:fldChar w:fldCharType="end"/>
            </w:r>
          </w:p>
        </w:tc>
        <w:tc>
          <w:tcPr>
            <w:tcW w:w="810" w:type="dxa"/>
            <w:tcBorders>
              <w:right w:val="single" w:color="auto" w:sz="4" w:space="0"/>
            </w:tcBorders>
            <w:vAlign w:val="center"/>
          </w:tcPr>
          <w:p>
            <w:r>
              <w:t>断相、错相保护功能</w:t>
            </w:r>
          </w:p>
        </w:tc>
        <w:tc>
          <w:tcPr>
            <w:tcW w:w="5565" w:type="dxa"/>
            <w:tcBorders>
              <w:left w:val="single" w:color="auto" w:sz="4" w:space="0"/>
              <w:bottom w:val="single" w:color="auto" w:sz="4" w:space="0"/>
            </w:tcBorders>
            <w:vAlign w:val="center"/>
          </w:tcPr>
          <w:p>
            <w:r>
              <w:rPr>
                <w:rFonts w:hint="eastAsia"/>
              </w:rPr>
              <w:t>断相、错相保护功能有效；杂物电梯运行与相序无关时，可以不设错相保护。</w:t>
            </w:r>
          </w:p>
        </w:tc>
        <w:tc>
          <w:tcPr>
            <w:tcW w:w="720" w:type="dxa"/>
            <w:tcBorders>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4" w:hRule="atLeast"/>
          <w:jc w:val="center"/>
        </w:trPr>
        <w:tc>
          <w:tcPr>
            <w:tcW w:w="1232" w:type="dxa"/>
            <w:vMerge w:val="restart"/>
            <w:vAlign w:val="center"/>
          </w:tcPr>
          <w:p>
            <w:r>
              <w:t>A</w:t>
            </w:r>
            <w:r>
              <w:fldChar w:fldCharType="begin"/>
            </w:r>
            <w:r>
              <w:instrText xml:space="preserve"> HYPERLINK "https://3.2.2.3" </w:instrText>
            </w:r>
            <w:r>
              <w:fldChar w:fldCharType="separate"/>
            </w:r>
            <w:r>
              <w:t>3.2.2.3</w:t>
            </w:r>
            <w:r>
              <w:fldChar w:fldCharType="end"/>
            </w:r>
          </w:p>
        </w:tc>
        <w:tc>
          <w:tcPr>
            <w:tcW w:w="810" w:type="dxa"/>
            <w:vMerge w:val="restart"/>
            <w:vAlign w:val="center"/>
          </w:tcPr>
          <w:p>
            <w:r>
              <w:t>接地保护措施</w:t>
            </w:r>
          </w:p>
        </w:tc>
        <w:tc>
          <w:tcPr>
            <w:tcW w:w="5565" w:type="dxa"/>
          </w:tcPr>
          <w:p>
            <w:r>
              <w:rPr>
                <w:rFonts w:hint="eastAsia"/>
              </w:rPr>
              <w:t>(1)供电电源自进入机器空间起，中性导体(N,  零线)与保护导体(PE,  地线)始 终分开。</w:t>
            </w:r>
          </w:p>
        </w:tc>
        <w:tc>
          <w:tcPr>
            <w:tcW w:w="72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jc w:val="center"/>
        </w:trPr>
        <w:tc>
          <w:tcPr>
            <w:tcW w:w="1232" w:type="dxa"/>
            <w:vMerge w:val="continue"/>
          </w:tcPr>
          <w:p/>
        </w:tc>
        <w:tc>
          <w:tcPr>
            <w:tcW w:w="810" w:type="dxa"/>
            <w:vMerge w:val="continue"/>
            <w:vAlign w:val="center"/>
          </w:tcPr>
          <w:p/>
        </w:tc>
        <w:tc>
          <w:tcPr>
            <w:tcW w:w="5565" w:type="dxa"/>
          </w:tcPr>
          <w:p>
            <w:r>
              <w:rPr>
                <w:rFonts w:hint="eastAsia"/>
              </w:rPr>
              <w:t>(2)机器空间的电气设备及线管、线槽的外露可导电部分与保护导体(PE,  地线) 可靠连接。</w:t>
            </w:r>
          </w:p>
        </w:tc>
        <w:tc>
          <w:tcPr>
            <w:tcW w:w="72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jc w:val="center"/>
        </w:trPr>
        <w:tc>
          <w:tcPr>
            <w:tcW w:w="1232" w:type="dxa"/>
            <w:vMerge w:val="continue"/>
          </w:tcPr>
          <w:p/>
        </w:tc>
        <w:tc>
          <w:tcPr>
            <w:tcW w:w="810" w:type="dxa"/>
            <w:vMerge w:val="continue"/>
            <w:vAlign w:val="center"/>
          </w:tcPr>
          <w:p/>
        </w:tc>
        <w:tc>
          <w:tcPr>
            <w:tcW w:w="5565" w:type="dxa"/>
          </w:tcPr>
          <w:p>
            <w:r>
              <w:rPr>
                <w:rFonts w:hint="eastAsia"/>
              </w:rPr>
              <w:t>(3)含有电气安全装置的电路发生接地故障时，驱动主机立即停止运转，或者在第一次正常停止运转后，能够防止驱动主机再启动；恢复杂物电梯运行只能通过手动复位。</w:t>
            </w:r>
          </w:p>
        </w:tc>
        <w:tc>
          <w:tcPr>
            <w:tcW w:w="72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jc w:val="center"/>
        </w:trPr>
        <w:tc>
          <w:tcPr>
            <w:tcW w:w="1232" w:type="dxa"/>
            <w:vAlign w:val="center"/>
          </w:tcPr>
          <w:p>
            <w:r>
              <w:t>A</w:t>
            </w:r>
            <w:r>
              <w:fldChar w:fldCharType="begin"/>
            </w:r>
            <w:r>
              <w:instrText xml:space="preserve"> HYPERLINK "https://3.2.2.4" </w:instrText>
            </w:r>
            <w:r>
              <w:fldChar w:fldCharType="separate"/>
            </w:r>
            <w:r>
              <w:t>3.2.2.4</w:t>
            </w:r>
            <w:r>
              <w:fldChar w:fldCharType="end"/>
            </w:r>
          </w:p>
        </w:tc>
        <w:tc>
          <w:tcPr>
            <w:tcW w:w="810" w:type="dxa"/>
            <w:tcBorders>
              <w:right w:val="single" w:color="auto" w:sz="4" w:space="0"/>
            </w:tcBorders>
            <w:vAlign w:val="center"/>
          </w:tcPr>
          <w:p>
            <w:r>
              <w:t>防爆电气部件</w:t>
            </w:r>
          </w:p>
        </w:tc>
        <w:tc>
          <w:tcPr>
            <w:tcW w:w="5565" w:type="dxa"/>
            <w:tcBorders>
              <w:left w:val="single" w:color="auto" w:sz="4" w:space="0"/>
              <w:bottom w:val="single" w:color="auto" w:sz="4" w:space="0"/>
            </w:tcBorders>
            <w:vAlign w:val="center"/>
          </w:tcPr>
          <w:p>
            <w:r>
              <w:rPr>
                <w:rFonts w:hint="eastAsia"/>
              </w:rPr>
              <w:t>对于防爆杂物电梯，其防爆电气部件符合本附件A</w:t>
            </w:r>
            <w:r>
              <w:fldChar w:fldCharType="begin"/>
            </w:r>
            <w:r>
              <w:instrText xml:space="preserve"> HYPERLINK "https://1.2.3.12" </w:instrText>
            </w:r>
            <w:r>
              <w:fldChar w:fldCharType="separate"/>
            </w:r>
            <w:r>
              <w:rPr>
                <w:rFonts w:hint="eastAsia"/>
              </w:rPr>
              <w:t>1.2.3.12</w:t>
            </w:r>
            <w:r>
              <w:rPr>
                <w:rFonts w:hint="eastAsia"/>
              </w:rPr>
              <w:fldChar w:fldCharType="end"/>
            </w:r>
            <w:r>
              <w:rPr>
                <w:rFonts w:hint="eastAsia"/>
              </w:rPr>
              <w:t xml:space="preserve"> 条的要求。</w:t>
            </w:r>
          </w:p>
        </w:tc>
        <w:tc>
          <w:tcPr>
            <w:tcW w:w="720" w:type="dxa"/>
            <w:tcBorders>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8" w:hRule="atLeast"/>
          <w:jc w:val="center"/>
        </w:trPr>
        <w:tc>
          <w:tcPr>
            <w:tcW w:w="1232" w:type="dxa"/>
            <w:vAlign w:val="center"/>
          </w:tcPr>
          <w:p>
            <w:r>
              <w:t>A</w:t>
            </w:r>
            <w:r>
              <w:fldChar w:fldCharType="begin"/>
            </w:r>
            <w:r>
              <w:instrText xml:space="preserve"> HYPERLINK "https://3.2.2.5" </w:instrText>
            </w:r>
            <w:r>
              <w:fldChar w:fldCharType="separate"/>
            </w:r>
            <w:r>
              <w:t>3.2.2.5</w:t>
            </w:r>
            <w:r>
              <w:fldChar w:fldCharType="end"/>
            </w:r>
          </w:p>
        </w:tc>
        <w:tc>
          <w:tcPr>
            <w:tcW w:w="810" w:type="dxa"/>
            <w:tcBorders>
              <w:right w:val="single" w:color="auto" w:sz="4" w:space="0"/>
            </w:tcBorders>
            <w:vAlign w:val="center"/>
          </w:tcPr>
          <w:p>
            <w:pPr>
              <w:rPr>
                <w:szCs w:val="21"/>
              </w:rPr>
            </w:pPr>
            <w:r>
              <w:rPr>
                <w:rFonts w:hint="eastAsia"/>
              </w:rPr>
              <w:t>防爆电缆</w:t>
            </w:r>
          </w:p>
        </w:tc>
        <w:tc>
          <w:tcPr>
            <w:tcW w:w="5565" w:type="dxa"/>
            <w:tcBorders>
              <w:left w:val="single" w:color="auto" w:sz="4" w:space="0"/>
              <w:bottom w:val="single" w:color="auto" w:sz="4" w:space="0"/>
            </w:tcBorders>
          </w:tcPr>
          <w:p>
            <w:r>
              <w:rPr>
                <w:rFonts w:hint="eastAsia"/>
              </w:rPr>
              <w:t>对于防爆杂物电梯，其防爆电缆符合本附件A</w:t>
            </w:r>
            <w:r>
              <w:fldChar w:fldCharType="begin"/>
            </w:r>
            <w:r>
              <w:instrText xml:space="preserve"> HYPERLINK "https://1.2.3.13" </w:instrText>
            </w:r>
            <w:r>
              <w:fldChar w:fldCharType="separate"/>
            </w:r>
            <w:r>
              <w:rPr>
                <w:rFonts w:hint="eastAsia"/>
              </w:rPr>
              <w:t>1.2.3.13</w:t>
            </w:r>
            <w:r>
              <w:rPr>
                <w:rFonts w:hint="eastAsia"/>
              </w:rPr>
              <w:fldChar w:fldCharType="end"/>
            </w:r>
            <w:r>
              <w:rPr>
                <w:rFonts w:hint="eastAsia"/>
              </w:rPr>
              <w:t xml:space="preserve"> 条的要求。</w:t>
            </w:r>
          </w:p>
        </w:tc>
        <w:tc>
          <w:tcPr>
            <w:tcW w:w="720" w:type="dxa"/>
            <w:tcBorders>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1232" w:type="dxa"/>
            <w:vMerge w:val="restart"/>
            <w:vAlign w:val="center"/>
          </w:tcPr>
          <w:p>
            <w:r>
              <w:t>A</w:t>
            </w:r>
            <w:r>
              <w:fldChar w:fldCharType="begin"/>
            </w:r>
            <w:r>
              <w:instrText xml:space="preserve"> HYPERLINK "https://3.2.2.6" </w:instrText>
            </w:r>
            <w:r>
              <w:fldChar w:fldCharType="separate"/>
            </w:r>
            <w:r>
              <w:t>3.2.2.6</w:t>
            </w:r>
            <w:r>
              <w:fldChar w:fldCharType="end"/>
            </w:r>
          </w:p>
        </w:tc>
        <w:tc>
          <w:tcPr>
            <w:tcW w:w="810" w:type="dxa"/>
            <w:vMerge w:val="restart"/>
            <w:tcBorders>
              <w:right w:val="single" w:color="auto" w:sz="4" w:space="0"/>
            </w:tcBorders>
            <w:vAlign w:val="center"/>
          </w:tcPr>
          <w:p>
            <w:pPr>
              <w:rPr>
                <w:rFonts w:asciiTheme="minorEastAsia" w:hAnsiTheme="minorEastAsia"/>
                <w:szCs w:val="21"/>
              </w:rPr>
            </w:pPr>
            <w:r>
              <w:t>驱动主机</w:t>
            </w:r>
          </w:p>
        </w:tc>
        <w:tc>
          <w:tcPr>
            <w:tcW w:w="5565" w:type="dxa"/>
            <w:tcBorders>
              <w:left w:val="single" w:color="auto" w:sz="4" w:space="0"/>
            </w:tcBorders>
            <w:vAlign w:val="center"/>
          </w:tcPr>
          <w:p>
            <w:r>
              <w:rPr>
                <w:rFonts w:hint="eastAsia"/>
              </w:rPr>
              <w:t>(1)曳引轮绳槽、卷筒绳槽、链轮齿无缺损或者不正常磨损。</w:t>
            </w:r>
          </w:p>
        </w:tc>
        <w:tc>
          <w:tcPr>
            <w:tcW w:w="72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left w:val="single" w:color="auto" w:sz="4" w:space="0"/>
            </w:tcBorders>
            <w:vAlign w:val="center"/>
          </w:tcPr>
          <w:p>
            <w:r>
              <w:rPr>
                <w:rFonts w:hint="eastAsia"/>
              </w:rPr>
              <w:t>(2)制动器动作灵活、工作可靠。</w:t>
            </w:r>
          </w:p>
        </w:tc>
        <w:tc>
          <w:tcPr>
            <w:tcW w:w="72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left w:val="single" w:color="auto" w:sz="4" w:space="0"/>
            </w:tcBorders>
            <w:vAlign w:val="center"/>
          </w:tcPr>
          <w:p>
            <w:r>
              <w:rPr>
                <w:rFonts w:hint="eastAsia"/>
              </w:rPr>
              <w:t>(3)通常情况下溢流阀的调定工作压力不超过满载压力的140%,最大不高于满载压力的170%[在此情况下需提供相应的液压管路(包括液压缸)计算说明]。</w:t>
            </w:r>
          </w:p>
        </w:tc>
        <w:tc>
          <w:tcPr>
            <w:tcW w:w="72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left w:val="single" w:color="auto" w:sz="4" w:space="0"/>
            </w:tcBorders>
            <w:vAlign w:val="center"/>
          </w:tcPr>
          <w:p>
            <w:r>
              <w:rPr>
                <w:rFonts w:hint="eastAsia"/>
              </w:rPr>
              <w:t>(4)防爆杂物电梯的电动机、减速器、液压泵站、制动部件的外壳以及防爆电气部件外壳的最高表面温度不超过整机防爆标志中的温度组别要求。</w:t>
            </w:r>
          </w:p>
        </w:tc>
        <w:tc>
          <w:tcPr>
            <w:tcW w:w="72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jc w:val="center"/>
        </w:trPr>
        <w:tc>
          <w:tcPr>
            <w:tcW w:w="1232" w:type="dxa"/>
            <w:vMerge w:val="restart"/>
            <w:vAlign w:val="center"/>
          </w:tcPr>
          <w:p>
            <w:r>
              <w:t>A</w:t>
            </w:r>
            <w:r>
              <w:fldChar w:fldCharType="begin"/>
            </w:r>
            <w:r>
              <w:instrText xml:space="preserve"> HYPERLINK "https://3.2.3.1" </w:instrText>
            </w:r>
            <w:r>
              <w:fldChar w:fldCharType="separate"/>
            </w:r>
            <w:r>
              <w:t>3.2.3.1</w:t>
            </w:r>
            <w:r>
              <w:fldChar w:fldCharType="end"/>
            </w:r>
          </w:p>
        </w:tc>
        <w:tc>
          <w:tcPr>
            <w:tcW w:w="810" w:type="dxa"/>
            <w:vMerge w:val="restart"/>
            <w:tcBorders>
              <w:right w:val="single" w:color="auto" w:sz="4" w:space="0"/>
            </w:tcBorders>
            <w:vAlign w:val="center"/>
          </w:tcPr>
          <w:p>
            <w:r>
              <w:t>悬挂装置本体</w:t>
            </w:r>
          </w:p>
        </w:tc>
        <w:tc>
          <w:tcPr>
            <w:tcW w:w="5565" w:type="dxa"/>
            <w:tcBorders>
              <w:left w:val="single" w:color="auto" w:sz="4" w:space="0"/>
              <w:bottom w:val="single" w:color="auto" w:sz="4" w:space="0"/>
            </w:tcBorders>
            <w:vAlign w:val="center"/>
          </w:tcPr>
          <w:p>
            <w:r>
              <w:rPr>
                <w:rFonts w:hint="eastAsia"/>
              </w:rPr>
              <w:t>(1)钢丝绳无笼状畸变、绳股挤出、扭结、部分压扁、弯折或者严重锈蚀等达到报废条件的现象。</w:t>
            </w:r>
          </w:p>
        </w:tc>
        <w:tc>
          <w:tcPr>
            <w:tcW w:w="720" w:type="dxa"/>
            <w:tcBorders>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0"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(2)链条无严重磨损、锈蚀、变形或者断裂等达到报废条件的现象。</w:t>
            </w:r>
          </w:p>
        </w:tc>
        <w:tc>
          <w:tcPr>
            <w:tcW w:w="720" w:type="dxa"/>
            <w:tcBorders>
              <w:top w:val="single" w:color="auto" w:sz="4" w:space="0"/>
              <w:bottom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tcBorders>
            <w:vAlign w:val="center"/>
          </w:tcPr>
          <w:p>
            <w:r>
              <w:rPr>
                <w:rFonts w:hint="eastAsia"/>
              </w:rPr>
              <w:t>(3)其他类型悬挂装置的磨损、变形等不超过制造单位设定的报废指标。</w:t>
            </w:r>
          </w:p>
        </w:tc>
        <w:tc>
          <w:tcPr>
            <w:tcW w:w="720" w:type="dxa"/>
            <w:tcBorders>
              <w:top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 w:hRule="atLeast"/>
          <w:jc w:val="center"/>
        </w:trPr>
        <w:tc>
          <w:tcPr>
            <w:tcW w:w="1232" w:type="dxa"/>
            <w:vMerge w:val="restart"/>
            <w:vAlign w:val="center"/>
          </w:tcPr>
          <w:p>
            <w:r>
              <w:t>A</w:t>
            </w:r>
            <w:r>
              <w:fldChar w:fldCharType="begin"/>
            </w:r>
            <w:r>
              <w:instrText xml:space="preserve"> HYPERLINK "https://3.2.3.2" </w:instrText>
            </w:r>
            <w:r>
              <w:fldChar w:fldCharType="separate"/>
            </w:r>
            <w:r>
              <w:t>3.2.3.2</w:t>
            </w:r>
            <w:r>
              <w:fldChar w:fldCharType="end"/>
            </w:r>
          </w:p>
        </w:tc>
        <w:tc>
          <w:tcPr>
            <w:tcW w:w="810" w:type="dxa"/>
            <w:vMerge w:val="restart"/>
            <w:tcBorders>
              <w:right w:val="single" w:color="auto" w:sz="4" w:space="0"/>
            </w:tcBorders>
            <w:vAlign w:val="center"/>
          </w:tcPr>
          <w:p>
            <w:pPr>
              <w:rPr>
                <w:rFonts w:asciiTheme="minorEastAsia" w:hAnsiTheme="minorEastAsia"/>
                <w:szCs w:val="21"/>
              </w:rPr>
            </w:pPr>
            <w:r>
              <w:t>悬挂装置端部固定</w:t>
            </w:r>
          </w:p>
        </w:tc>
        <w:tc>
          <w:tcPr>
            <w:tcW w:w="5565" w:type="dxa"/>
            <w:tcBorders>
              <w:left w:val="single" w:color="auto" w:sz="4" w:space="0"/>
            </w:tcBorders>
          </w:tcPr>
          <w:p>
            <w:r>
              <w:rPr>
                <w:rFonts w:hint="eastAsia"/>
              </w:rPr>
              <w:t>(1)悬挂装置的端部固定部件无裂纹、松动等现象，端接装置的弹簧、螺母、开口销等连接部件无缺损。</w:t>
            </w:r>
          </w:p>
        </w:tc>
        <w:tc>
          <w:tcPr>
            <w:tcW w:w="720"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left w:val="single" w:color="auto" w:sz="4" w:space="0"/>
            </w:tcBorders>
          </w:tcPr>
          <w:p>
            <w:r>
              <w:rPr>
                <w:rFonts w:hint="eastAsia"/>
              </w:rPr>
              <w:t>(2)对于强制驱动杂物电梯，采用带楔块的压紧装置或者至少用两个绳夹将悬挂装置固定在卷筒上。</w:t>
            </w:r>
          </w:p>
        </w:tc>
        <w:tc>
          <w:tcPr>
            <w:tcW w:w="720"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jc w:val="center"/>
        </w:trPr>
        <w:tc>
          <w:tcPr>
            <w:tcW w:w="1232" w:type="dxa"/>
            <w:vMerge w:val="restart"/>
            <w:vAlign w:val="center"/>
          </w:tcPr>
          <w:p>
            <w:r>
              <w:t>A</w:t>
            </w:r>
            <w:r>
              <w:fldChar w:fldCharType="begin"/>
            </w:r>
            <w:r>
              <w:instrText xml:space="preserve"> HYPERLINK "https://3.2.3.3" </w:instrText>
            </w:r>
            <w:r>
              <w:fldChar w:fldCharType="separate"/>
            </w:r>
            <w:r>
              <w:t>3.2.3.3</w:t>
            </w:r>
            <w:r>
              <w:fldChar w:fldCharType="end"/>
            </w:r>
          </w:p>
        </w:tc>
        <w:tc>
          <w:tcPr>
            <w:tcW w:w="810" w:type="dxa"/>
            <w:vMerge w:val="restart"/>
            <w:tcBorders>
              <w:right w:val="single" w:color="auto" w:sz="4" w:space="0"/>
            </w:tcBorders>
            <w:vAlign w:val="center"/>
          </w:tcPr>
          <w:p>
            <w:r>
              <w:t>钢丝绳卷绕</w:t>
            </w:r>
          </w:p>
        </w:tc>
        <w:tc>
          <w:tcPr>
            <w:tcW w:w="5565" w:type="dxa"/>
            <w:tcBorders>
              <w:left w:val="single" w:color="auto" w:sz="4" w:space="0"/>
            </w:tcBorders>
          </w:tcPr>
          <w:p>
            <w:r>
              <w:t>(1)当轿厢停在完全压缩的缓冲器或者限位挡块上时，卷筒的绳槽中至少保留1.5圈的钢丝绳</w:t>
            </w:r>
            <w:r>
              <w:rPr>
                <w:rFonts w:hint="eastAsia"/>
              </w:rPr>
              <w:t>。</w:t>
            </w:r>
          </w:p>
        </w:tc>
        <w:tc>
          <w:tcPr>
            <w:tcW w:w="720"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jc w:val="center"/>
        </w:trPr>
        <w:tc>
          <w:tcPr>
            <w:tcW w:w="1232" w:type="dxa"/>
            <w:vMerge w:val="continue"/>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tcBorders>
          </w:tcPr>
          <w:p>
            <w:r>
              <w:t>(2)卷筒上只能卷绕一层钢丝绳。</w:t>
            </w:r>
          </w:p>
          <w:p/>
        </w:tc>
        <w:tc>
          <w:tcPr>
            <w:tcW w:w="720"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jc w:val="center"/>
        </w:trPr>
        <w:tc>
          <w:tcPr>
            <w:tcW w:w="1232" w:type="dxa"/>
            <w:vAlign w:val="center"/>
          </w:tcPr>
          <w:p>
            <w:r>
              <w:t>A</w:t>
            </w:r>
            <w:r>
              <w:fldChar w:fldCharType="begin"/>
            </w:r>
            <w:r>
              <w:instrText xml:space="preserve"> HYPERLINK "https://3.2.3.4" </w:instrText>
            </w:r>
            <w:r>
              <w:fldChar w:fldCharType="separate"/>
            </w:r>
            <w:r>
              <w:t>3.2.3.4</w:t>
            </w:r>
            <w:r>
              <w:fldChar w:fldCharType="end"/>
            </w:r>
          </w:p>
        </w:tc>
        <w:tc>
          <w:tcPr>
            <w:tcW w:w="810" w:type="dxa"/>
            <w:tcBorders>
              <w:right w:val="single" w:color="auto" w:sz="4" w:space="0"/>
            </w:tcBorders>
            <w:vAlign w:val="center"/>
          </w:tcPr>
          <w:p>
            <w:r>
              <w:t>松绳(链)保护措施</w:t>
            </w:r>
          </w:p>
        </w:tc>
        <w:tc>
          <w:tcPr>
            <w:tcW w:w="5565" w:type="dxa"/>
            <w:tcBorders>
              <w:left w:val="single" w:color="auto" w:sz="4" w:space="0"/>
            </w:tcBorders>
            <w:vAlign w:val="center"/>
          </w:tcPr>
          <w:p>
            <w:r>
              <w:rPr>
                <w:rFonts w:hint="eastAsia"/>
              </w:rPr>
              <w:t>对于强制驱动杂物电梯，或者设置了检查悬挂绳(链)松弛的电气安全装置的间接作用式液压驱动杂物电梯，悬挂绳(链)松弛时，电气安全装置能够防止杂物电梯的正常运行。</w:t>
            </w:r>
          </w:p>
        </w:tc>
        <w:tc>
          <w:tcPr>
            <w:tcW w:w="720"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jc w:val="center"/>
        </w:trPr>
        <w:tc>
          <w:tcPr>
            <w:tcW w:w="1232" w:type="dxa"/>
            <w:vAlign w:val="center"/>
          </w:tcPr>
          <w:p>
            <w:r>
              <w:t>A</w:t>
            </w:r>
            <w:r>
              <w:fldChar w:fldCharType="begin"/>
            </w:r>
            <w:r>
              <w:instrText xml:space="preserve"> HYPERLINK "https://3.2.3.5" </w:instrText>
            </w:r>
            <w:r>
              <w:fldChar w:fldCharType="separate"/>
            </w:r>
            <w:r>
              <w:t>3.2.3.5</w:t>
            </w:r>
            <w:r>
              <w:fldChar w:fldCharType="end"/>
            </w:r>
          </w:p>
        </w:tc>
        <w:tc>
          <w:tcPr>
            <w:tcW w:w="810" w:type="dxa"/>
            <w:tcBorders>
              <w:right w:val="single" w:color="auto" w:sz="4" w:space="0"/>
            </w:tcBorders>
            <w:vAlign w:val="center"/>
          </w:tcPr>
          <w:p>
            <w:pPr>
              <w:rPr>
                <w:rFonts w:asciiTheme="minorEastAsia" w:hAnsiTheme="minorEastAsia"/>
                <w:szCs w:val="21"/>
              </w:rPr>
            </w:pPr>
            <w:r>
              <w:t>旋转部件防护装置</w:t>
            </w:r>
          </w:p>
        </w:tc>
        <w:tc>
          <w:tcPr>
            <w:tcW w:w="5565" w:type="dxa"/>
            <w:tcBorders>
              <w:left w:val="single" w:color="auto" w:sz="4" w:space="0"/>
              <w:bottom w:val="single" w:color="auto" w:sz="4" w:space="0"/>
            </w:tcBorders>
          </w:tcPr>
          <w:p>
            <w:r>
              <w:rPr>
                <w:rFonts w:hint="eastAsia"/>
              </w:rPr>
              <w:t>曳引轮、滑轮、链轮、限速器和张紧轮均设有防护装置，以避免人身伤害、钢丝绳(链条)因松弛而脱离绳槽(链轮)、异物进入钢丝绳(链条)与绳槽(链轮)之间，并且防护装置与运动部件无碰擦。</w:t>
            </w:r>
          </w:p>
        </w:tc>
        <w:tc>
          <w:tcPr>
            <w:tcW w:w="720" w:type="dxa"/>
            <w:tcBorders>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 w:hRule="atLeast"/>
          <w:jc w:val="center"/>
        </w:trPr>
        <w:tc>
          <w:tcPr>
            <w:tcW w:w="1232" w:type="dxa"/>
            <w:vAlign w:val="center"/>
          </w:tcPr>
          <w:p>
            <w:r>
              <w:t>A</w:t>
            </w:r>
            <w:r>
              <w:fldChar w:fldCharType="begin"/>
            </w:r>
            <w:r>
              <w:instrText xml:space="preserve"> HYPERLINK "https://3.2.4.1" </w:instrText>
            </w:r>
            <w:r>
              <w:fldChar w:fldCharType="separate"/>
            </w:r>
            <w:r>
              <w:t>3.2.4.1</w:t>
            </w:r>
            <w:r>
              <w:fldChar w:fldCharType="end"/>
            </w:r>
          </w:p>
        </w:tc>
        <w:tc>
          <w:tcPr>
            <w:tcW w:w="810" w:type="dxa"/>
            <w:tcBorders>
              <w:right w:val="single" w:color="auto" w:sz="4" w:space="0"/>
            </w:tcBorders>
            <w:vAlign w:val="center"/>
          </w:tcPr>
          <w:p>
            <w:r>
              <w:t>轿厢尺寸</w:t>
            </w:r>
          </w:p>
        </w:tc>
        <w:tc>
          <w:tcPr>
            <w:tcW w:w="5565" w:type="dxa"/>
            <w:tcBorders>
              <w:left w:val="single" w:color="auto" w:sz="4" w:space="0"/>
              <w:bottom w:val="single" w:color="auto" w:sz="4" w:space="0"/>
            </w:tcBorders>
            <w:vAlign w:val="center"/>
          </w:tcPr>
          <w:p>
            <w:r>
              <w:rPr>
                <w:rFonts w:hint="eastAsia"/>
              </w:rPr>
              <w:t>(1)轿底面积不大于1.00m², 轿厢深度不大于1.00m、 高度不大于1.20m。如果轿厢由几个固定的间隔组成，并且每一 间隔高度均符合本条要求，则轿厢总高度允许大于1.20m。</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1" w:hRule="atLeast"/>
          <w:jc w:val="center"/>
        </w:trPr>
        <w:tc>
          <w:tcPr>
            <w:tcW w:w="1232" w:type="dxa"/>
            <w:vAlign w:val="center"/>
          </w:tcPr>
          <w:p>
            <w:r>
              <w:t>A</w:t>
            </w:r>
            <w:r>
              <w:fldChar w:fldCharType="begin"/>
            </w:r>
            <w:r>
              <w:instrText xml:space="preserve"> HYPERLINK "https://3.2.4.2" </w:instrText>
            </w:r>
            <w:r>
              <w:fldChar w:fldCharType="separate"/>
            </w:r>
            <w:r>
              <w:t>3.2.4.2</w:t>
            </w:r>
            <w:r>
              <w:fldChar w:fldCharType="end"/>
            </w:r>
          </w:p>
        </w:tc>
        <w:tc>
          <w:tcPr>
            <w:tcW w:w="810" w:type="dxa"/>
            <w:tcBorders>
              <w:right w:val="single" w:color="auto" w:sz="4" w:space="0"/>
            </w:tcBorders>
            <w:vAlign w:val="center"/>
          </w:tcPr>
          <w:p>
            <w:r>
              <w:t>轿厢内铭牌</w:t>
            </w:r>
          </w:p>
        </w:tc>
        <w:tc>
          <w:tcPr>
            <w:tcW w:w="5565" w:type="dxa"/>
            <w:tcBorders>
              <w:left w:val="single" w:color="auto" w:sz="4" w:space="0"/>
              <w:bottom w:val="single" w:color="auto" w:sz="4" w:space="0"/>
            </w:tcBorders>
            <w:vAlign w:val="center"/>
          </w:tcPr>
          <w:p>
            <w:r>
              <w:rPr>
                <w:rFonts w:hint="eastAsia"/>
              </w:rPr>
              <w:t>轿厢内设有铭牌，标明制造单位名称或者商标、整机防爆标志(适用于防 爆杂物电梯);改造后的杂物电梯，加贴铭牌上标明改造单位名称或者商标、整机防爆标志(适用于防爆杂物电梯)、改造竣工日期。</w:t>
            </w:r>
          </w:p>
        </w:tc>
        <w:tc>
          <w:tcPr>
            <w:tcW w:w="720" w:type="dxa"/>
            <w:tcBorders>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jc w:val="center"/>
        </w:trPr>
        <w:tc>
          <w:tcPr>
            <w:tcW w:w="1232" w:type="dxa"/>
            <w:vMerge w:val="restart"/>
            <w:vAlign w:val="center"/>
          </w:tcPr>
          <w:p>
            <w:r>
              <w:t>A</w:t>
            </w:r>
            <w:r>
              <w:fldChar w:fldCharType="begin"/>
            </w:r>
            <w:r>
              <w:instrText xml:space="preserve"> HYPERLINK "https://3.2.4.3" </w:instrText>
            </w:r>
            <w:r>
              <w:fldChar w:fldCharType="separate"/>
            </w:r>
            <w:r>
              <w:t>3.2.4.3</w:t>
            </w:r>
            <w:r>
              <w:fldChar w:fldCharType="end"/>
            </w:r>
          </w:p>
        </w:tc>
        <w:tc>
          <w:tcPr>
            <w:tcW w:w="810" w:type="dxa"/>
            <w:vMerge w:val="restart"/>
            <w:tcBorders>
              <w:right w:val="single" w:color="auto" w:sz="4" w:space="0"/>
            </w:tcBorders>
            <w:vAlign w:val="center"/>
          </w:tcPr>
          <w:p>
            <w:pPr>
              <w:rPr>
                <w:rFonts w:asciiTheme="minorEastAsia" w:hAnsiTheme="minorEastAsia"/>
                <w:szCs w:val="21"/>
              </w:rPr>
            </w:pPr>
            <w:r>
              <w:t>轿厢位置指示信号</w:t>
            </w:r>
          </w:p>
        </w:tc>
        <w:tc>
          <w:tcPr>
            <w:tcW w:w="5565" w:type="dxa"/>
            <w:tcBorders>
              <w:left w:val="single" w:color="auto" w:sz="4" w:space="0"/>
              <w:bottom w:val="single" w:color="auto" w:sz="4" w:space="0"/>
            </w:tcBorders>
            <w:vAlign w:val="center"/>
          </w:tcPr>
          <w:p>
            <w:r>
              <w:rPr>
                <w:rFonts w:hint="eastAsia"/>
              </w:rPr>
              <w:t>(1)轿厢停留在该层站期间保持开启。</w:t>
            </w:r>
          </w:p>
        </w:tc>
        <w:tc>
          <w:tcPr>
            <w:tcW w:w="720" w:type="dxa"/>
            <w:tcBorders>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tcBorders>
            <w:vAlign w:val="center"/>
          </w:tcPr>
          <w:p>
            <w:r>
              <w:rPr>
                <w:rFonts w:hint="eastAsia"/>
              </w:rPr>
              <w:t>(2)轿厢离开该层站后自动关闭。</w:t>
            </w:r>
          </w:p>
        </w:tc>
        <w:tc>
          <w:tcPr>
            <w:tcW w:w="720" w:type="dxa"/>
            <w:tcBorders>
              <w:top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tcBorders>
            <w:vAlign w:val="center"/>
          </w:tcPr>
          <w:p>
            <w:r>
              <w:rPr>
                <w:rFonts w:hint="eastAsia"/>
              </w:rPr>
              <w:t>(3)醒目并且不被遮挡。</w:t>
            </w:r>
          </w:p>
        </w:tc>
        <w:tc>
          <w:tcPr>
            <w:tcW w:w="720" w:type="dxa"/>
            <w:tcBorders>
              <w:top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 w:hRule="atLeast"/>
          <w:jc w:val="center"/>
        </w:trPr>
        <w:tc>
          <w:tcPr>
            <w:tcW w:w="1232" w:type="dxa"/>
            <w:vMerge w:val="restart"/>
            <w:vAlign w:val="center"/>
          </w:tcPr>
          <w:p>
            <w:r>
              <w:t>A</w:t>
            </w:r>
            <w:r>
              <w:fldChar w:fldCharType="begin"/>
            </w:r>
            <w:r>
              <w:instrText xml:space="preserve"> HYPERLINK "https://3.2.4.4" </w:instrText>
            </w:r>
            <w:r>
              <w:fldChar w:fldCharType="separate"/>
            </w:r>
            <w:r>
              <w:t>3.2.4.4</w:t>
            </w:r>
            <w:r>
              <w:fldChar w:fldCharType="end"/>
            </w:r>
          </w:p>
        </w:tc>
        <w:tc>
          <w:tcPr>
            <w:tcW w:w="810" w:type="dxa"/>
            <w:vMerge w:val="restart"/>
            <w:tcBorders>
              <w:right w:val="single" w:color="auto" w:sz="4" w:space="0"/>
            </w:tcBorders>
            <w:vAlign w:val="center"/>
          </w:tcPr>
          <w:p>
            <w:pPr>
              <w:rPr>
                <w:rFonts w:asciiTheme="minorEastAsia" w:hAnsiTheme="minorEastAsia"/>
                <w:szCs w:val="21"/>
              </w:rPr>
            </w:pPr>
            <w:r>
              <w:rPr>
                <w:rFonts w:hint="eastAsia"/>
              </w:rPr>
              <w:t>防止轿厢移动装置</w:t>
            </w:r>
          </w:p>
        </w:tc>
        <w:tc>
          <w:tcPr>
            <w:tcW w:w="5565" w:type="dxa"/>
            <w:tcBorders>
              <w:left w:val="single" w:color="auto" w:sz="4" w:space="0"/>
              <w:bottom w:val="single" w:color="auto" w:sz="4" w:space="0"/>
            </w:tcBorders>
            <w:vAlign w:val="center"/>
          </w:tcPr>
          <w:p>
            <w:r>
              <w:rPr>
                <w:rFonts w:hint="eastAsia"/>
              </w:rPr>
              <w:t>(1)轿厢设置机械停止装置以使其停在指定位置上。</w:t>
            </w:r>
          </w:p>
        </w:tc>
        <w:tc>
          <w:tcPr>
            <w:tcW w:w="720" w:type="dxa"/>
            <w:tcBorders>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(2)在轿顶上或者井道内每一层门旁设有停止装置。</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8" w:hRule="atLeast"/>
          <w:jc w:val="center"/>
        </w:trPr>
        <w:tc>
          <w:tcPr>
            <w:tcW w:w="1232" w:type="dxa"/>
            <w:vAlign w:val="center"/>
          </w:tcPr>
          <w:p>
            <w:r>
              <w:t>A</w:t>
            </w:r>
            <w:r>
              <w:fldChar w:fldCharType="begin"/>
            </w:r>
            <w:r>
              <w:instrText xml:space="preserve"> HYPERLINK "https://3.2.4.5" </w:instrText>
            </w:r>
            <w:r>
              <w:fldChar w:fldCharType="separate"/>
            </w:r>
            <w:r>
              <w:t>3.2.4.5</w:t>
            </w:r>
            <w:r>
              <w:fldChar w:fldCharType="end"/>
            </w:r>
          </w:p>
        </w:tc>
        <w:tc>
          <w:tcPr>
            <w:tcW w:w="810" w:type="dxa"/>
            <w:tcBorders>
              <w:right w:val="single" w:color="auto" w:sz="4" w:space="0"/>
            </w:tcBorders>
            <w:vAlign w:val="center"/>
          </w:tcPr>
          <w:p>
            <w:pPr>
              <w:rPr>
                <w:rFonts w:asciiTheme="minorEastAsia" w:hAnsiTheme="minorEastAsia"/>
                <w:szCs w:val="21"/>
              </w:rPr>
            </w:pPr>
            <w:r>
              <w:rPr>
                <w:rFonts w:hint="eastAsia"/>
              </w:rPr>
              <w:t>护脚板</w:t>
            </w:r>
          </w:p>
        </w:tc>
        <w:tc>
          <w:tcPr>
            <w:tcW w:w="5565" w:type="dxa"/>
            <w:tcBorders>
              <w:left w:val="single" w:color="auto" w:sz="4" w:space="0"/>
            </w:tcBorders>
            <w:vAlign w:val="center"/>
          </w:tcPr>
          <w:p>
            <w:r>
              <w:rPr>
                <w:rFonts w:hint="eastAsia"/>
              </w:rPr>
              <w:t>对于需要在开门的情况下进行再平层的杂物电梯，其轿厢地坎下设有护脚板，其垂直部分的高度不小于有效开锁区域的高度，宽度不小于层站入口宽度。</w:t>
            </w:r>
          </w:p>
        </w:tc>
        <w:tc>
          <w:tcPr>
            <w:tcW w:w="72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1232" w:type="dxa"/>
            <w:vMerge w:val="restart"/>
            <w:vAlign w:val="center"/>
          </w:tcPr>
          <w:p>
            <w:r>
              <w:t>A</w:t>
            </w:r>
            <w:r>
              <w:fldChar w:fldCharType="begin"/>
            </w:r>
            <w:r>
              <w:instrText xml:space="preserve"> HYPERLINK "https://3.2.4.6" </w:instrText>
            </w:r>
            <w:r>
              <w:fldChar w:fldCharType="separate"/>
            </w:r>
            <w:r>
              <w:t>3.2.4.6</w:t>
            </w:r>
            <w:r>
              <w:fldChar w:fldCharType="end"/>
            </w:r>
          </w:p>
        </w:tc>
        <w:tc>
          <w:tcPr>
            <w:tcW w:w="810" w:type="dxa"/>
            <w:vMerge w:val="restart"/>
            <w:tcBorders>
              <w:right w:val="single" w:color="auto" w:sz="4" w:space="0"/>
            </w:tcBorders>
            <w:vAlign w:val="center"/>
          </w:tcPr>
          <w:p>
            <w:pPr>
              <w:rPr>
                <w:rFonts w:asciiTheme="minorEastAsia" w:hAnsiTheme="minorEastAsia"/>
                <w:szCs w:val="21"/>
              </w:rPr>
            </w:pPr>
            <w:r>
              <w:rPr>
                <w:rFonts w:hint="eastAsia"/>
              </w:rPr>
              <w:t>自动搭接地坎</w:t>
            </w:r>
          </w:p>
        </w:tc>
        <w:tc>
          <w:tcPr>
            <w:tcW w:w="5565" w:type="dxa"/>
            <w:tcBorders>
              <w:left w:val="single" w:color="auto" w:sz="4" w:space="0"/>
              <w:bottom w:val="single" w:color="auto" w:sz="4" w:space="0"/>
            </w:tcBorders>
          </w:tcPr>
          <w:p>
            <w:r>
              <w:rPr>
                <w:rFonts w:hint="eastAsia"/>
              </w:rPr>
              <w:t>(1)层门开启时自动移动到服务位置，在层门关闭作用下收起。</w:t>
            </w:r>
          </w:p>
        </w:tc>
        <w:tc>
          <w:tcPr>
            <w:tcW w:w="720" w:type="dxa"/>
            <w:tcBorders>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tcBorders>
          </w:tcPr>
          <w:p>
            <w:r>
              <w:rPr>
                <w:rFonts w:hint="eastAsia"/>
              </w:rPr>
              <w:t>(2)宽度不小于轿厢入口宽度，长度不小于开锁区域的1/2加50mm与轿厢地板至层门地坎的距离加20mm 的较大者。</w:t>
            </w:r>
          </w:p>
        </w:tc>
        <w:tc>
          <w:tcPr>
            <w:tcW w:w="720" w:type="dxa"/>
            <w:tcBorders>
              <w:top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 w:hRule="atLeast"/>
          <w:jc w:val="center"/>
        </w:trPr>
        <w:tc>
          <w:tcPr>
            <w:tcW w:w="1232" w:type="dxa"/>
            <w:vMerge w:val="continue"/>
          </w:tcPr>
          <w:p/>
        </w:tc>
        <w:tc>
          <w:tcPr>
            <w:tcW w:w="810" w:type="dxa"/>
            <w:vMerge w:val="continue"/>
            <w:tcBorders>
              <w:right w:val="single" w:color="auto" w:sz="4" w:space="0"/>
            </w:tcBorders>
            <w:vAlign w:val="center"/>
          </w:tcPr>
          <w:p/>
        </w:tc>
        <w:tc>
          <w:tcPr>
            <w:tcW w:w="5565" w:type="dxa"/>
            <w:tcBorders>
              <w:left w:val="single" w:color="auto" w:sz="4" w:space="0"/>
              <w:bottom w:val="single" w:color="auto" w:sz="4" w:space="0"/>
            </w:tcBorders>
          </w:tcPr>
          <w:p>
            <w:r>
              <w:rPr>
                <w:rFonts w:hint="eastAsia"/>
              </w:rPr>
              <w:t>(3)无论轿厢在何位置，均与轿厢地板有不小于20mm的重叠。</w:t>
            </w:r>
          </w:p>
        </w:tc>
        <w:tc>
          <w:tcPr>
            <w:tcW w:w="720" w:type="dxa"/>
            <w:tcBorders>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jc w:val="center"/>
        </w:trPr>
        <w:tc>
          <w:tcPr>
            <w:tcW w:w="1232" w:type="dxa"/>
            <w:vMerge w:val="restart"/>
            <w:vAlign w:val="center"/>
          </w:tcPr>
          <w:p>
            <w:r>
              <w:t>A</w:t>
            </w:r>
            <w:r>
              <w:fldChar w:fldCharType="begin"/>
            </w:r>
            <w:r>
              <w:instrText xml:space="preserve"> HYPERLINK "https://3.2.4.7" </w:instrText>
            </w:r>
            <w:r>
              <w:fldChar w:fldCharType="separate"/>
            </w:r>
            <w:r>
              <w:t>3.2.4.7</w:t>
            </w:r>
            <w:r>
              <w:fldChar w:fldCharType="end"/>
            </w:r>
          </w:p>
        </w:tc>
        <w:tc>
          <w:tcPr>
            <w:tcW w:w="810" w:type="dxa"/>
            <w:vMerge w:val="restart"/>
            <w:tcBorders>
              <w:right w:val="single" w:color="auto" w:sz="4" w:space="0"/>
            </w:tcBorders>
            <w:vAlign w:val="center"/>
          </w:tcPr>
          <w:p>
            <w:pPr>
              <w:rPr>
                <w:rFonts w:asciiTheme="minorEastAsia" w:hAnsiTheme="minorEastAsia"/>
                <w:szCs w:val="21"/>
              </w:rPr>
            </w:pPr>
            <w:r>
              <w:rPr>
                <w:rFonts w:hint="eastAsia"/>
              </w:rPr>
              <w:t>轿厢入口</w:t>
            </w:r>
          </w:p>
        </w:tc>
        <w:tc>
          <w:tcPr>
            <w:tcW w:w="5565" w:type="dxa"/>
            <w:tcBorders>
              <w:left w:val="single" w:color="auto" w:sz="4" w:space="0"/>
            </w:tcBorders>
            <w:vAlign w:val="center"/>
          </w:tcPr>
          <w:p>
            <w:r>
              <w:rPr>
                <w:rFonts w:hint="eastAsia"/>
              </w:rPr>
              <w:t>(1)验证其关闭状态的电气安全装置功能有效。</w:t>
            </w:r>
          </w:p>
        </w:tc>
        <w:tc>
          <w:tcPr>
            <w:tcW w:w="72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left w:val="single" w:color="auto" w:sz="4" w:space="0"/>
            </w:tcBorders>
            <w:vAlign w:val="center"/>
          </w:tcPr>
          <w:p>
            <w:r>
              <w:rPr>
                <w:rFonts w:hint="eastAsia"/>
              </w:rPr>
              <w:t>(2)正常运行时无脱轨、机械卡阻或者错位现象。</w:t>
            </w:r>
          </w:p>
        </w:tc>
        <w:tc>
          <w:tcPr>
            <w:tcW w:w="72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jc w:val="center"/>
        </w:trPr>
        <w:tc>
          <w:tcPr>
            <w:tcW w:w="1232" w:type="dxa"/>
            <w:vAlign w:val="center"/>
          </w:tcPr>
          <w:p>
            <w:r>
              <w:t>A</w:t>
            </w:r>
            <w:r>
              <w:fldChar w:fldCharType="begin"/>
            </w:r>
            <w:r>
              <w:instrText xml:space="preserve"> HYPERLINK "https://3.2.4.8" </w:instrText>
            </w:r>
            <w:r>
              <w:fldChar w:fldCharType="separate"/>
            </w:r>
            <w:r>
              <w:t>3.2.4.8</w:t>
            </w:r>
            <w:r>
              <w:fldChar w:fldCharType="end"/>
            </w:r>
          </w:p>
        </w:tc>
        <w:tc>
          <w:tcPr>
            <w:tcW w:w="810" w:type="dxa"/>
            <w:tcBorders>
              <w:right w:val="single" w:color="auto" w:sz="4" w:space="0"/>
            </w:tcBorders>
            <w:vAlign w:val="center"/>
          </w:tcPr>
          <w:p>
            <w:pPr>
              <w:rPr>
                <w:rFonts w:asciiTheme="minorEastAsia" w:hAnsiTheme="minorEastAsia"/>
                <w:szCs w:val="21"/>
              </w:rPr>
            </w:pPr>
            <w:r>
              <w:rPr>
                <w:rFonts w:hint="eastAsia"/>
              </w:rPr>
              <w:t>对重(平衡重)块</w:t>
            </w:r>
          </w:p>
        </w:tc>
        <w:tc>
          <w:tcPr>
            <w:tcW w:w="5565" w:type="dxa"/>
            <w:tcBorders>
              <w:left w:val="single" w:color="auto" w:sz="4" w:space="0"/>
              <w:bottom w:val="single" w:color="auto" w:sz="4" w:space="0"/>
            </w:tcBorders>
            <w:vAlign w:val="center"/>
          </w:tcPr>
          <w:p>
            <w:r>
              <w:rPr>
                <w:rFonts w:hint="eastAsia"/>
              </w:rPr>
              <w:t>对重(平衡重)块无松动、移位等现象。</w:t>
            </w:r>
          </w:p>
        </w:tc>
        <w:tc>
          <w:tcPr>
            <w:tcW w:w="720" w:type="dxa"/>
            <w:tcBorders>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 w:hRule="atLeast"/>
          <w:jc w:val="center"/>
        </w:trPr>
        <w:tc>
          <w:tcPr>
            <w:tcW w:w="1232" w:type="dxa"/>
            <w:vAlign w:val="center"/>
          </w:tcPr>
          <w:p>
            <w:r>
              <w:t>A</w:t>
            </w:r>
            <w:r>
              <w:fldChar w:fldCharType="begin"/>
            </w:r>
            <w:r>
              <w:instrText xml:space="preserve"> HYPERLINK "https://3.2.5.1" </w:instrText>
            </w:r>
            <w:r>
              <w:fldChar w:fldCharType="separate"/>
            </w:r>
            <w:r>
              <w:t>3.2.5.1</w:t>
            </w:r>
            <w:r>
              <w:fldChar w:fldCharType="end"/>
            </w:r>
          </w:p>
        </w:tc>
        <w:tc>
          <w:tcPr>
            <w:tcW w:w="810" w:type="dxa"/>
            <w:tcBorders>
              <w:right w:val="single" w:color="auto" w:sz="4" w:space="0"/>
            </w:tcBorders>
            <w:vAlign w:val="center"/>
          </w:tcPr>
          <w:p>
            <w:pPr>
              <w:rPr>
                <w:spacing w:val="5"/>
                <w:sz w:val="22"/>
              </w:rPr>
            </w:pPr>
            <w:r>
              <w:rPr>
                <w:rFonts w:hint="eastAsia"/>
              </w:rPr>
              <w:t>层门与轿厢的间隙</w:t>
            </w:r>
          </w:p>
        </w:tc>
        <w:tc>
          <w:tcPr>
            <w:tcW w:w="5565" w:type="dxa"/>
            <w:tcBorders>
              <w:top w:val="single" w:color="auto" w:sz="4" w:space="0"/>
              <w:left w:val="single" w:color="auto" w:sz="4" w:space="0"/>
              <w:bottom w:val="single" w:color="auto" w:sz="4" w:space="0"/>
            </w:tcBorders>
            <w:vAlign w:val="center"/>
          </w:tcPr>
          <w:p>
            <w:r>
              <w:rPr>
                <w:rFonts w:hint="eastAsia"/>
              </w:rPr>
              <w:t>在层门全开状态下，层门或者层门框架与轿厢之间的间隙不大于35mm。</w:t>
            </w:r>
          </w:p>
        </w:tc>
        <w:tc>
          <w:tcPr>
            <w:tcW w:w="72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r>
              <w:t>A</w:t>
            </w:r>
            <w:r>
              <w:fldChar w:fldCharType="begin"/>
            </w:r>
            <w:r>
              <w:instrText xml:space="preserve"> HYPERLINK "https://3.2.5.2" </w:instrText>
            </w:r>
            <w:r>
              <w:fldChar w:fldCharType="separate"/>
            </w:r>
            <w:r>
              <w:t>3.2.5.2</w:t>
            </w:r>
            <w:r>
              <w:fldChar w:fldCharType="end"/>
            </w:r>
          </w:p>
        </w:tc>
        <w:tc>
          <w:tcPr>
            <w:tcW w:w="810" w:type="dxa"/>
            <w:tcBorders>
              <w:right w:val="single" w:color="auto" w:sz="4" w:space="0"/>
            </w:tcBorders>
            <w:vAlign w:val="center"/>
          </w:tcPr>
          <w:p>
            <w:pPr>
              <w:rPr>
                <w:rFonts w:asciiTheme="minorEastAsia" w:hAnsiTheme="minorEastAsia"/>
                <w:szCs w:val="21"/>
              </w:rPr>
            </w:pPr>
            <w:r>
              <w:rPr>
                <w:rFonts w:hint="eastAsia"/>
              </w:rPr>
              <w:t>门间隙</w:t>
            </w:r>
          </w:p>
        </w:tc>
        <w:tc>
          <w:tcPr>
            <w:tcW w:w="5565" w:type="dxa"/>
            <w:tcBorders>
              <w:top w:val="single" w:color="auto" w:sz="4" w:space="0"/>
              <w:left w:val="single" w:color="auto" w:sz="4" w:space="0"/>
              <w:bottom w:val="single" w:color="auto" w:sz="4" w:space="0"/>
            </w:tcBorders>
            <w:vAlign w:val="center"/>
          </w:tcPr>
          <w:p>
            <w:r>
              <w:rPr>
                <w:rFonts w:hint="eastAsia"/>
              </w:rPr>
              <w:t>门关闭后，门扇之间及门扇与立柱、门楣和地坎之间的间隙不大于6mm。使用过程中由于磨损，允许达到10mm。</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6" w:hRule="atLeast"/>
          <w:jc w:val="center"/>
        </w:trPr>
        <w:tc>
          <w:tcPr>
            <w:tcW w:w="1232" w:type="dxa"/>
            <w:vAlign w:val="center"/>
          </w:tcPr>
          <w:p>
            <w:r>
              <w:t>A</w:t>
            </w:r>
            <w:r>
              <w:fldChar w:fldCharType="begin"/>
            </w:r>
            <w:r>
              <w:instrText xml:space="preserve"> HYPERLINK "https://3.2.5.3" </w:instrText>
            </w:r>
            <w:r>
              <w:fldChar w:fldCharType="separate"/>
            </w:r>
            <w:r>
              <w:t>3.2.5.3</w:t>
            </w:r>
            <w:r>
              <w:fldChar w:fldCharType="end"/>
            </w:r>
          </w:p>
        </w:tc>
        <w:tc>
          <w:tcPr>
            <w:tcW w:w="810" w:type="dxa"/>
            <w:tcBorders>
              <w:right w:val="single" w:color="auto" w:sz="4" w:space="0"/>
            </w:tcBorders>
            <w:vAlign w:val="center"/>
          </w:tcPr>
          <w:p>
            <w:pPr>
              <w:rPr>
                <w:rFonts w:asciiTheme="minorEastAsia" w:hAnsiTheme="minorEastAsia"/>
                <w:szCs w:val="21"/>
              </w:rPr>
            </w:pPr>
            <w:r>
              <w:rPr>
                <w:rFonts w:hint="eastAsia"/>
              </w:rPr>
              <w:t>门再开启保护装置</w:t>
            </w:r>
          </w:p>
        </w:tc>
        <w:tc>
          <w:tcPr>
            <w:tcW w:w="5565" w:type="dxa"/>
            <w:tcBorders>
              <w:top w:val="single" w:color="auto" w:sz="4" w:space="0"/>
              <w:left w:val="single" w:color="auto" w:sz="4" w:space="0"/>
              <w:bottom w:val="single" w:color="auto" w:sz="4" w:space="0"/>
            </w:tcBorders>
            <w:vAlign w:val="center"/>
          </w:tcPr>
          <w:p>
            <w:r>
              <w:rPr>
                <w:rFonts w:hint="eastAsia"/>
              </w:rPr>
              <w:t>在自动门关闭过程中，人员或者货物被撞击或者将被撞击时，保护装置能够自动使门重新开启。</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jc w:val="center"/>
        </w:trPr>
        <w:tc>
          <w:tcPr>
            <w:tcW w:w="1232" w:type="dxa"/>
            <w:vAlign w:val="center"/>
          </w:tcPr>
          <w:p>
            <w:r>
              <w:t>A</w:t>
            </w:r>
            <w:r>
              <w:fldChar w:fldCharType="begin"/>
            </w:r>
            <w:r>
              <w:instrText xml:space="preserve"> HYPERLINK "https://3.2.5.4" </w:instrText>
            </w:r>
            <w:r>
              <w:fldChar w:fldCharType="separate"/>
            </w:r>
            <w:r>
              <w:t>3.2.5.4</w:t>
            </w:r>
            <w:r>
              <w:fldChar w:fldCharType="end"/>
            </w:r>
          </w:p>
        </w:tc>
        <w:tc>
          <w:tcPr>
            <w:tcW w:w="810" w:type="dxa"/>
            <w:tcBorders>
              <w:right w:val="single" w:color="auto" w:sz="4" w:space="0"/>
            </w:tcBorders>
            <w:vAlign w:val="center"/>
          </w:tcPr>
          <w:p>
            <w:pPr>
              <w:rPr>
                <w:rFonts w:asciiTheme="minorEastAsia" w:hAnsiTheme="minorEastAsia"/>
                <w:szCs w:val="21"/>
              </w:rPr>
            </w:pPr>
            <w:r>
              <w:rPr>
                <w:rFonts w:hint="eastAsia"/>
              </w:rPr>
              <w:t>门的运行与导向</w:t>
            </w:r>
          </w:p>
        </w:tc>
        <w:tc>
          <w:tcPr>
            <w:tcW w:w="5565" w:type="dxa"/>
            <w:tcBorders>
              <w:top w:val="single" w:color="auto" w:sz="4" w:space="0"/>
              <w:left w:val="single" w:color="auto" w:sz="4" w:space="0"/>
              <w:bottom w:val="single" w:color="auto" w:sz="4" w:space="0"/>
            </w:tcBorders>
            <w:vAlign w:val="center"/>
          </w:tcPr>
          <w:p>
            <w:r>
              <w:rPr>
                <w:rFonts w:hint="eastAsia"/>
              </w:rPr>
              <w:t>层门正常运行时，无脱轨、机械卡阻或者错位现象。</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jc w:val="center"/>
        </w:trPr>
        <w:tc>
          <w:tcPr>
            <w:tcW w:w="1232" w:type="dxa"/>
            <w:vMerge w:val="restart"/>
            <w:vAlign w:val="center"/>
          </w:tcPr>
          <w:p>
            <w:r>
              <w:t>A</w:t>
            </w:r>
            <w:r>
              <w:fldChar w:fldCharType="begin"/>
            </w:r>
            <w:r>
              <w:instrText xml:space="preserve"> HYPERLINK "https://3.2.5.5" </w:instrText>
            </w:r>
            <w:r>
              <w:fldChar w:fldCharType="separate"/>
            </w:r>
            <w:r>
              <w:t>3.2.5.5</w:t>
            </w:r>
            <w:r>
              <w:fldChar w:fldCharType="end"/>
            </w:r>
          </w:p>
        </w:tc>
        <w:tc>
          <w:tcPr>
            <w:tcW w:w="810" w:type="dxa"/>
            <w:vMerge w:val="restart"/>
            <w:tcBorders>
              <w:right w:val="single" w:color="auto" w:sz="4" w:space="0"/>
            </w:tcBorders>
            <w:vAlign w:val="center"/>
          </w:tcPr>
          <w:p>
            <w:pPr>
              <w:rPr>
                <w:rFonts w:asciiTheme="minorEastAsia" w:hAnsiTheme="minorEastAsia"/>
                <w:szCs w:val="21"/>
              </w:rPr>
            </w:pPr>
            <w:r>
              <w:rPr>
                <w:rFonts w:hint="eastAsia"/>
              </w:rPr>
              <w:t>自动关闭层门装置</w:t>
            </w:r>
          </w:p>
        </w:tc>
        <w:tc>
          <w:tcPr>
            <w:tcW w:w="5565" w:type="dxa"/>
            <w:tcBorders>
              <w:top w:val="single" w:color="auto" w:sz="4" w:space="0"/>
              <w:left w:val="single" w:color="auto" w:sz="4" w:space="0"/>
              <w:bottom w:val="single" w:color="auto" w:sz="4" w:space="0"/>
            </w:tcBorders>
            <w:vAlign w:val="center"/>
          </w:tcPr>
          <w:p>
            <w:r>
              <w:rPr>
                <w:rFonts w:hint="eastAsia"/>
              </w:rPr>
              <w:t>(1)在轿门驱动层门的情况下，当轿厢在开锁区域之外时，自动关闭层门装置能够使开启的层门关闭。</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(2)自动关闭层门装置采用重块的，其防止重块坠落的措施保持有效；对于防爆杂物电梯，无火花措施保持完好。</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8" w:hRule="atLeast"/>
          <w:jc w:val="center"/>
        </w:trPr>
        <w:tc>
          <w:tcPr>
            <w:tcW w:w="1232" w:type="dxa"/>
            <w:vAlign w:val="center"/>
          </w:tcPr>
          <w:p>
            <w:r>
              <w:t>A</w:t>
            </w:r>
            <w:r>
              <w:fldChar w:fldCharType="begin"/>
            </w:r>
            <w:r>
              <w:instrText xml:space="preserve"> HYPERLINK "https://3.2.5.6" </w:instrText>
            </w:r>
            <w:r>
              <w:fldChar w:fldCharType="separate"/>
            </w:r>
            <w:r>
              <w:t>3.2.5.6</w:t>
            </w:r>
            <w:r>
              <w:fldChar w:fldCharType="end"/>
            </w:r>
          </w:p>
        </w:tc>
        <w:tc>
          <w:tcPr>
            <w:tcW w:w="810" w:type="dxa"/>
            <w:tcBorders>
              <w:right w:val="single" w:color="auto" w:sz="4" w:space="0"/>
            </w:tcBorders>
            <w:vAlign w:val="center"/>
          </w:tcPr>
          <w:p>
            <w:pPr>
              <w:rPr>
                <w:rFonts w:asciiTheme="minorEastAsia" w:hAnsiTheme="minorEastAsia"/>
                <w:szCs w:val="21"/>
              </w:rPr>
            </w:pPr>
            <w:r>
              <w:rPr>
                <w:rFonts w:hint="eastAsia"/>
              </w:rPr>
              <w:t>紧急开锁</w:t>
            </w:r>
          </w:p>
        </w:tc>
        <w:tc>
          <w:tcPr>
            <w:tcW w:w="5565" w:type="dxa"/>
            <w:tcBorders>
              <w:top w:val="single" w:color="auto" w:sz="4" w:space="0"/>
              <w:left w:val="single" w:color="auto" w:sz="4" w:space="0"/>
              <w:bottom w:val="single" w:color="auto" w:sz="4" w:space="0"/>
            </w:tcBorders>
            <w:vAlign w:val="center"/>
          </w:tcPr>
          <w:p>
            <w:r>
              <w:rPr>
                <w:rFonts w:hint="eastAsia"/>
              </w:rPr>
              <w:t>每个层门均能够被专用钥匙从外面开启；紧急开锁后，在层门闭合时门锁装置未保持在开锁位置。</w:t>
            </w:r>
          </w:p>
          <w:p>
            <w:r>
              <w:rPr>
                <w:rFonts w:hint="eastAsia"/>
              </w:rPr>
              <w:t>对于允许按照JG 135—2000《杂物电梯》及更早期标准生产的杂物电梯，可以仅在端站层门配置紧急开锁装置。</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1232" w:type="dxa"/>
            <w:vMerge w:val="restart"/>
            <w:vAlign w:val="center"/>
          </w:tcPr>
          <w:p>
            <w:r>
              <w:t>A</w:t>
            </w:r>
            <w:r>
              <w:fldChar w:fldCharType="begin"/>
            </w:r>
            <w:r>
              <w:instrText xml:space="preserve"> HYPERLINK "https://3.2.5.7" </w:instrText>
            </w:r>
            <w:r>
              <w:fldChar w:fldCharType="separate"/>
            </w:r>
            <w:r>
              <w:t>3.2.5.7</w:t>
            </w:r>
            <w:r>
              <w:fldChar w:fldCharType="end"/>
            </w:r>
          </w:p>
        </w:tc>
        <w:tc>
          <w:tcPr>
            <w:tcW w:w="810" w:type="dxa"/>
            <w:vMerge w:val="restart"/>
            <w:tcBorders>
              <w:right w:val="single" w:color="auto" w:sz="4" w:space="0"/>
            </w:tcBorders>
            <w:vAlign w:val="center"/>
          </w:tcPr>
          <w:p>
            <w:pPr>
              <w:rPr>
                <w:rFonts w:asciiTheme="minorEastAsia" w:hAnsiTheme="minorEastAsia"/>
                <w:szCs w:val="21"/>
              </w:rPr>
            </w:pPr>
            <w:r>
              <w:rPr>
                <w:rFonts w:hint="eastAsia"/>
              </w:rPr>
              <w:t>门的锁紧与闭合</w:t>
            </w:r>
          </w:p>
        </w:tc>
        <w:tc>
          <w:tcPr>
            <w:tcW w:w="5565" w:type="dxa"/>
            <w:tcBorders>
              <w:top w:val="single" w:color="auto" w:sz="4" w:space="0"/>
              <w:left w:val="single" w:color="auto" w:sz="4" w:space="0"/>
              <w:bottom w:val="single" w:color="auto" w:sz="4" w:space="0"/>
            </w:tcBorders>
            <w:vAlign w:val="center"/>
          </w:tcPr>
          <w:p>
            <w:r>
              <w:rPr>
                <w:rFonts w:hint="eastAsia"/>
              </w:rPr>
              <w:t>(1)每个层门均设有门锁装置，其锁紧动作由重力、永久磁铁或者弹簧来产生和保持，即使永久磁铁或者弹簧失效，重力也不能导致开锁。</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(2)门的锁紧由电气安全装置电气证实，只有在层门锁紧后杂物电梯才能运行；对于同时满足额定速度不大于0.63m/s、 开门高度不大于1 .20m 和层站地坎距地面高度不小于0.70m的杂物电梯，门的锁紧可以不由电气装置电气证实，但是当轿厢驶离开锁区域时，锁紧元件能够自动关闭，而且除了正常锁紧位置外，至少有第二个锁紧位置。</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(3)每个层门的闭合均由电气安全装置来验证，如果滑动门是由数个间接机械连接的门扇组成，则未被锁住的门扇上也设有电气安全装置以验证其闭合状态。</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r>
              <w:t>A</w:t>
            </w:r>
            <w:r>
              <w:fldChar w:fldCharType="begin"/>
            </w:r>
            <w:r>
              <w:instrText xml:space="preserve"> HYPERLINK "https://3.2.5.8" </w:instrText>
            </w:r>
            <w:r>
              <w:fldChar w:fldCharType="separate"/>
            </w:r>
            <w:r>
              <w:t>3.2.5.8</w:t>
            </w:r>
            <w:r>
              <w:fldChar w:fldCharType="end"/>
            </w:r>
          </w:p>
        </w:tc>
        <w:tc>
          <w:tcPr>
            <w:tcW w:w="810" w:type="dxa"/>
            <w:tcBorders>
              <w:right w:val="single" w:color="auto" w:sz="4" w:space="0"/>
            </w:tcBorders>
            <w:vAlign w:val="center"/>
          </w:tcPr>
          <w:p>
            <w:pPr>
              <w:rPr>
                <w:spacing w:val="6"/>
                <w:sz w:val="23"/>
                <w:szCs w:val="23"/>
              </w:rPr>
            </w:pPr>
            <w:r>
              <w:rPr>
                <w:rFonts w:hint="eastAsia"/>
              </w:rPr>
              <w:t>层站标识</w:t>
            </w:r>
          </w:p>
        </w:tc>
        <w:tc>
          <w:tcPr>
            <w:tcW w:w="5565" w:type="dxa"/>
            <w:tcBorders>
              <w:top w:val="single" w:color="auto" w:sz="4" w:space="0"/>
              <w:left w:val="single" w:color="auto" w:sz="4" w:space="0"/>
              <w:bottom w:val="single" w:color="auto" w:sz="4" w:space="0"/>
            </w:tcBorders>
            <w:vAlign w:val="center"/>
          </w:tcPr>
          <w:p>
            <w:r>
              <w:rPr>
                <w:rFonts w:hint="eastAsia"/>
              </w:rPr>
              <w:t>每个层门或者其附近位置标示杂物电梯的额定载重量，并且设有包含"禁止进入轿厢"文字的警示标志。</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6" w:hRule="atLeast"/>
          <w:jc w:val="center"/>
        </w:trPr>
        <w:tc>
          <w:tcPr>
            <w:tcW w:w="1232" w:type="dxa"/>
            <w:vMerge w:val="restart"/>
            <w:vAlign w:val="center"/>
          </w:tcPr>
          <w:p>
            <w:r>
              <w:t xml:space="preserve">A3.3.1 </w:t>
            </w:r>
          </w:p>
        </w:tc>
        <w:tc>
          <w:tcPr>
            <w:tcW w:w="810" w:type="dxa"/>
            <w:vMerge w:val="restart"/>
            <w:tcBorders>
              <w:right w:val="single" w:color="auto" w:sz="4" w:space="0"/>
            </w:tcBorders>
            <w:vAlign w:val="center"/>
          </w:tcPr>
          <w:p>
            <w:pPr>
              <w:rPr>
                <w:rFonts w:asciiTheme="minorEastAsia" w:hAnsiTheme="minorEastAsia"/>
                <w:szCs w:val="21"/>
              </w:rPr>
            </w:pPr>
            <w:r>
              <w:rPr>
                <w:rFonts w:hint="eastAsia"/>
              </w:rPr>
              <w:t>轿厢限速器-安全钳试验</w:t>
            </w:r>
          </w:p>
        </w:tc>
        <w:tc>
          <w:tcPr>
            <w:tcW w:w="5565" w:type="dxa"/>
            <w:tcBorders>
              <w:top w:val="single" w:color="auto" w:sz="4" w:space="0"/>
              <w:left w:val="single" w:color="auto" w:sz="4" w:space="0"/>
              <w:bottom w:val="single" w:color="auto" w:sz="4" w:space="0"/>
            </w:tcBorders>
            <w:vAlign w:val="center"/>
          </w:tcPr>
          <w:p>
            <w:r>
              <w:rPr>
                <w:rFonts w:hint="eastAsia"/>
              </w:rPr>
              <w:t>(1)限速器各调节部位封记完好，运转时无碰擦、卡阻、转动不灵活等现象，动作正常。</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(2)当限速器绳或者安全绳断裂或者过分伸长时，能够通过电气安全装置防止杂物电梯的正常运行。</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(3)轿厢上设置的在轿厢安全钳动作以前或者同时使驱动主机停止运转的电气安全装置功能有效。</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(4)轿厢内装载额定载重量的载荷，以额定速度或者检修速度下行，进行限速器-安全钳联动试验；对于采用悬挂装置断裂或者安全绳触发的轿厢安全钳，轿厢内装载额定载重量的载荷，模拟悬挂装置断裂或者安全绳被触发的状态进行试验，限速器、安全钳动作可靠，未出现对杂物电梯正常使用有不利影响的损坏；定期检验时，以轿厢空载、额定速度或者检修速度下行的工况进行试验，限速器、安全钳动作可靠。</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restart"/>
            <w:vAlign w:val="center"/>
          </w:tcPr>
          <w:p>
            <w:r>
              <w:t xml:space="preserve">A3.3.2 </w:t>
            </w:r>
          </w:p>
        </w:tc>
        <w:tc>
          <w:tcPr>
            <w:tcW w:w="810" w:type="dxa"/>
            <w:vMerge w:val="restart"/>
            <w:tcBorders>
              <w:right w:val="single" w:color="auto" w:sz="4" w:space="0"/>
            </w:tcBorders>
            <w:vAlign w:val="center"/>
          </w:tcPr>
          <w:p>
            <w:pPr>
              <w:rPr>
                <w:rFonts w:asciiTheme="minorEastAsia" w:hAnsiTheme="minorEastAsia"/>
                <w:szCs w:val="21"/>
              </w:rPr>
            </w:pPr>
            <w:r>
              <w:rPr>
                <w:rFonts w:hint="eastAsia"/>
              </w:rPr>
              <w:t>对重(平衡重)限速器-安全钳试验</w:t>
            </w:r>
          </w:p>
        </w:tc>
        <w:tc>
          <w:tcPr>
            <w:tcW w:w="5565" w:type="dxa"/>
            <w:tcBorders>
              <w:top w:val="single" w:color="auto" w:sz="4" w:space="0"/>
              <w:left w:val="single" w:color="auto" w:sz="4" w:space="0"/>
              <w:bottom w:val="single" w:color="auto" w:sz="4" w:space="0"/>
            </w:tcBorders>
            <w:vAlign w:val="center"/>
          </w:tcPr>
          <w:p>
            <w:r>
              <w:rPr>
                <w:rFonts w:hint="eastAsia"/>
              </w:rPr>
              <w:t>(1)限速器各调节部位封记完好，运转时无碰擦、卡阻、转动不灵活等现象，动作正常。</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(2)当限速器绳或者安全绳断裂或者过分伸长时，能够通过电气安全装置防止杂物电梯的正常运行。</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(3)轿厢空载，以额定速度或者检修速度上行，进行限速器-安全钳联动试验；对于采用悬挂装置断裂或者安全绳触发的安全钳，轿厢空载，模拟悬挂装置断裂或者安全绳被触发的状态进行试验，限速器、安全钳动作可靠。</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jc w:val="center"/>
        </w:trPr>
        <w:tc>
          <w:tcPr>
            <w:tcW w:w="1232" w:type="dxa"/>
            <w:vMerge w:val="restart"/>
            <w:vAlign w:val="center"/>
          </w:tcPr>
          <w:p>
            <w:r>
              <w:t xml:space="preserve">A3.3.3 </w:t>
            </w:r>
          </w:p>
        </w:tc>
        <w:tc>
          <w:tcPr>
            <w:tcW w:w="810" w:type="dxa"/>
            <w:vMerge w:val="restart"/>
            <w:tcBorders>
              <w:right w:val="single" w:color="auto" w:sz="4" w:space="0"/>
            </w:tcBorders>
            <w:vAlign w:val="center"/>
          </w:tcPr>
          <w:p>
            <w:pPr>
              <w:rPr>
                <w:rFonts w:asciiTheme="minorEastAsia" w:hAnsiTheme="minorEastAsia"/>
                <w:szCs w:val="21"/>
              </w:rPr>
            </w:pPr>
            <w:r>
              <w:rPr>
                <w:rFonts w:hint="eastAsia"/>
              </w:rPr>
              <w:t>破裂阀试验</w:t>
            </w:r>
          </w:p>
        </w:tc>
        <w:tc>
          <w:tcPr>
            <w:tcW w:w="5565" w:type="dxa"/>
            <w:tcBorders>
              <w:top w:val="single" w:color="auto" w:sz="4" w:space="0"/>
              <w:left w:val="single" w:color="auto" w:sz="4" w:space="0"/>
              <w:bottom w:val="single" w:color="auto" w:sz="4" w:space="0"/>
            </w:tcBorders>
            <w:vAlign w:val="center"/>
          </w:tcPr>
          <w:p>
            <w:r>
              <w:rPr>
                <w:rFonts w:hint="eastAsia"/>
              </w:rPr>
              <w:t>(1)监督检验时，轿厢内装载额定载重量的载荷下行。</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(2)定期检验时，轿厢空载下行。</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jc w:val="center"/>
        </w:trPr>
        <w:tc>
          <w:tcPr>
            <w:tcW w:w="1232" w:type="dxa"/>
            <w:vAlign w:val="center"/>
          </w:tcPr>
          <w:p>
            <w:r>
              <w:t>A3.3.4</w:t>
            </w:r>
          </w:p>
        </w:tc>
        <w:tc>
          <w:tcPr>
            <w:tcW w:w="810" w:type="dxa"/>
            <w:tcBorders>
              <w:right w:val="single" w:color="auto" w:sz="4" w:space="0"/>
            </w:tcBorders>
            <w:vAlign w:val="center"/>
          </w:tcPr>
          <w:p>
            <w:pPr>
              <w:rPr>
                <w:sz w:val="22"/>
              </w:rPr>
            </w:pPr>
            <w:r>
              <w:rPr>
                <w:rFonts w:hint="eastAsia"/>
              </w:rPr>
              <w:t>沉降试验</w:t>
            </w:r>
          </w:p>
        </w:tc>
        <w:tc>
          <w:tcPr>
            <w:tcW w:w="5565" w:type="dxa"/>
            <w:tcBorders>
              <w:top w:val="single" w:color="auto" w:sz="4" w:space="0"/>
              <w:left w:val="single" w:color="auto" w:sz="4" w:space="0"/>
              <w:bottom w:val="single" w:color="auto" w:sz="4" w:space="0"/>
            </w:tcBorders>
            <w:vAlign w:val="center"/>
          </w:tcPr>
          <w:p>
            <w:r>
              <w:rPr>
                <w:rFonts w:hint="eastAsia"/>
              </w:rPr>
              <w:t>对于液压驱动杂物电梯，轿厢内装载额定载重量的载荷停在上端站，10min内的下沉距离不超过10mm。</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 w:hRule="atLeast"/>
          <w:jc w:val="center"/>
        </w:trPr>
        <w:tc>
          <w:tcPr>
            <w:tcW w:w="1232" w:type="dxa"/>
            <w:vMerge w:val="restart"/>
            <w:vAlign w:val="center"/>
          </w:tcPr>
          <w:p>
            <w:r>
              <w:t>A3.3.5</w:t>
            </w:r>
          </w:p>
        </w:tc>
        <w:tc>
          <w:tcPr>
            <w:tcW w:w="810" w:type="dxa"/>
            <w:vMerge w:val="restart"/>
            <w:tcBorders>
              <w:right w:val="single" w:color="auto" w:sz="4" w:space="0"/>
            </w:tcBorders>
            <w:vAlign w:val="center"/>
          </w:tcPr>
          <w:p>
            <w:pPr>
              <w:rPr>
                <w:sz w:val="22"/>
              </w:rPr>
            </w:pPr>
            <w:r>
              <w:rPr>
                <w:rFonts w:hint="eastAsia"/>
              </w:rPr>
              <w:t>制动试验</w:t>
            </w:r>
          </w:p>
        </w:tc>
        <w:tc>
          <w:tcPr>
            <w:tcW w:w="5565" w:type="dxa"/>
            <w:tcBorders>
              <w:top w:val="single" w:color="auto" w:sz="4" w:space="0"/>
              <w:left w:val="single" w:color="auto" w:sz="4" w:space="0"/>
              <w:bottom w:val="single" w:color="auto" w:sz="4" w:space="0"/>
            </w:tcBorders>
            <w:vAlign w:val="center"/>
          </w:tcPr>
          <w:p>
            <w:r>
              <w:rPr>
                <w:rFonts w:hint="eastAsia"/>
              </w:rPr>
              <w:t>(1)轿厢内装载125%额定载重量的载荷，以额定速度下行至行程下部，切断电动机与制动器供电，制动器能够使驱动主机停止运转，曳引式杂物电梯轿厢能够完全停止。</w:t>
            </w:r>
          </w:p>
        </w:tc>
        <w:tc>
          <w:tcPr>
            <w:tcW w:w="720" w:type="dxa"/>
            <w:tcBorders>
              <w:top w:val="single" w:color="auto" w:sz="4" w:space="0"/>
              <w:bottom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4" w:hRule="atLeast"/>
          <w:jc w:val="center"/>
        </w:trPr>
        <w:tc>
          <w:tcPr>
            <w:tcW w:w="1232" w:type="dxa"/>
            <w:vMerge w:val="continue"/>
            <w:vAlign w:val="center"/>
          </w:tcPr>
          <w:p/>
        </w:tc>
        <w:tc>
          <w:tcPr>
            <w:tcW w:w="810" w:type="dxa"/>
            <w:vMerge w:val="continue"/>
            <w:tcBorders>
              <w:right w:val="single" w:color="auto" w:sz="4" w:space="0"/>
            </w:tcBorders>
            <w:vAlign w:val="center"/>
          </w:tcPr>
          <w:p/>
        </w:tc>
        <w:tc>
          <w:tcPr>
            <w:tcW w:w="5565" w:type="dxa"/>
            <w:tcBorders>
              <w:top w:val="single" w:color="auto" w:sz="4" w:space="0"/>
              <w:left w:val="single" w:color="auto" w:sz="4" w:space="0"/>
              <w:bottom w:val="single" w:color="auto" w:sz="4" w:space="0"/>
            </w:tcBorders>
            <w:vAlign w:val="center"/>
          </w:tcPr>
          <w:p>
            <w:r>
              <w:rPr>
                <w:rFonts w:hint="eastAsia"/>
              </w:rPr>
              <w:t>(2)对于曳引式杂物电梯，轿厢空载以额定速度上行至行程上部，切断电动机与制动器供电，轿厢能够完全停止。</w:t>
            </w:r>
          </w:p>
        </w:tc>
        <w:tc>
          <w:tcPr>
            <w:tcW w:w="720" w:type="dxa"/>
            <w:tcBorders>
              <w:top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 w:hRule="atLeast"/>
          <w:jc w:val="center"/>
        </w:trPr>
        <w:tc>
          <w:tcPr>
            <w:tcW w:w="1232" w:type="dxa"/>
            <w:vAlign w:val="center"/>
          </w:tcPr>
          <w:p>
            <w:r>
              <w:t xml:space="preserve">A3.3.6 </w:t>
            </w:r>
          </w:p>
        </w:tc>
        <w:tc>
          <w:tcPr>
            <w:tcW w:w="810" w:type="dxa"/>
            <w:tcBorders>
              <w:right w:val="single" w:color="auto" w:sz="4" w:space="0"/>
            </w:tcBorders>
            <w:vAlign w:val="center"/>
          </w:tcPr>
          <w:p>
            <w:r>
              <w:rPr>
                <w:rFonts w:hint="eastAsia"/>
              </w:rPr>
              <w:t>运行试验</w:t>
            </w:r>
          </w:p>
        </w:tc>
        <w:tc>
          <w:tcPr>
            <w:tcW w:w="5565" w:type="dxa"/>
            <w:tcBorders>
              <w:top w:val="single" w:color="auto" w:sz="4" w:space="0"/>
              <w:left w:val="single" w:color="auto" w:sz="4" w:space="0"/>
              <w:bottom w:val="single" w:color="auto" w:sz="4" w:space="0"/>
            </w:tcBorders>
            <w:vAlign w:val="center"/>
          </w:tcPr>
          <w:p>
            <w:r>
              <w:rPr>
                <w:rFonts w:hint="eastAsia"/>
              </w:rPr>
              <w:t>轿厢分别空载、满载，以额定速度上、下运行，呼梯、楼层显示等信号系统功能有效、指示正确、动作无误，无异常现象发生。</w:t>
            </w:r>
          </w:p>
        </w:tc>
        <w:tc>
          <w:tcPr>
            <w:tcW w:w="720" w:type="dxa"/>
            <w:tcBorders>
              <w:top w:val="single" w:color="auto" w:sz="4" w:space="0"/>
              <w:bottom w:val="single" w:color="auto" w:sz="4" w:space="0"/>
            </w:tcBorders>
          </w:tcPr>
          <w:p/>
        </w:tc>
      </w:tr>
    </w:tbl>
    <w:p>
      <w:r>
        <w:rPr>
          <w:rFonts w:hint="eastAsia"/>
        </w:rPr>
        <w:t>附件A</w:t>
      </w:r>
    </w:p>
    <w:tbl>
      <w:tblPr>
        <w:tblStyle w:val="5"/>
        <w:tblpPr w:leftFromText="180" w:rightFromText="180" w:vertAnchor="text" w:horzAnchor="page" w:tblpX="2556" w:tblpY="494"/>
        <w:tblOverlap w:val="never"/>
        <w:tblW w:w="6697" w:type="dxa"/>
        <w:tblInd w:w="0" w:type="dxa"/>
        <w:tblLayout w:type="fixed"/>
        <w:tblCellMar>
          <w:top w:w="0" w:type="dxa"/>
          <w:left w:w="108" w:type="dxa"/>
          <w:bottom w:w="0" w:type="dxa"/>
          <w:right w:w="108" w:type="dxa"/>
        </w:tblCellMar>
      </w:tblPr>
      <w:tblGrid>
        <w:gridCol w:w="521"/>
        <w:gridCol w:w="705"/>
        <w:gridCol w:w="1337"/>
        <w:gridCol w:w="901"/>
        <w:gridCol w:w="944"/>
        <w:gridCol w:w="1184"/>
        <w:gridCol w:w="1105"/>
      </w:tblGrid>
      <w:tr>
        <w:tblPrEx>
          <w:tblCellMar>
            <w:top w:w="0" w:type="dxa"/>
            <w:left w:w="108" w:type="dxa"/>
            <w:bottom w:w="0" w:type="dxa"/>
            <w:right w:w="108" w:type="dxa"/>
          </w:tblCellMar>
        </w:tblPrEx>
        <w:trPr>
          <w:trHeight w:val="270" w:hRule="atLeast"/>
        </w:trPr>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kern w:val="0"/>
              </w:rPr>
              <w:t>项目编号</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ign w:val="center"/>
          </w:tcPr>
          <w:p>
            <w:r>
              <w:t>A</w:t>
            </w:r>
            <w:r>
              <w:fldChar w:fldCharType="begin"/>
            </w:r>
            <w:r>
              <w:instrText xml:space="preserve"> HYPERLINK "https://3.2.5.1" </w:instrText>
            </w:r>
            <w:r>
              <w:fldChar w:fldCharType="separate"/>
            </w:r>
            <w:r>
              <w:t>3.2.5.1</w:t>
            </w:r>
            <w:r>
              <w:fldChar w:fldCharType="end"/>
            </w:r>
          </w:p>
        </w:tc>
        <w:tc>
          <w:tcPr>
            <w:tcW w:w="4134"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pPr>
              <w:rPr>
                <w:kern w:val="0"/>
              </w:rPr>
            </w:pPr>
            <w:r>
              <w:rPr>
                <w:rFonts w:hint="eastAsia"/>
                <w:kern w:val="0"/>
              </w:rPr>
              <w:t>A</w:t>
            </w:r>
            <w:r>
              <w:fldChar w:fldCharType="begin"/>
            </w:r>
            <w:r>
              <w:instrText xml:space="preserve"> HYPERLINK "https://3.2.5.2" </w:instrText>
            </w:r>
            <w:r>
              <w:fldChar w:fldCharType="separate"/>
            </w:r>
            <w:r>
              <w:rPr>
                <w:rFonts w:hint="eastAsia"/>
                <w:kern w:val="0"/>
              </w:rPr>
              <w:t>3.2.5.2</w:t>
            </w:r>
            <w:r>
              <w:rPr>
                <w:rFonts w:hint="eastAsia"/>
                <w:kern w:val="0"/>
              </w:rPr>
              <w:fldChar w:fldCharType="end"/>
            </w:r>
          </w:p>
        </w:tc>
      </w:tr>
      <w:tr>
        <w:tblPrEx>
          <w:tblCellMar>
            <w:top w:w="0" w:type="dxa"/>
            <w:left w:w="108" w:type="dxa"/>
            <w:bottom w:w="0" w:type="dxa"/>
            <w:right w:w="108" w:type="dxa"/>
          </w:tblCellMar>
        </w:tblPrEx>
        <w:trPr>
          <w:trHeight w:val="1080" w:hRule="atLeast"/>
        </w:trPr>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kern w:val="0"/>
              </w:rPr>
              <w:t>检验内容</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ign w:val="center"/>
          </w:tcPr>
          <w:p>
            <w:r>
              <w:t>层门与轿厢的间隙</w:t>
            </w:r>
          </w:p>
        </w:tc>
        <w:tc>
          <w:tcPr>
            <w:tcW w:w="90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kern w:val="0"/>
              </w:rPr>
            </w:pPr>
            <w:r>
              <w:rPr>
                <w:rFonts w:hint="eastAsia"/>
                <w:kern w:val="0"/>
              </w:rPr>
              <w:t>门扇与门扇间隙</w:t>
            </w:r>
          </w:p>
        </w:tc>
        <w:tc>
          <w:tcPr>
            <w:tcW w:w="944" w:type="dxa"/>
            <w:tcBorders>
              <w:top w:val="single" w:color="000000" w:sz="4" w:space="0"/>
              <w:left w:val="single" w:color="auto" w:sz="4" w:space="0"/>
              <w:bottom w:val="single" w:color="000000" w:sz="4" w:space="0"/>
              <w:right w:val="single" w:color="000000" w:sz="4" w:space="0"/>
            </w:tcBorders>
            <w:shd w:val="clear" w:color="auto" w:fill="auto"/>
            <w:vAlign w:val="center"/>
          </w:tcPr>
          <w:p>
            <w:r>
              <w:rPr>
                <w:rFonts w:hint="eastAsia"/>
                <w:kern w:val="0"/>
              </w:rPr>
              <w:t>门扇与立柱间隙</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kern w:val="0"/>
              </w:rPr>
              <w:t>门扇与门楣间隙</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kern w:val="0"/>
              </w:rPr>
              <w:t>门扇与地坎间隙</w:t>
            </w:r>
          </w:p>
        </w:tc>
      </w:tr>
      <w:tr>
        <w:tblPrEx>
          <w:tblCellMar>
            <w:top w:w="0" w:type="dxa"/>
            <w:left w:w="108" w:type="dxa"/>
            <w:bottom w:w="0" w:type="dxa"/>
            <w:right w:w="108" w:type="dxa"/>
          </w:tblCellMar>
        </w:tblPrEx>
        <w:trPr>
          <w:trHeight w:val="600" w:hRule="atLeast"/>
        </w:trPr>
        <w:tc>
          <w:tcPr>
            <w:tcW w:w="12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kern w:val="0"/>
              </w:rPr>
              <w:t>判断标准</w:t>
            </w:r>
          </w:p>
        </w:tc>
        <w:tc>
          <w:tcPr>
            <w:tcW w:w="133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r>
              <w:rPr>
                <w:rFonts w:hint="eastAsia"/>
              </w:rPr>
              <w:t>≤35mm</w:t>
            </w:r>
          </w:p>
        </w:tc>
        <w:tc>
          <w:tcPr>
            <w:tcW w:w="4134" w:type="dxa"/>
            <w:gridSpan w:val="4"/>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r>
              <w:rPr>
                <w:rFonts w:hint="eastAsia"/>
              </w:rPr>
              <w:t>≤6mm</w:t>
            </w:r>
          </w:p>
        </w:tc>
      </w:tr>
      <w:tr>
        <w:tblPrEx>
          <w:tblCellMar>
            <w:top w:w="0" w:type="dxa"/>
            <w:left w:w="108" w:type="dxa"/>
            <w:bottom w:w="0" w:type="dxa"/>
            <w:right w:w="108" w:type="dxa"/>
          </w:tblCellMar>
        </w:tblPrEx>
        <w:trPr>
          <w:trHeight w:val="700" w:hRule="atLeast"/>
        </w:trPr>
        <w:tc>
          <w:tcPr>
            <w:tcW w:w="12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3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tc>
        <w:tc>
          <w:tcPr>
            <w:tcW w:w="4134" w:type="dxa"/>
            <w:gridSpan w:val="4"/>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tc>
      </w:tr>
      <w:tr>
        <w:tblPrEx>
          <w:tblCellMar>
            <w:top w:w="0" w:type="dxa"/>
            <w:left w:w="108" w:type="dxa"/>
            <w:bottom w:w="0" w:type="dxa"/>
            <w:right w:w="108" w:type="dxa"/>
          </w:tblCellMar>
        </w:tblPrEx>
        <w:trPr>
          <w:trHeight w:val="270" w:hRule="atLeast"/>
        </w:trPr>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kern w:val="0"/>
              </w:rPr>
            </w:pPr>
            <w:r>
              <w:rPr>
                <w:rFonts w:hint="eastAsia"/>
                <w:kern w:val="0"/>
              </w:rPr>
              <w:t>观</w:t>
            </w:r>
          </w:p>
          <w:p>
            <w:pPr>
              <w:rPr>
                <w:rFonts w:hint="eastAsia"/>
                <w:kern w:val="0"/>
              </w:rPr>
            </w:pPr>
            <w:r>
              <w:rPr>
                <w:rFonts w:hint="eastAsia"/>
                <w:kern w:val="0"/>
              </w:rPr>
              <w:t>测</w:t>
            </w:r>
          </w:p>
          <w:p>
            <w:r>
              <w:rPr>
                <w:rFonts w:hint="eastAsia"/>
                <w:kern w:val="0"/>
              </w:rPr>
              <w:t>数</w:t>
            </w:r>
            <w:r>
              <w:rPr>
                <w:rFonts w:hint="eastAsia"/>
                <w:kern w:val="0"/>
              </w:rPr>
              <w:br w:type="textWrapping"/>
            </w:r>
            <w:r>
              <w:rPr>
                <w:rFonts w:hint="eastAsia"/>
                <w:kern w:val="0"/>
              </w:rPr>
              <w:t>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pPr>
            <w:bookmarkStart w:id="0" w:name="_GoBack"/>
            <w:bookmarkEnd w:id="0"/>
            <w:r>
              <w:rPr>
                <w:rFonts w:hint="eastAsia"/>
                <w:kern w:val="0"/>
              </w:rPr>
              <w:t>层</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ign w:val="center"/>
          </w:tcP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27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pPr>
            <w:r>
              <w:rPr>
                <w:rFonts w:hint="eastAsia"/>
                <w:kern w:val="0"/>
              </w:rPr>
              <w:t>层</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ign w:val="center"/>
          </w:tcP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27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pPr>
            <w:r>
              <w:rPr>
                <w:rFonts w:hint="eastAsia"/>
                <w:kern w:val="0"/>
              </w:rPr>
              <w:t>层</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ign w:val="center"/>
          </w:tcP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27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pPr>
            <w:r>
              <w:rPr>
                <w:rFonts w:hint="eastAsia"/>
                <w:kern w:val="0"/>
              </w:rPr>
              <w:t>层</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ign w:val="center"/>
          </w:tcP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27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pPr>
            <w:r>
              <w:rPr>
                <w:rFonts w:hint="eastAsia"/>
                <w:kern w:val="0"/>
              </w:rPr>
              <w:t>层</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ign w:val="center"/>
          </w:tcP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27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pPr>
            <w:r>
              <w:rPr>
                <w:rFonts w:hint="eastAsia"/>
                <w:kern w:val="0"/>
              </w:rPr>
              <w:t>层</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ign w:val="center"/>
          </w:tcP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27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pPr>
            <w:r>
              <w:rPr>
                <w:rFonts w:hint="eastAsia"/>
                <w:kern w:val="0"/>
              </w:rPr>
              <w:t>层</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ign w:val="center"/>
          </w:tcP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27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pPr>
            <w:r>
              <w:rPr>
                <w:rFonts w:hint="eastAsia"/>
                <w:kern w:val="0"/>
              </w:rPr>
              <w:t>层</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ign w:val="center"/>
          </w:tcPr>
          <w:p/>
        </w:tc>
        <w:tc>
          <w:tcPr>
            <w:tcW w:w="901" w:type="dxa"/>
            <w:tcBorders>
              <w:top w:val="single" w:color="000000" w:sz="4" w:space="0"/>
              <w:left w:val="single" w:color="auto" w:sz="4" w:space="0"/>
              <w:bottom w:val="single" w:color="000000" w:sz="4" w:space="0"/>
              <w:right w:val="single" w:color="auto" w:sz="4" w:space="0"/>
            </w:tcBorders>
            <w:shd w:val="clear" w:color="auto" w:fill="auto"/>
            <w:noWrap/>
            <w:vAlign w:val="center"/>
          </w:tcPr>
          <w:p/>
        </w:tc>
        <w:tc>
          <w:tcPr>
            <w:tcW w:w="944" w:type="dxa"/>
            <w:tcBorders>
              <w:top w:val="single" w:color="000000" w:sz="4" w:space="0"/>
              <w:left w:val="single" w:color="auto" w:sz="4" w:space="0"/>
              <w:bottom w:val="single" w:color="000000" w:sz="4" w:space="0"/>
              <w:right w:val="single" w:color="auto" w:sz="4" w:space="0"/>
            </w:tcBorders>
            <w:shd w:val="clear" w:color="auto" w:fill="auto"/>
            <w:noWrap/>
            <w:vAlign w:val="center"/>
          </w:tcPr>
          <w:p/>
        </w:tc>
        <w:tc>
          <w:tcPr>
            <w:tcW w:w="1184" w:type="dxa"/>
            <w:tcBorders>
              <w:top w:val="single" w:color="000000" w:sz="4" w:space="0"/>
              <w:left w:val="single" w:color="auto" w:sz="4" w:space="0"/>
              <w:bottom w:val="single" w:color="000000" w:sz="4" w:space="0"/>
              <w:right w:val="single" w:color="auto" w:sz="4" w:space="0"/>
            </w:tcBorders>
            <w:shd w:val="clear" w:color="auto" w:fill="auto"/>
            <w:noWrap/>
            <w:vAlign w:val="center"/>
          </w:tcPr>
          <w:p/>
        </w:tc>
        <w:tc>
          <w:tcPr>
            <w:tcW w:w="1105" w:type="dxa"/>
            <w:tcBorders>
              <w:top w:val="single" w:color="000000" w:sz="4" w:space="0"/>
              <w:left w:val="single" w:color="auto" w:sz="4" w:space="0"/>
              <w:bottom w:val="single" w:color="000000" w:sz="4" w:space="0"/>
              <w:right w:val="single" w:color="auto" w:sz="4" w:space="0"/>
            </w:tcBorders>
            <w:shd w:val="clear" w:color="auto" w:fill="auto"/>
            <w:noWrap/>
            <w:vAlign w:val="center"/>
          </w:tcPr>
          <w:p/>
        </w:tc>
      </w:tr>
    </w:tbl>
    <w:p>
      <w:pPr>
        <w:widowControl/>
        <w:jc w:val="left"/>
      </w:pPr>
    </w:p>
    <w:p>
      <w:pPr>
        <w:widowControl/>
        <w:jc w:val="left"/>
      </w:pPr>
    </w:p>
    <w:p>
      <w:pPr>
        <w:widowControl/>
        <w:jc w:val="left"/>
      </w:pPr>
    </w:p>
    <w:p>
      <w:pPr>
        <w:widowControl/>
        <w:jc w:val="left"/>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left"/>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1055F"/>
    <w:multiLevelType w:val="multilevel"/>
    <w:tmpl w:val="4D31055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zkzMDRmOWQzYmZjMmRjZmEwNzU0OWRiNGMwNjgifQ=="/>
    <w:docVar w:name="KSO_WPS_MARK_KEY" w:val="d25d8867-09ec-44c0-a2a4-fca61e45e8f6"/>
  </w:docVars>
  <w:rsids>
    <w:rsidRoot w:val="00E1595B"/>
    <w:rsid w:val="00000343"/>
    <w:rsid w:val="000003E0"/>
    <w:rsid w:val="00010256"/>
    <w:rsid w:val="00020330"/>
    <w:rsid w:val="000537E9"/>
    <w:rsid w:val="00054D1D"/>
    <w:rsid w:val="00055C91"/>
    <w:rsid w:val="000B46DE"/>
    <w:rsid w:val="000B5F22"/>
    <w:rsid w:val="000B7DD3"/>
    <w:rsid w:val="000C06EF"/>
    <w:rsid w:val="000C3AC8"/>
    <w:rsid w:val="000E518C"/>
    <w:rsid w:val="00100429"/>
    <w:rsid w:val="00103678"/>
    <w:rsid w:val="00117411"/>
    <w:rsid w:val="00121A31"/>
    <w:rsid w:val="0013266D"/>
    <w:rsid w:val="00137FDE"/>
    <w:rsid w:val="001631B7"/>
    <w:rsid w:val="00176A6F"/>
    <w:rsid w:val="001813A3"/>
    <w:rsid w:val="001824A6"/>
    <w:rsid w:val="001902E9"/>
    <w:rsid w:val="00192404"/>
    <w:rsid w:val="00193899"/>
    <w:rsid w:val="0019498D"/>
    <w:rsid w:val="001B13FB"/>
    <w:rsid w:val="001B3658"/>
    <w:rsid w:val="001B4018"/>
    <w:rsid w:val="001B54ED"/>
    <w:rsid w:val="001C3577"/>
    <w:rsid w:val="001C3976"/>
    <w:rsid w:val="001D0350"/>
    <w:rsid w:val="001D2A00"/>
    <w:rsid w:val="001E4D70"/>
    <w:rsid w:val="001F2FC6"/>
    <w:rsid w:val="002065C7"/>
    <w:rsid w:val="00206CEB"/>
    <w:rsid w:val="00211CA9"/>
    <w:rsid w:val="002168C7"/>
    <w:rsid w:val="00217FB8"/>
    <w:rsid w:val="00220C64"/>
    <w:rsid w:val="00230970"/>
    <w:rsid w:val="00251AEB"/>
    <w:rsid w:val="00251F73"/>
    <w:rsid w:val="00253581"/>
    <w:rsid w:val="00257A19"/>
    <w:rsid w:val="00263FC0"/>
    <w:rsid w:val="00264B4A"/>
    <w:rsid w:val="002664B9"/>
    <w:rsid w:val="002717BB"/>
    <w:rsid w:val="002726E5"/>
    <w:rsid w:val="0027563F"/>
    <w:rsid w:val="0029082D"/>
    <w:rsid w:val="00291828"/>
    <w:rsid w:val="00292F1F"/>
    <w:rsid w:val="002A7625"/>
    <w:rsid w:val="002B0C05"/>
    <w:rsid w:val="002B2E37"/>
    <w:rsid w:val="002B52C9"/>
    <w:rsid w:val="002C2254"/>
    <w:rsid w:val="002D4E36"/>
    <w:rsid w:val="002E49C9"/>
    <w:rsid w:val="002E7333"/>
    <w:rsid w:val="002F1104"/>
    <w:rsid w:val="00312DDD"/>
    <w:rsid w:val="00320D64"/>
    <w:rsid w:val="003233DC"/>
    <w:rsid w:val="0034609D"/>
    <w:rsid w:val="00346ACA"/>
    <w:rsid w:val="00351571"/>
    <w:rsid w:val="00367343"/>
    <w:rsid w:val="003731EE"/>
    <w:rsid w:val="00384A97"/>
    <w:rsid w:val="00385CB2"/>
    <w:rsid w:val="00386A04"/>
    <w:rsid w:val="0039116C"/>
    <w:rsid w:val="0039389B"/>
    <w:rsid w:val="00394973"/>
    <w:rsid w:val="003A2F8E"/>
    <w:rsid w:val="003A7B4C"/>
    <w:rsid w:val="003B15CA"/>
    <w:rsid w:val="003B61EC"/>
    <w:rsid w:val="003C0B80"/>
    <w:rsid w:val="003C0ED5"/>
    <w:rsid w:val="003C2C22"/>
    <w:rsid w:val="003D59AF"/>
    <w:rsid w:val="003D5D6A"/>
    <w:rsid w:val="003D607B"/>
    <w:rsid w:val="003D6B7D"/>
    <w:rsid w:val="003D77B9"/>
    <w:rsid w:val="003E1020"/>
    <w:rsid w:val="003E1633"/>
    <w:rsid w:val="003E2457"/>
    <w:rsid w:val="003E484A"/>
    <w:rsid w:val="003F15C5"/>
    <w:rsid w:val="003F3DC0"/>
    <w:rsid w:val="0040798F"/>
    <w:rsid w:val="004141E1"/>
    <w:rsid w:val="00444462"/>
    <w:rsid w:val="0044618A"/>
    <w:rsid w:val="004500B9"/>
    <w:rsid w:val="004501A0"/>
    <w:rsid w:val="00450CC3"/>
    <w:rsid w:val="00454EA6"/>
    <w:rsid w:val="00457C1D"/>
    <w:rsid w:val="00460E98"/>
    <w:rsid w:val="00464696"/>
    <w:rsid w:val="004655B4"/>
    <w:rsid w:val="00465698"/>
    <w:rsid w:val="004659FE"/>
    <w:rsid w:val="004670E0"/>
    <w:rsid w:val="00477FF8"/>
    <w:rsid w:val="00490C53"/>
    <w:rsid w:val="004A4902"/>
    <w:rsid w:val="004A4DF2"/>
    <w:rsid w:val="004B0849"/>
    <w:rsid w:val="004B78FC"/>
    <w:rsid w:val="004C17C2"/>
    <w:rsid w:val="004C1AAB"/>
    <w:rsid w:val="004C1AC1"/>
    <w:rsid w:val="004C1B70"/>
    <w:rsid w:val="004C4BB8"/>
    <w:rsid w:val="004C7A03"/>
    <w:rsid w:val="004D0339"/>
    <w:rsid w:val="004D06EF"/>
    <w:rsid w:val="004D6610"/>
    <w:rsid w:val="004D7FD5"/>
    <w:rsid w:val="004F4CC8"/>
    <w:rsid w:val="00513198"/>
    <w:rsid w:val="00514007"/>
    <w:rsid w:val="00527D5F"/>
    <w:rsid w:val="005345F2"/>
    <w:rsid w:val="005379BF"/>
    <w:rsid w:val="005468B9"/>
    <w:rsid w:val="005574A7"/>
    <w:rsid w:val="00580FBB"/>
    <w:rsid w:val="00594E95"/>
    <w:rsid w:val="005B6595"/>
    <w:rsid w:val="005C4C6A"/>
    <w:rsid w:val="005D1EBA"/>
    <w:rsid w:val="005E0884"/>
    <w:rsid w:val="005E2D6F"/>
    <w:rsid w:val="005F54FB"/>
    <w:rsid w:val="005F6984"/>
    <w:rsid w:val="005F756F"/>
    <w:rsid w:val="00600B3D"/>
    <w:rsid w:val="00604EEE"/>
    <w:rsid w:val="006104BE"/>
    <w:rsid w:val="006112E4"/>
    <w:rsid w:val="0063041A"/>
    <w:rsid w:val="0063090E"/>
    <w:rsid w:val="00633DC2"/>
    <w:rsid w:val="00641294"/>
    <w:rsid w:val="00641D0F"/>
    <w:rsid w:val="00651D24"/>
    <w:rsid w:val="00653052"/>
    <w:rsid w:val="00655A63"/>
    <w:rsid w:val="00656339"/>
    <w:rsid w:val="00667738"/>
    <w:rsid w:val="006715F6"/>
    <w:rsid w:val="006763F6"/>
    <w:rsid w:val="006872D4"/>
    <w:rsid w:val="00696A8B"/>
    <w:rsid w:val="006A5110"/>
    <w:rsid w:val="006B71E8"/>
    <w:rsid w:val="006B7B9F"/>
    <w:rsid w:val="006C52E2"/>
    <w:rsid w:val="006D6C06"/>
    <w:rsid w:val="006E1E41"/>
    <w:rsid w:val="006E75C2"/>
    <w:rsid w:val="006F1AC7"/>
    <w:rsid w:val="006F35D2"/>
    <w:rsid w:val="006F4305"/>
    <w:rsid w:val="007044ED"/>
    <w:rsid w:val="00712628"/>
    <w:rsid w:val="007157FA"/>
    <w:rsid w:val="0073159D"/>
    <w:rsid w:val="00750D0D"/>
    <w:rsid w:val="00762A8E"/>
    <w:rsid w:val="00763C20"/>
    <w:rsid w:val="00780351"/>
    <w:rsid w:val="0078600C"/>
    <w:rsid w:val="00792257"/>
    <w:rsid w:val="0079581C"/>
    <w:rsid w:val="007B369C"/>
    <w:rsid w:val="007C2A1C"/>
    <w:rsid w:val="007D08B8"/>
    <w:rsid w:val="007D08C1"/>
    <w:rsid w:val="007E0878"/>
    <w:rsid w:val="007E5B58"/>
    <w:rsid w:val="007F1591"/>
    <w:rsid w:val="007F4DF3"/>
    <w:rsid w:val="008055C3"/>
    <w:rsid w:val="00811DC9"/>
    <w:rsid w:val="00812EDD"/>
    <w:rsid w:val="00814D55"/>
    <w:rsid w:val="00823A37"/>
    <w:rsid w:val="00827866"/>
    <w:rsid w:val="008368AC"/>
    <w:rsid w:val="0085503F"/>
    <w:rsid w:val="0086268E"/>
    <w:rsid w:val="008652AD"/>
    <w:rsid w:val="0087554E"/>
    <w:rsid w:val="008814B9"/>
    <w:rsid w:val="00884230"/>
    <w:rsid w:val="008858D3"/>
    <w:rsid w:val="00886C00"/>
    <w:rsid w:val="00895532"/>
    <w:rsid w:val="00895947"/>
    <w:rsid w:val="008A4202"/>
    <w:rsid w:val="008B4A36"/>
    <w:rsid w:val="008C4B68"/>
    <w:rsid w:val="008C7E76"/>
    <w:rsid w:val="008D5F92"/>
    <w:rsid w:val="008D7463"/>
    <w:rsid w:val="008E19F6"/>
    <w:rsid w:val="00901C18"/>
    <w:rsid w:val="009107A6"/>
    <w:rsid w:val="00916045"/>
    <w:rsid w:val="00924128"/>
    <w:rsid w:val="009409DC"/>
    <w:rsid w:val="00955981"/>
    <w:rsid w:val="00980DE6"/>
    <w:rsid w:val="00986325"/>
    <w:rsid w:val="0099453E"/>
    <w:rsid w:val="009D10F7"/>
    <w:rsid w:val="009D29A5"/>
    <w:rsid w:val="009D5E30"/>
    <w:rsid w:val="009E59E8"/>
    <w:rsid w:val="009E5FB6"/>
    <w:rsid w:val="009E64DC"/>
    <w:rsid w:val="009F22AF"/>
    <w:rsid w:val="009F3004"/>
    <w:rsid w:val="009F5436"/>
    <w:rsid w:val="00A0470B"/>
    <w:rsid w:val="00A07833"/>
    <w:rsid w:val="00A261B4"/>
    <w:rsid w:val="00A327AB"/>
    <w:rsid w:val="00A32C29"/>
    <w:rsid w:val="00A42F1C"/>
    <w:rsid w:val="00A54C90"/>
    <w:rsid w:val="00A63B16"/>
    <w:rsid w:val="00A76C6D"/>
    <w:rsid w:val="00A9138E"/>
    <w:rsid w:val="00AA0DAC"/>
    <w:rsid w:val="00AA45CB"/>
    <w:rsid w:val="00AB3CF2"/>
    <w:rsid w:val="00AE2895"/>
    <w:rsid w:val="00AE646B"/>
    <w:rsid w:val="00AE6674"/>
    <w:rsid w:val="00AE7DCD"/>
    <w:rsid w:val="00B11A8E"/>
    <w:rsid w:val="00B13FAA"/>
    <w:rsid w:val="00B33275"/>
    <w:rsid w:val="00B343B7"/>
    <w:rsid w:val="00B43E78"/>
    <w:rsid w:val="00B4455E"/>
    <w:rsid w:val="00B52601"/>
    <w:rsid w:val="00B555D6"/>
    <w:rsid w:val="00B60B31"/>
    <w:rsid w:val="00B65D03"/>
    <w:rsid w:val="00B66412"/>
    <w:rsid w:val="00B86FA9"/>
    <w:rsid w:val="00B953C8"/>
    <w:rsid w:val="00B978EB"/>
    <w:rsid w:val="00BB144C"/>
    <w:rsid w:val="00BC398F"/>
    <w:rsid w:val="00BC72B4"/>
    <w:rsid w:val="00BD0DE9"/>
    <w:rsid w:val="00BD556B"/>
    <w:rsid w:val="00BE2586"/>
    <w:rsid w:val="00BF3DFA"/>
    <w:rsid w:val="00BF48B9"/>
    <w:rsid w:val="00BF67A2"/>
    <w:rsid w:val="00C46469"/>
    <w:rsid w:val="00C568D4"/>
    <w:rsid w:val="00C61639"/>
    <w:rsid w:val="00C676A3"/>
    <w:rsid w:val="00C74AEE"/>
    <w:rsid w:val="00C81888"/>
    <w:rsid w:val="00C862F7"/>
    <w:rsid w:val="00CB25F1"/>
    <w:rsid w:val="00CB470B"/>
    <w:rsid w:val="00CC365A"/>
    <w:rsid w:val="00CC3ED4"/>
    <w:rsid w:val="00CC4633"/>
    <w:rsid w:val="00CD00C5"/>
    <w:rsid w:val="00CE3DCB"/>
    <w:rsid w:val="00CF1709"/>
    <w:rsid w:val="00D03CFF"/>
    <w:rsid w:val="00D07D7B"/>
    <w:rsid w:val="00D202FD"/>
    <w:rsid w:val="00D24764"/>
    <w:rsid w:val="00D27AB1"/>
    <w:rsid w:val="00D34B05"/>
    <w:rsid w:val="00D40496"/>
    <w:rsid w:val="00D42515"/>
    <w:rsid w:val="00D54FF2"/>
    <w:rsid w:val="00D57D1C"/>
    <w:rsid w:val="00D60203"/>
    <w:rsid w:val="00D71D35"/>
    <w:rsid w:val="00D779DE"/>
    <w:rsid w:val="00D842A0"/>
    <w:rsid w:val="00D84615"/>
    <w:rsid w:val="00D90A94"/>
    <w:rsid w:val="00D956BC"/>
    <w:rsid w:val="00DA6BC5"/>
    <w:rsid w:val="00DB336E"/>
    <w:rsid w:val="00DC4B06"/>
    <w:rsid w:val="00DE2957"/>
    <w:rsid w:val="00DF2C23"/>
    <w:rsid w:val="00E00A6B"/>
    <w:rsid w:val="00E029C9"/>
    <w:rsid w:val="00E109CE"/>
    <w:rsid w:val="00E1595B"/>
    <w:rsid w:val="00E17789"/>
    <w:rsid w:val="00E3420B"/>
    <w:rsid w:val="00E41125"/>
    <w:rsid w:val="00E4757E"/>
    <w:rsid w:val="00E52851"/>
    <w:rsid w:val="00E63AC1"/>
    <w:rsid w:val="00E66B10"/>
    <w:rsid w:val="00E71C1B"/>
    <w:rsid w:val="00E7284B"/>
    <w:rsid w:val="00E72DB9"/>
    <w:rsid w:val="00E74408"/>
    <w:rsid w:val="00E8050C"/>
    <w:rsid w:val="00E8208E"/>
    <w:rsid w:val="00E906E6"/>
    <w:rsid w:val="00E90946"/>
    <w:rsid w:val="00EC6E07"/>
    <w:rsid w:val="00F12910"/>
    <w:rsid w:val="00F12F83"/>
    <w:rsid w:val="00F20270"/>
    <w:rsid w:val="00F241AF"/>
    <w:rsid w:val="00F372A2"/>
    <w:rsid w:val="00F45B4A"/>
    <w:rsid w:val="00F462BD"/>
    <w:rsid w:val="00F46312"/>
    <w:rsid w:val="00F53498"/>
    <w:rsid w:val="00F6107F"/>
    <w:rsid w:val="00F73133"/>
    <w:rsid w:val="00F87756"/>
    <w:rsid w:val="00F94766"/>
    <w:rsid w:val="00FB13FC"/>
    <w:rsid w:val="00FC0891"/>
    <w:rsid w:val="00FC5762"/>
    <w:rsid w:val="00FC635C"/>
    <w:rsid w:val="00FC7252"/>
    <w:rsid w:val="00FC73C0"/>
    <w:rsid w:val="00FC7435"/>
    <w:rsid w:val="00FD2FDC"/>
    <w:rsid w:val="00FD32D3"/>
    <w:rsid w:val="00FE5D28"/>
    <w:rsid w:val="00FE6F8C"/>
    <w:rsid w:val="00FF3903"/>
    <w:rsid w:val="04541C72"/>
    <w:rsid w:val="050532C6"/>
    <w:rsid w:val="06823252"/>
    <w:rsid w:val="06986C01"/>
    <w:rsid w:val="075D25AE"/>
    <w:rsid w:val="09E37861"/>
    <w:rsid w:val="0AA333AA"/>
    <w:rsid w:val="0AAA39EB"/>
    <w:rsid w:val="0C611673"/>
    <w:rsid w:val="0E01685C"/>
    <w:rsid w:val="0E590AFF"/>
    <w:rsid w:val="0E8502DA"/>
    <w:rsid w:val="1105722D"/>
    <w:rsid w:val="14552F92"/>
    <w:rsid w:val="14B95A53"/>
    <w:rsid w:val="154A407A"/>
    <w:rsid w:val="163D0D06"/>
    <w:rsid w:val="1A9F3D3E"/>
    <w:rsid w:val="1AD601FA"/>
    <w:rsid w:val="1BAD7475"/>
    <w:rsid w:val="1E2E2B78"/>
    <w:rsid w:val="1E5C4D0A"/>
    <w:rsid w:val="21D3238B"/>
    <w:rsid w:val="221D35CF"/>
    <w:rsid w:val="22761828"/>
    <w:rsid w:val="232C571D"/>
    <w:rsid w:val="2A1D31D1"/>
    <w:rsid w:val="2A79715B"/>
    <w:rsid w:val="2C4D23AE"/>
    <w:rsid w:val="2CED26E7"/>
    <w:rsid w:val="31065039"/>
    <w:rsid w:val="32553F47"/>
    <w:rsid w:val="37057BD3"/>
    <w:rsid w:val="37B671A6"/>
    <w:rsid w:val="3972570E"/>
    <w:rsid w:val="3B2F6531"/>
    <w:rsid w:val="3F9439A0"/>
    <w:rsid w:val="3FDA700E"/>
    <w:rsid w:val="410D1E3D"/>
    <w:rsid w:val="439F2362"/>
    <w:rsid w:val="441B265B"/>
    <w:rsid w:val="44393120"/>
    <w:rsid w:val="44E133A1"/>
    <w:rsid w:val="465364D6"/>
    <w:rsid w:val="4682400F"/>
    <w:rsid w:val="47C0513B"/>
    <w:rsid w:val="49F8502C"/>
    <w:rsid w:val="4A4C12E5"/>
    <w:rsid w:val="4B091A91"/>
    <w:rsid w:val="4B532524"/>
    <w:rsid w:val="4B6D2F36"/>
    <w:rsid w:val="4CAC7ABF"/>
    <w:rsid w:val="4DCE7807"/>
    <w:rsid w:val="4E907704"/>
    <w:rsid w:val="4F9351E9"/>
    <w:rsid w:val="505779B3"/>
    <w:rsid w:val="51FB32FC"/>
    <w:rsid w:val="55485B36"/>
    <w:rsid w:val="55E55DA1"/>
    <w:rsid w:val="5857430B"/>
    <w:rsid w:val="58C70A4E"/>
    <w:rsid w:val="5B7F196C"/>
    <w:rsid w:val="60C2565D"/>
    <w:rsid w:val="62A20F5B"/>
    <w:rsid w:val="63E80705"/>
    <w:rsid w:val="65626472"/>
    <w:rsid w:val="6A6236B1"/>
    <w:rsid w:val="6B1B1866"/>
    <w:rsid w:val="6BE24273"/>
    <w:rsid w:val="6C0122AD"/>
    <w:rsid w:val="6C947729"/>
    <w:rsid w:val="6DA6548D"/>
    <w:rsid w:val="6E436F42"/>
    <w:rsid w:val="6EA6036C"/>
    <w:rsid w:val="73FE5E73"/>
    <w:rsid w:val="750C69D3"/>
    <w:rsid w:val="755B36FB"/>
    <w:rsid w:val="78B6784E"/>
    <w:rsid w:val="79E9647C"/>
    <w:rsid w:val="7A290CBE"/>
    <w:rsid w:val="7A4E6AAC"/>
    <w:rsid w:val="7A5549F4"/>
    <w:rsid w:val="7B1C2905"/>
    <w:rsid w:val="7D124E9F"/>
    <w:rsid w:val="7DBD122E"/>
    <w:rsid w:val="7DC94127"/>
    <w:rsid w:val="7DE22301"/>
    <w:rsid w:val="7DE92023"/>
    <w:rsid w:val="7E001BC6"/>
    <w:rsid w:val="7FFE04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FollowedHyperlink"/>
    <w:basedOn w:val="7"/>
    <w:semiHidden/>
    <w:unhideWhenUsed/>
    <w:qFormat/>
    <w:uiPriority w:val="99"/>
    <w:rPr>
      <w:color w:val="006595"/>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006595"/>
      <w:u w:val="none"/>
    </w:rPr>
  </w:style>
  <w:style w:type="character" w:styleId="12">
    <w:name w:val="HTML Code"/>
    <w:basedOn w:val="7"/>
    <w:semiHidden/>
    <w:unhideWhenUsed/>
    <w:qFormat/>
    <w:uiPriority w:val="99"/>
    <w:rPr>
      <w:rFonts w:hint="default" w:ascii="Consolas" w:hAnsi="Consolas" w:eastAsia="Consolas" w:cs="Consolas"/>
      <w:color w:val="C7254E"/>
      <w:sz w:val="21"/>
      <w:szCs w:val="21"/>
      <w:bdr w:val="single" w:color="E1E1E1" w:sz="6" w:space="0"/>
      <w:shd w:val="clear" w:fill="F9F2F4"/>
    </w:rPr>
  </w:style>
  <w:style w:type="character" w:styleId="13">
    <w:name w:val="HTML Keyboard"/>
    <w:basedOn w:val="7"/>
    <w:semiHidden/>
    <w:unhideWhenUsed/>
    <w:qFormat/>
    <w:uiPriority w:val="99"/>
    <w:rPr>
      <w:rFonts w:hint="default" w:ascii="Consolas" w:hAnsi="Consolas" w:eastAsia="Consolas" w:cs="Consolas"/>
      <w:color w:val="FFFFFF"/>
      <w:sz w:val="21"/>
      <w:szCs w:val="21"/>
      <w:shd w:val="clear" w:fill="333333"/>
    </w:rPr>
  </w:style>
  <w:style w:type="character" w:styleId="14">
    <w:name w:val="HTML Sample"/>
    <w:basedOn w:val="7"/>
    <w:semiHidden/>
    <w:unhideWhenUsed/>
    <w:qFormat/>
    <w:uiPriority w:val="99"/>
    <w:rPr>
      <w:rFonts w:ascii="Consolas" w:hAnsi="Consolas" w:eastAsia="Consolas" w:cs="Consolas"/>
      <w:sz w:val="21"/>
      <w:szCs w:val="21"/>
    </w:rPr>
  </w:style>
  <w:style w:type="character" w:customStyle="1" w:styleId="15">
    <w:name w:val="页眉 Char"/>
    <w:basedOn w:val="7"/>
    <w:link w:val="4"/>
    <w:qFormat/>
    <w:uiPriority w:val="99"/>
    <w:rPr>
      <w:sz w:val="18"/>
      <w:szCs w:val="18"/>
    </w:rPr>
  </w:style>
  <w:style w:type="character" w:customStyle="1" w:styleId="16">
    <w:name w:val="页脚 Char"/>
    <w:basedOn w:val="7"/>
    <w:link w:val="3"/>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star"/>
    <w:basedOn w:val="7"/>
    <w:qFormat/>
    <w:uiPriority w:val="0"/>
    <w:rPr>
      <w:rFonts w:hint="default" w:ascii="FontAwesome" w:hAnsi="FontAwesome" w:eastAsia="FontAwesome" w:cs="FontAwesome"/>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15725</Words>
  <Characters>17773</Characters>
  <Lines>173</Lines>
  <Paragraphs>48</Paragraphs>
  <TotalTime>14</TotalTime>
  <ScaleCrop>false</ScaleCrop>
  <LinksUpToDate>false</LinksUpToDate>
  <CharactersWithSpaces>17939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2019-05-13T10:16:00Z</dcterms:created>
  <dc:creator>Windows 用户</dc:creator>
  <cp:lastModifiedBy>龙翔九天</cp:lastModifiedBy>
  <cp:lastPrinted>2020-09-17T08:15:00Z</cp:lastPrinted>
  <dcterms:modified xsi:type="dcterms:W3CDTF">2024-04-11T13:04:55Z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FE7D407B895B446CBAF5A7ED0B6785F9</vt:lpwstr>
  </property>
</Properties>
</file>