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lang w:bidi="ar"/>
        </w:rPr>
        <w:t>内蒙古自治区特种设备检验研院</w:t>
      </w:r>
      <w:r>
        <w:rPr>
          <w:rFonts w:hint="eastAsia" w:ascii="方正小标宋简体" w:hAnsi="方正小标宋简体" w:eastAsia="方正小标宋简体" w:cs="方正小标宋简体"/>
          <w:spacing w:val="113"/>
          <w:kern w:val="2"/>
          <w:sz w:val="44"/>
          <w:szCs w:val="44"/>
          <w:lang w:eastAsia="zh-CN"/>
        </w:rPr>
        <w:t>锡林郭勒</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p>
    <w:p>
      <w:pPr>
        <w:rPr>
          <w:rFonts w:ascii="微软雅黑" w:hAnsi="微软雅黑" w:eastAsia="微软雅黑"/>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44"/>
          <w:szCs w:val="44"/>
        </w:rPr>
      </w:pP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锡林郭勒</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left="0" w:right="0" w:firstLine="601"/>
        <w:jc w:val="center"/>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val="0"/>
          <w:sz w:val="44"/>
          <w:szCs w:val="44"/>
        </w:rPr>
      </w:pPr>
    </w:p>
    <w:p>
      <w:pPr>
        <w:keepNext w:val="0"/>
        <w:keepLines w:val="0"/>
        <w:widowControl/>
        <w:suppressLineNumbers w:val="0"/>
        <w:jc w:val="center"/>
        <w:rPr>
          <w:rFonts w:hint="eastAsia" w:ascii="方正小标宋简体" w:hAnsi="方正小标宋简体" w:eastAsia="方正小标宋简体" w:cs="方正小标宋简体"/>
          <w:bCs/>
          <w:kern w:val="0"/>
          <w:sz w:val="44"/>
          <w:szCs w:val="44"/>
        </w:rPr>
      </w:pP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r>
        <w:rPr>
          <w:rFonts w:ascii="微软雅黑" w:hAnsi="微软雅黑" w:eastAsia="微软雅黑"/>
          <w:sz w:val="28"/>
          <w:szCs w:val="28"/>
        </w:rPr>
        <w:t xml:space="preserve">                 </w:t>
      </w:r>
      <w:r>
        <w:rPr>
          <w:rFonts w:ascii="微软雅黑" w:hAnsi="微软雅黑" w:eastAsia="微软雅黑"/>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r>
        <w:rPr>
          <w:rFonts w:hint="eastAsia" w:ascii="微软雅黑" w:hAnsi="微软雅黑" w:eastAsia="微软雅黑"/>
          <w:sz w:val="28"/>
          <w:szCs w:val="28"/>
        </w:rPr>
        <w:t xml:space="preserve">             </w:t>
      </w:r>
      <w:r>
        <w:rPr>
          <w:rFonts w:hint="eastAsia" w:ascii="微软雅黑" w:hAnsi="微软雅黑" w:eastAsia="微软雅黑"/>
          <w:b/>
          <w:sz w:val="28"/>
          <w:szCs w:val="28"/>
        </w:rPr>
        <w:t xml:space="preserve">   </w:t>
      </w:r>
      <w:r>
        <w:rPr>
          <w:rFonts w:ascii="微软雅黑" w:hAnsi="微软雅黑" w:eastAsia="微软雅黑"/>
          <w:b/>
          <w:sz w:val="28"/>
          <w:szCs w:val="28"/>
        </w:rPr>
        <w:t xml:space="preserve">     </w:t>
      </w:r>
      <w:r>
        <w:rPr>
          <w:rFonts w:hint="eastAsia" w:ascii="微软雅黑" w:hAnsi="微软雅黑" w:eastAsia="微软雅黑"/>
          <w:b/>
          <w:sz w:val="28"/>
          <w:szCs w:val="28"/>
        </w:rPr>
        <w:t xml:space="preserve">  </w:t>
      </w:r>
      <w:r>
        <w:rPr>
          <w:rFonts w:ascii="微软雅黑" w:hAnsi="微软雅黑" w:eastAsia="微软雅黑"/>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一、主要职能</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（一）部门职能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根据中共内蒙古自治区委员会机构编制委员会印发的《关于自治区市场监督管理局所属事业单位机构职能的批复》（内机编办发〔2020〕148号），设立内蒙古自治区特种设备检验研究院锡林郭勒分院，为</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eastAsia="zh-CN"/>
        </w:rPr>
        <w:t>特种设备检验研究院</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lang w:eastAsia="zh-CN"/>
        </w:rPr>
        <w:t>预算三级单位，</w:t>
      </w:r>
      <w:r>
        <w:rPr>
          <w:rFonts w:hint="eastAsia" w:ascii="仿宋_GB2312" w:hAnsi="仿宋_GB2312" w:eastAsia="仿宋_GB2312" w:cs="仿宋_GB2312"/>
          <w:sz w:val="32"/>
          <w:szCs w:val="32"/>
        </w:rPr>
        <w:t>公益二类事业单位，副处级。</w:t>
      </w:r>
    </w:p>
    <w:p>
      <w:pPr>
        <w:keepNext w:val="0"/>
        <w:keepLines w:val="0"/>
        <w:widowControl/>
        <w:suppressLineNumbers w:val="0"/>
        <w:spacing w:before="0" w:beforeAutospacing="0" w:after="0" w:afterAutospacing="0" w:line="580" w:lineRule="exact"/>
        <w:ind w:left="0" w:right="0" w:firstLine="643" w:firstLineChars="200"/>
        <w:jc w:val="left"/>
        <w:rPr>
          <w:rFonts w:hint="eastAsia" w:ascii="楷体_GB2312" w:hAnsi="宋体" w:eastAsia="楷体_GB2312" w:cs="楷体_GB2312"/>
          <w:b/>
          <w:bCs w:val="0"/>
          <w:kern w:val="0"/>
          <w:sz w:val="32"/>
          <w:szCs w:val="32"/>
          <w:lang w:bidi="ar"/>
        </w:rPr>
      </w:pPr>
      <w:r>
        <w:rPr>
          <w:rFonts w:hint="eastAsia" w:ascii="楷体_GB2312" w:hAnsi="宋体" w:eastAsia="楷体_GB2312" w:cs="楷体_GB2312"/>
          <w:b/>
          <w:bCs w:val="0"/>
          <w:kern w:val="0"/>
          <w:sz w:val="32"/>
          <w:szCs w:val="32"/>
          <w:lang w:bidi="ar"/>
        </w:rPr>
        <w:t>（二）主要职责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1、开展特种设备（含进口）监督检验、定期检验、锅炉水（介）质检验、无损检测、能效测试、材料分析、安全阀校验及其他阀门检验。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2、承担特种设备安全附件的检验工作。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3、开展长输管道、公用管道、厂（场）内机动车辆、大型游乐设施等野外在用特种设备检验检测工作。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4、承担职业卫生检测与评价工作。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5、承担特种设备及相关领域从业人员的法规宣传、技能培训，协助做好从业人员相关考核工作。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6、承担特种设备相关科学研究、成果转化和推广应用工作。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7、按取得资质开展相关业务及其他委托性检验检测、技术服务工作。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8、承担自治区市场监督管理局交办的其他相关工作。</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二、机构设置及部门预算单位构成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特种设备检验研究院锡林郭勒分院，核定事业编制36名，核定单位领导职数4名〔1正（分院院长1名，副处级）3副（分院副院长3名，正科级）〕，内设正科级机构5个：综合管理部、业务管理部、机电类特种设备检验部、承压类特种设备检验部、气瓶检验部，科级领导职数8名（5正3副）。事业编在职人员33人，聘用人员32人，退休人员13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宋体" w:eastAsia="黑体" w:cs="黑体"/>
          <w:bCs/>
          <w:kern w:val="0"/>
          <w:sz w:val="32"/>
          <w:szCs w:val="32"/>
          <w:lang w:bidi="ar"/>
        </w:rPr>
        <w:t>一、2022 年公共预算收支情况的总体说明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我单位2022年预算收入总计2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135.1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万元，其中一般公共预算拨款收入1225.1万元，事业单位经营收入910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2022年支出总计2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135.1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万元，其中一般公共服务支出1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103.85万元，社会保障和就业支出71.05万元，卫生健康支出20.20万元，住房保障支出30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万元，经营支出910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rPr>
      </w:pPr>
      <w:r>
        <w:rPr>
          <w:rFonts w:hint="eastAsia" w:ascii="黑体" w:hAnsi="宋体" w:eastAsia="黑体" w:cs="黑体"/>
          <w:bCs/>
          <w:kern w:val="0"/>
          <w:sz w:val="32"/>
          <w:szCs w:val="32"/>
          <w:lang w:bidi="ar"/>
        </w:rPr>
        <w:t>二、2022年一般公共预算拨款收支情况说明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（一）一般公共预算拨款收入合计1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225.1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万元，无政府性基金预算拨款。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（二）一般公共预算支出合计1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225.1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万元，其中基本支出3.1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万元。具体使用安排情况如下：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1、本年一般公共预算基本支出3.1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万元，其中人员经费2.75万元，公用经费0.35万元。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2、本年一般公共预算项目支出1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万元，其中用于锅炉压力容器与特种设备安全监管项目支出760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万元，定项补助项目支出462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三、政府性基金预算拨款支出预算的情况说明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我单位2022年无政府性基金预算拨款支出。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bCs/>
          <w:kern w:val="0"/>
          <w:sz w:val="32"/>
          <w:szCs w:val="32"/>
          <w:lang w:bidi="ar"/>
        </w:rPr>
      </w:pPr>
      <w:r>
        <w:rPr>
          <w:rFonts w:hint="eastAsia" w:ascii="黑体" w:hAnsi="宋体" w:eastAsia="黑体" w:cs="黑体"/>
          <w:bCs/>
          <w:kern w:val="0"/>
          <w:sz w:val="32"/>
          <w:szCs w:val="32"/>
          <w:lang w:bidi="ar"/>
        </w:rPr>
        <w:t>四、国有资本经营预算拨款支出预算的情况说明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我单位2022年无国有资本经营预算拨款支出。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rPr>
      </w:pPr>
      <w:r>
        <w:rPr>
          <w:rFonts w:hint="eastAsia" w:ascii="黑体" w:hAnsi="宋体" w:eastAsia="黑体" w:cs="黑体"/>
          <w:bCs/>
          <w:kern w:val="0"/>
          <w:sz w:val="32"/>
          <w:szCs w:val="32"/>
          <w:lang w:bidi="ar"/>
        </w:rPr>
        <w:t>五、“三公经费”财政拨款支出预算的情况说明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2022年度“三公经费”财政拨款支出预算数为35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万元，比上年减少0.6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1.69%，占总支出的1.64%，其中因公出国（境)费、公务接待费、公务用车运行维护费预算均比2021年度均有所下降。主要原因是按照中央“八项规定”要求，厉行节约，按照公车改革的要求，大幅减少保留公务用车，严格控制“三公”经费支出，压缩公务接待费和公务用车运行维护费,故预算数相应减少。其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1.因公出国（境）费预算为0万元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2.公务接待费0万元，比上年预算数减少0.6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3.公务用车运行维护费预算35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万元，比上年预算数减少0万元，下降0%。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val="0"/>
          <w:sz w:val="32"/>
          <w:szCs w:val="32"/>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方正小标宋简体" w:eastAsia="方正小标宋简体" w:cs="方正小标宋简体"/>
          <w:bCs/>
          <w:kern w:val="0"/>
          <w:sz w:val="36"/>
          <w:szCs w:val="36"/>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sz w:val="32"/>
          <w:szCs w:val="32"/>
        </w:rPr>
      </w:pP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w:t>
      </w:r>
      <w:r>
        <w:rPr>
          <w:rFonts w:hint="eastAsia" w:ascii="黑体" w:hAnsi="宋体" w:eastAsia="黑体" w:cs="黑体"/>
          <w:bCs/>
          <w:kern w:val="2"/>
          <w:sz w:val="32"/>
          <w:szCs w:val="32"/>
          <w:lang w:eastAsia="zh-CN" w:bidi="ar"/>
        </w:rPr>
        <w:t>事业</w:t>
      </w:r>
      <w:r>
        <w:rPr>
          <w:rFonts w:hint="eastAsia" w:ascii="黑体" w:hAnsi="宋体" w:eastAsia="黑体" w:cs="黑体"/>
          <w:bCs/>
          <w:kern w:val="2"/>
          <w:sz w:val="32"/>
          <w:szCs w:val="32"/>
          <w:lang w:bidi="ar"/>
        </w:rPr>
        <w:t>运行经费安排情况说明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2022年锡林郭勒分院运行经费财政拨款预算为524</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万元。其中：办公费10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万元、电费8</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万元、邮电费8</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万元、取暖费20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万元、物业管理费11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万元、差旅费70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万元、维修(护)费60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万元、专业材料费30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万元、委托业务费75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万元、公务用车运行维护费35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万元、培训费60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万元、其他交通费用11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万元、其他商品服务性支出20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万元、办公设备购置1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万元、专用设备购置105</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二、“政府采购计划”预算情况说明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2022年设备采购共106</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万元，其中编制政府采购预算2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万元，包括货物类政府采购预算为2</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服务类政府采购预算为0万元。涵盖“计算机设备及软件”、“办公设备”、“电气设备”、“家具用具”、“纸制品及印刷品”、“办公消耗用品及类似物品”、“车辆维修和保养服务”、“物业管理服务”、 “运行维护服务”、等采购大类。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rPr>
      </w:pPr>
      <w:r>
        <w:rPr>
          <w:rFonts w:hint="eastAsia" w:ascii="黑体" w:hAnsi="宋体" w:eastAsia="黑体" w:cs="黑体"/>
          <w:bCs/>
          <w:kern w:val="2"/>
          <w:sz w:val="32"/>
          <w:szCs w:val="32"/>
          <w:lang w:bidi="ar"/>
        </w:rPr>
        <w:t>三、国有资产占有使用和增量情况说明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截至2021年末，内蒙古自治区特种设备检验研究院锡林郭勒分院固定资产为6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905.2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万元，无形资产为：45.21万元2022年内蒙古自治区特种设备检验研究院锡林郭勒分院国有资产配置计划资金为136</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万元。无形资产为：0万元。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四、部门组织征收收入计划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2022年给部门内蒙古自治区特种设备检验研究院锡林郭勒分院组织征收收入计划1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270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万元，全部纳入预算管理。其中特种设备检验检测费1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270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万元。经营收入征收计划910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五、2022年对下转移支付情况：无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六、绩效目标设置情况说明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部门预算编制要求，对重点项目预算的绩效目标进行设置。2022年，我院对共计5个预算项目设置绩效目标，从预算执行、产出、效益、满意度等多方面对预算项目进行综合绩效管理。设计项目绩效指标3项，一级指标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sz w:val="32"/>
          <w:szCs w:val="32"/>
        </w:rPr>
        <w:t>产出指标</w:t>
      </w:r>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sz w:val="32"/>
          <w:szCs w:val="32"/>
        </w:rPr>
        <w:t>项中：其中数量指标</w:t>
      </w:r>
      <w:r>
        <w:rPr>
          <w:rFonts w:hint="eastAsia" w:ascii="仿宋_GB2312" w:hAnsi="仿宋_GB2312" w:eastAsia="仿宋_GB2312" w:cs="仿宋_GB2312"/>
          <w:color w:val="000000" w:themeColor="text1"/>
          <w:sz w:val="32"/>
          <w:szCs w:val="32"/>
        </w:rPr>
        <w:t>5</w:t>
      </w:r>
      <w:r>
        <w:rPr>
          <w:rFonts w:hint="eastAsia" w:ascii="仿宋_GB2312" w:hAnsi="仿宋_GB2312" w:eastAsia="仿宋_GB2312" w:cs="仿宋_GB2312"/>
          <w:sz w:val="32"/>
          <w:szCs w:val="32"/>
        </w:rPr>
        <w:t>项；包括足额保障率、科目调整次数、</w:t>
      </w:r>
      <w:r>
        <w:rPr>
          <w:rFonts w:hint="eastAsia" w:ascii="仿宋_GB2312" w:hAnsi="仿宋_GB2312" w:eastAsia="仿宋_GB2312" w:cs="仿宋_GB2312"/>
          <w:sz w:val="32"/>
          <w:szCs w:val="32"/>
          <w:lang w:eastAsia="zh-CN"/>
        </w:rPr>
        <w:t>服务数量、</w:t>
      </w:r>
      <w:r>
        <w:rPr>
          <w:rFonts w:hint="eastAsia" w:ascii="仿宋_GB2312" w:hAnsi="仿宋_GB2312" w:eastAsia="仿宋_GB2312" w:cs="仿宋_GB2312"/>
          <w:sz w:val="32"/>
          <w:szCs w:val="32"/>
        </w:rPr>
        <w:t>考试人员数量、压力管道检测数量、特种设备检验检测数量。质量指标</w:t>
      </w:r>
      <w:r>
        <w:rPr>
          <w:rFonts w:hint="eastAsia" w:ascii="仿宋_GB2312" w:hAnsi="仿宋_GB2312" w:eastAsia="仿宋_GB2312" w:cs="仿宋_GB2312"/>
          <w:color w:val="000000" w:themeColor="text1"/>
          <w:sz w:val="32"/>
          <w:szCs w:val="32"/>
        </w:rPr>
        <w:t>4</w:t>
      </w:r>
      <w:r>
        <w:rPr>
          <w:rFonts w:hint="eastAsia" w:ascii="仿宋_GB2312" w:hAnsi="仿宋_GB2312" w:eastAsia="仿宋_GB2312" w:cs="仿宋_GB2312"/>
          <w:sz w:val="32"/>
          <w:szCs w:val="32"/>
        </w:rPr>
        <w:t>项；包括产品检验合格率、</w:t>
      </w:r>
      <w:r>
        <w:rPr>
          <w:rFonts w:hint="eastAsia" w:ascii="仿宋_GB2312" w:hAnsi="仿宋_GB2312" w:eastAsia="仿宋_GB2312" w:cs="仿宋_GB2312"/>
          <w:sz w:val="32"/>
          <w:szCs w:val="32"/>
          <w:lang w:eastAsia="zh-CN"/>
        </w:rPr>
        <w:t>定检率、检验完成率、</w:t>
      </w:r>
      <w:r>
        <w:rPr>
          <w:rFonts w:hint="eastAsia" w:ascii="仿宋_GB2312" w:hAnsi="仿宋_GB2312" w:eastAsia="仿宋_GB2312" w:cs="仿宋_GB2312"/>
          <w:sz w:val="32"/>
          <w:szCs w:val="32"/>
        </w:rPr>
        <w:t>预算编制质量=（执行数-预算数）/预算数。时效指标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经济效益指标</w:t>
      </w:r>
      <w:r>
        <w:rPr>
          <w:rFonts w:hint="eastAsia" w:ascii="仿宋_GB2312" w:hAnsi="仿宋_GB2312" w:eastAsia="仿宋_GB2312" w:cs="仿宋_GB2312"/>
          <w:sz w:val="32"/>
          <w:szCs w:val="32"/>
          <w:lang w:val="en-US" w:eastAsia="zh-CN"/>
        </w:rPr>
        <w:t>5项；包括结余率=结余数/预算数、效益增长率、检验效率、运转保障率、三公经费控制率=（实际支出数/预算安排数）×100%。社会效益3项；包括效益增长率、检测失误率。生态效3项；包括效益增长率、检验设备节能减排率。可持续影响3项；包括效益增长率、行业未来持续发展率。</w:t>
      </w:r>
      <w:r>
        <w:rPr>
          <w:rFonts w:hint="eastAsia" w:ascii="仿宋_GB2312" w:hAnsi="仿宋_GB2312" w:eastAsia="仿宋_GB2312" w:cs="仿宋_GB2312"/>
          <w:color w:val="000000" w:themeColor="text1"/>
          <w:sz w:val="32"/>
          <w:szCs w:val="32"/>
        </w:rPr>
        <w:t>满意度指标3项中；</w:t>
      </w:r>
      <w:r>
        <w:rPr>
          <w:rFonts w:hint="eastAsia" w:ascii="仿宋_GB2312" w:hAnsi="仿宋_GB2312" w:eastAsia="仿宋_GB2312" w:cs="仿宋_GB2312"/>
          <w:color w:val="000000" w:themeColor="text1"/>
          <w:sz w:val="32"/>
          <w:szCs w:val="32"/>
          <w:lang w:eastAsia="zh-CN"/>
        </w:rPr>
        <w:t>具体为</w:t>
      </w:r>
      <w:r>
        <w:rPr>
          <w:rFonts w:hint="eastAsia" w:ascii="仿宋_GB2312" w:hAnsi="仿宋_GB2312" w:eastAsia="仿宋_GB2312" w:cs="仿宋_GB2312"/>
          <w:color w:val="000000" w:themeColor="text1"/>
          <w:sz w:val="32"/>
          <w:szCs w:val="32"/>
        </w:rPr>
        <w:t>服务对象满意度指标</w:t>
      </w:r>
      <w:r>
        <w:rPr>
          <w:rFonts w:hint="eastAsia" w:ascii="仿宋_GB2312" w:hAnsi="仿宋_GB2312" w:eastAsia="仿宋_GB2312" w:cs="仿宋_GB2312"/>
          <w:color w:val="000000" w:themeColor="text1"/>
          <w:sz w:val="32"/>
          <w:szCs w:val="32"/>
          <w:lang w:eastAsia="zh-CN"/>
        </w:rPr>
        <w:t>，包括客户满意度、公众对服务认可度、公众投诉率、特种设备检验投诉率、服务对象满意度。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rPr>
      </w:pP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widowControl/>
        <w:suppressLineNumbers w:val="0"/>
        <w:ind w:left="0" w:firstLine="643" w:firstLineChars="200"/>
        <w:rPr>
          <w:rFonts w:hint="eastAsia" w:ascii="仿宋_GB2312" w:hAnsi="宋体" w:eastAsia="仿宋_GB2312" w:cs="仿宋_GB2312"/>
          <w:b/>
          <w:bCs w:val="0"/>
          <w:kern w:val="0"/>
          <w:sz w:val="32"/>
          <w:szCs w:val="32"/>
        </w:rPr>
      </w:pPr>
    </w:p>
    <w:p>
      <w:pPr>
        <w:keepNext w:val="0"/>
        <w:keepLines w:val="0"/>
        <w:widowControl/>
        <w:suppressLineNumbers w:val="0"/>
        <w:ind w:left="0" w:firstLine="643" w:firstLineChars="200"/>
        <w:rPr>
          <w:rFonts w:hint="eastAsia" w:ascii="仿宋_GB2312" w:hAnsi="宋体" w:eastAsia="仿宋_GB2312" w:cs="仿宋_GB2312"/>
          <w:b/>
          <w:bCs w:val="0"/>
          <w:kern w:val="0"/>
          <w:sz w:val="32"/>
          <w:szCs w:val="32"/>
        </w:rPr>
      </w:pP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r>
        <w:rPr>
          <w:rFonts w:hint="eastAsia" w:ascii="微软雅黑" w:hAnsi="微软雅黑" w:eastAsia="微软雅黑"/>
          <w:sz w:val="28"/>
          <w:szCs w:val="28"/>
        </w:rPr>
        <w:t xml:space="preserve">          </w:t>
      </w:r>
      <w:r>
        <w:rPr>
          <w:rFonts w:hint="eastAsia" w:ascii="仿宋" w:hAnsi="仿宋" w:eastAsia="仿宋"/>
          <w:b/>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b/>
          <w:color w:val="000000"/>
          <w:sz w:val="32"/>
          <w:szCs w:val="32"/>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sz w:val="32"/>
          <w:szCs w:val="32"/>
        </w:rPr>
      </w:pP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spacing w:beforeLines="0" w:beforeAutospacing="0" w:afterLines="0" w:afterAutospacing="0"/>
        <w:rPr>
          <w:rFonts w:ascii="微软雅黑" w:hAnsi="微软雅黑" w:eastAsia="微软雅黑"/>
          <w:sz w:val="28"/>
          <w:szCs w:val="28"/>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80D5A"/>
    <w:rsid w:val="00085F74"/>
    <w:rsid w:val="000E4B93"/>
    <w:rsid w:val="001423A9"/>
    <w:rsid w:val="00180D5A"/>
    <w:rsid w:val="00192AAB"/>
    <w:rsid w:val="00267CF5"/>
    <w:rsid w:val="0028333B"/>
    <w:rsid w:val="002C348D"/>
    <w:rsid w:val="00327753"/>
    <w:rsid w:val="00412E05"/>
    <w:rsid w:val="0044198D"/>
    <w:rsid w:val="004D1F24"/>
    <w:rsid w:val="005A0134"/>
    <w:rsid w:val="005E4808"/>
    <w:rsid w:val="006D7030"/>
    <w:rsid w:val="0097479B"/>
    <w:rsid w:val="00AE041D"/>
    <w:rsid w:val="00B04B1B"/>
    <w:rsid w:val="00B846DA"/>
    <w:rsid w:val="00BB76F7"/>
    <w:rsid w:val="00CD0229"/>
    <w:rsid w:val="00D07B02"/>
    <w:rsid w:val="00D23328"/>
    <w:rsid w:val="00E77308"/>
    <w:rsid w:val="00EC3144"/>
    <w:rsid w:val="00F61566"/>
    <w:rsid w:val="0AFC15E8"/>
    <w:rsid w:val="0E3177FA"/>
    <w:rsid w:val="0E95274B"/>
    <w:rsid w:val="12476104"/>
    <w:rsid w:val="15CA107D"/>
    <w:rsid w:val="17D13930"/>
    <w:rsid w:val="32511646"/>
    <w:rsid w:val="3B057795"/>
    <w:rsid w:val="3E7C11DC"/>
    <w:rsid w:val="4587144D"/>
    <w:rsid w:val="4EF04135"/>
    <w:rsid w:val="540452F5"/>
    <w:rsid w:val="5E2853DE"/>
    <w:rsid w:val="646E3ADD"/>
    <w:rsid w:val="6B21260C"/>
    <w:rsid w:val="75D33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1C762-8385-41FD-A918-043011A8DEB6}">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653</Words>
  <Characters>3728</Characters>
  <Lines>31</Lines>
  <Paragraphs>8</Paragraphs>
  <TotalTime>0</TotalTime>
  <ScaleCrop>false</ScaleCrop>
  <LinksUpToDate>false</LinksUpToDate>
  <CharactersWithSpaces>4373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cp:lastPrinted>2022-02-17T08:17:00Z</cp:lastPrinted>
  <dcterms:modified xsi:type="dcterms:W3CDTF">2022-02-22T09:25:59Z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787EF25818E34ADB98D282C1A8EB7356</vt:lpwstr>
  </property>
</Properties>
</file>