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hint="eastAsia" w:ascii="方正小标宋简体" w:hAnsi="方正小标宋简体" w:eastAsia="方正小标宋简体" w:cs="方正小标宋简体"/>
          <w:spacing w:val="0"/>
          <w:sz w:val="44"/>
          <w:szCs w:val="24"/>
          <w:lang w:val="en-US" w:eastAsia="zh-CN"/>
        </w:rPr>
      </w:pPr>
      <w:r>
        <w:rPr>
          <w:rFonts w:hint="eastAsia" w:ascii="方正小标宋简体" w:hAnsi="方正小标宋简体" w:eastAsia="方正小标宋简体" w:cs="方正小标宋简体"/>
          <w:spacing w:val="0"/>
          <w:sz w:val="44"/>
          <w:szCs w:val="24"/>
        </w:rPr>
        <w:t>内蒙古自治区特种设备检验研究院</w:t>
      </w:r>
      <w:r>
        <w:rPr>
          <w:rFonts w:hint="eastAsia" w:ascii="方正小标宋简体" w:hAnsi="方正小标宋简体" w:eastAsia="方正小标宋简体" w:cs="方正小标宋简体"/>
          <w:spacing w:val="0"/>
          <w:sz w:val="44"/>
          <w:szCs w:val="24"/>
          <w:lang w:val="en-US" w:eastAsia="zh-CN"/>
        </w:rPr>
        <w:t>(本级）</w:t>
      </w:r>
    </w:p>
    <w:p>
      <w:pPr>
        <w:spacing w:line="560" w:lineRule="exact"/>
        <w:jc w:val="center"/>
        <w:rPr>
          <w:rFonts w:hint="eastAsia" w:ascii="方正小标宋简体" w:hAnsi="方正小标宋简体" w:eastAsia="方正小标宋简体" w:cs="方正小标宋简体"/>
          <w:spacing w:val="113"/>
          <w:sz w:val="44"/>
          <w:szCs w:val="24"/>
        </w:rPr>
      </w:pPr>
      <w:r>
        <w:rPr>
          <w:rFonts w:hint="eastAsia" w:ascii="方正小标宋简体" w:hAnsi="方正小标宋简体" w:eastAsia="方正小标宋简体" w:cs="方正小标宋简体"/>
          <w:spacing w:val="113"/>
          <w:sz w:val="44"/>
          <w:szCs w:val="24"/>
        </w:rPr>
        <w:t>2022年部门预算</w:t>
      </w:r>
    </w:p>
    <w:p>
      <w:pPr>
        <w:spacing w:line="560" w:lineRule="exact"/>
        <w:jc w:val="center"/>
        <w:rPr>
          <w:rFonts w:ascii="方正小标宋简体" w:hAnsi="方正小标宋简体" w:eastAsia="方正小标宋简体" w:cs="方正小标宋简体"/>
          <w:spacing w:val="113"/>
          <w:sz w:val="44"/>
          <w:szCs w:val="24"/>
        </w:rPr>
      </w:pPr>
      <w:r>
        <w:rPr>
          <w:rFonts w:hint="eastAsia" w:ascii="方正小标宋简体" w:hAnsi="方正小标宋简体" w:eastAsia="方正小标宋简体" w:cs="方正小标宋简体"/>
          <w:spacing w:val="113"/>
          <w:sz w:val="44"/>
          <w:szCs w:val="24"/>
        </w:rPr>
        <w:t>公开报告</w:t>
      </w: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jc w:val="center"/>
        <w:rPr>
          <w:rFonts w:ascii="宋体" w:hAnsi="宋体"/>
          <w:b/>
          <w:bCs/>
          <w:sz w:val="44"/>
        </w:rPr>
      </w:pPr>
    </w:p>
    <w:p>
      <w:pPr>
        <w:spacing w:line="560" w:lineRule="exact"/>
        <w:rPr>
          <w:rFonts w:ascii="宋体" w:hAnsi="宋体"/>
          <w:b/>
          <w:bCs/>
          <w:sz w:val="44"/>
        </w:rPr>
      </w:pPr>
    </w:p>
    <w:p>
      <w:pPr>
        <w:spacing w:line="560" w:lineRule="exact"/>
        <w:jc w:val="center"/>
        <w:rPr>
          <w:rFonts w:ascii="宋体" w:hAnsi="宋体"/>
          <w:b/>
          <w:bCs/>
          <w:sz w:val="44"/>
        </w:rPr>
      </w:pPr>
    </w:p>
    <w:p>
      <w:pPr>
        <w:spacing w:line="560" w:lineRule="exact"/>
        <w:jc w:val="center"/>
        <w:rPr>
          <w:rFonts w:hint="eastAsia" w:ascii="仿宋_GB2312" w:hAnsi="宋体" w:eastAsia="仿宋_GB2312" w:cs="Times New Roman"/>
          <w:bCs/>
          <w:sz w:val="32"/>
          <w:szCs w:val="32"/>
          <w:lang w:eastAsia="zh-CN"/>
        </w:rPr>
      </w:pPr>
      <w:r>
        <w:rPr>
          <w:rFonts w:hint="eastAsia" w:ascii="仿宋_GB2312" w:hAnsi="宋体" w:eastAsia="仿宋_GB2312" w:cs="Times New Roman"/>
          <w:bCs/>
          <w:sz w:val="32"/>
          <w:szCs w:val="32"/>
        </w:rPr>
        <w:t>内蒙古自治区特种设备检验研究院</w:t>
      </w:r>
      <w:r>
        <w:rPr>
          <w:rFonts w:hint="eastAsia" w:ascii="仿宋_GB2312" w:hAnsi="宋体" w:eastAsia="仿宋_GB2312" w:cs="Times New Roman"/>
          <w:bCs/>
          <w:sz w:val="32"/>
          <w:szCs w:val="32"/>
          <w:lang w:eastAsia="zh-CN"/>
        </w:rPr>
        <w:t>（本级）</w:t>
      </w:r>
    </w:p>
    <w:p>
      <w:pPr>
        <w:spacing w:line="560" w:lineRule="exact"/>
        <w:jc w:val="center"/>
        <w:rPr>
          <w:rFonts w:ascii="仿宋_GB2312" w:hAnsi="宋体" w:eastAsia="仿宋_GB2312" w:cs="Times New Roman"/>
          <w:bCs/>
          <w:sz w:val="32"/>
          <w:szCs w:val="32"/>
        </w:rPr>
      </w:pPr>
      <w:r>
        <w:rPr>
          <w:rFonts w:hint="eastAsia" w:ascii="仿宋_GB2312" w:hAnsi="宋体" w:eastAsia="仿宋_GB2312" w:cs="Times New Roman"/>
          <w:bCs/>
          <w:sz w:val="32"/>
          <w:szCs w:val="32"/>
        </w:rPr>
        <w:t>2022年2月2</w:t>
      </w:r>
      <w:r>
        <w:rPr>
          <w:rFonts w:hint="eastAsia" w:ascii="仿宋_GB2312" w:hAnsi="宋体" w:eastAsia="仿宋_GB2312" w:cs="Times New Roman"/>
          <w:bCs/>
          <w:sz w:val="32"/>
          <w:szCs w:val="32"/>
          <w:lang w:val="en-US" w:eastAsia="zh-CN"/>
        </w:rPr>
        <w:t>5</w:t>
      </w:r>
      <w:r>
        <w:rPr>
          <w:rFonts w:hint="eastAsia" w:ascii="仿宋_GB2312" w:hAnsi="宋体" w:eastAsia="仿宋_GB2312" w:cs="Times New Roman"/>
          <w:bCs/>
          <w:sz w:val="32"/>
          <w:szCs w:val="32"/>
        </w:rPr>
        <w:t>日</w:t>
      </w:r>
    </w:p>
    <w:p>
      <w:pPr>
        <w:spacing w:line="560" w:lineRule="exact"/>
        <w:jc w:val="center"/>
        <w:rPr>
          <w:rFonts w:ascii="仿宋_GB2312" w:hAnsi="宋体" w:eastAsia="仿宋_GB2312" w:cs="Times New Roman"/>
          <w:bCs/>
          <w:sz w:val="32"/>
          <w:szCs w:val="32"/>
        </w:rPr>
      </w:pPr>
    </w:p>
    <w:p>
      <w:pPr>
        <w:spacing w:line="560" w:lineRule="exact"/>
        <w:jc w:val="center"/>
        <w:rPr>
          <w:rFonts w:ascii="仿宋_GB2312" w:hAnsi="宋体" w:eastAsia="仿宋_GB2312" w:cs="Times New Roman"/>
          <w:bCs/>
          <w:sz w:val="32"/>
          <w:szCs w:val="32"/>
        </w:rPr>
      </w:pPr>
    </w:p>
    <w:p>
      <w:pPr>
        <w:spacing w:line="560" w:lineRule="exact"/>
        <w:jc w:val="center"/>
        <w:rPr>
          <w:rFonts w:ascii="仿宋_GB2312" w:hAnsi="宋体" w:eastAsia="仿宋_GB2312" w:cs="Times New Roman"/>
          <w:bCs/>
          <w:sz w:val="32"/>
          <w:szCs w:val="32"/>
        </w:rPr>
      </w:pPr>
    </w:p>
    <w:p>
      <w:pPr>
        <w:rPr>
          <w:rFonts w:ascii="仿宋_GB2312" w:hAnsi="宋体" w:eastAsia="仿宋_GB2312" w:cs="Times New Roman"/>
          <w:bCs/>
          <w:sz w:val="32"/>
          <w:szCs w:val="32"/>
        </w:rPr>
      </w:pPr>
    </w:p>
    <w:p>
      <w:pPr>
        <w:jc w:val="center"/>
        <w:rPr>
          <w:rFonts w:ascii="方正小标宋简体" w:hAnsi="宋体" w:eastAsia="方正小标宋简体"/>
          <w:bCs/>
          <w:sz w:val="44"/>
          <w:szCs w:val="44"/>
        </w:rPr>
      </w:pPr>
      <w:r>
        <w:rPr>
          <w:rFonts w:hint="eastAsia" w:ascii="方正小标宋简体" w:hAnsi="宋体" w:eastAsia="方正小标宋简体"/>
          <w:bCs/>
          <w:sz w:val="44"/>
          <w:szCs w:val="44"/>
        </w:rPr>
        <w:t>目    录</w:t>
      </w:r>
    </w:p>
    <w:p>
      <w:pPr>
        <w:spacing w:line="520" w:lineRule="exact"/>
        <w:rPr>
          <w:rFonts w:ascii="仿宋_GB2312" w:hAnsi="宋体" w:eastAsia="仿宋_GB2312"/>
          <w:b/>
          <w:bCs/>
          <w:sz w:val="36"/>
          <w:szCs w:val="36"/>
        </w:rPr>
      </w:pPr>
      <w:r>
        <w:rPr>
          <w:rFonts w:hint="eastAsia" w:ascii="仿宋_GB2312" w:hAnsi="宋体" w:eastAsia="仿宋_GB2312"/>
          <w:b/>
          <w:bCs/>
          <w:sz w:val="36"/>
          <w:szCs w:val="36"/>
        </w:rPr>
        <w:t>第一部分 内蒙古自治区特种设备检验研究院概况</w:t>
      </w:r>
    </w:p>
    <w:p>
      <w:pPr>
        <w:spacing w:line="52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一、主要职能</w:t>
      </w:r>
    </w:p>
    <w:p>
      <w:pPr>
        <w:spacing w:line="520" w:lineRule="exact"/>
        <w:ind w:firstLine="640" w:firstLineChars="200"/>
        <w:rPr>
          <w:rFonts w:ascii="仿宋" w:hAnsi="仿宋" w:eastAsia="仿宋" w:cs="仿宋"/>
          <w:color w:val="000000"/>
          <w:sz w:val="32"/>
          <w:szCs w:val="32"/>
        </w:rPr>
      </w:pPr>
      <w:r>
        <w:rPr>
          <w:rFonts w:hint="eastAsia" w:ascii="仿宋_GB2312" w:hAnsi="宋体" w:eastAsia="仿宋_GB2312"/>
          <w:bCs/>
          <w:sz w:val="32"/>
          <w:szCs w:val="32"/>
        </w:rPr>
        <w:t>二、机构设置</w:t>
      </w:r>
    </w:p>
    <w:p>
      <w:pPr>
        <w:spacing w:line="520" w:lineRule="exact"/>
        <w:rPr>
          <w:rFonts w:ascii="仿宋" w:hAnsi="仿宋" w:eastAsia="仿宋" w:cs="仿宋"/>
          <w:sz w:val="32"/>
          <w:szCs w:val="32"/>
        </w:rPr>
      </w:pPr>
      <w:r>
        <w:rPr>
          <w:rFonts w:hint="eastAsia" w:ascii="仿宋_GB2312" w:hAnsi="宋体" w:eastAsia="仿宋_GB2312"/>
          <w:b/>
          <w:bCs/>
          <w:sz w:val="36"/>
          <w:szCs w:val="36"/>
        </w:rPr>
        <w:t>第二部分 2022年部门预算安排情况说明</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一、2022年公共预算收支情况的总体说明</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二、2022年一般公共预算拨款收支情况说明</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三、政府性基金预算拨款支出预算的情况说明</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四、国有资本经营预算拨款支出预算的情况说明</w:t>
      </w:r>
    </w:p>
    <w:p>
      <w:pPr>
        <w:numPr>
          <w:ilvl w:val="0"/>
          <w:numId w:val="1"/>
        </w:numPr>
        <w:spacing w:line="520" w:lineRule="exact"/>
        <w:rPr>
          <w:rFonts w:ascii="仿宋" w:hAnsi="仿宋" w:eastAsia="仿宋" w:cs="仿宋"/>
          <w:sz w:val="32"/>
          <w:szCs w:val="32"/>
        </w:rPr>
      </w:pPr>
      <w:r>
        <w:rPr>
          <w:rFonts w:hint="eastAsia" w:ascii="仿宋" w:hAnsi="仿宋" w:eastAsia="仿宋" w:cs="仿宋"/>
          <w:sz w:val="32"/>
          <w:szCs w:val="32"/>
        </w:rPr>
        <w:t>“三公经费”财政拨款支出预算的情况说明</w:t>
      </w:r>
    </w:p>
    <w:p>
      <w:pPr>
        <w:spacing w:line="520" w:lineRule="exact"/>
        <w:rPr>
          <w:rFonts w:ascii="仿宋_GB2312" w:hAnsi="宋体" w:eastAsia="仿宋_GB2312"/>
          <w:b/>
          <w:bCs/>
          <w:sz w:val="36"/>
          <w:szCs w:val="36"/>
        </w:rPr>
      </w:pPr>
      <w:r>
        <w:rPr>
          <w:rFonts w:hint="eastAsia" w:ascii="仿宋_GB2312" w:hAnsi="宋体" w:eastAsia="仿宋_GB2312"/>
          <w:b/>
          <w:bCs/>
          <w:sz w:val="36"/>
          <w:szCs w:val="36"/>
        </w:rPr>
        <w:t>第三部分 其他公开事项说明</w:t>
      </w:r>
    </w:p>
    <w:p>
      <w:pPr>
        <w:spacing w:line="520" w:lineRule="exact"/>
        <w:ind w:left="180" w:firstLine="640" w:firstLineChars="200"/>
        <w:rPr>
          <w:rFonts w:ascii="仿宋" w:hAnsi="仿宋" w:eastAsia="仿宋" w:cs="仿宋"/>
          <w:sz w:val="32"/>
          <w:szCs w:val="32"/>
        </w:rPr>
      </w:pPr>
      <w:r>
        <w:rPr>
          <w:rFonts w:hint="eastAsia" w:ascii="仿宋" w:hAnsi="仿宋" w:eastAsia="仿宋" w:cs="仿宋"/>
          <w:sz w:val="32"/>
          <w:szCs w:val="32"/>
        </w:rPr>
        <w:t>一、机关运行经费安排情况说明</w:t>
      </w:r>
    </w:p>
    <w:p>
      <w:pPr>
        <w:spacing w:line="520" w:lineRule="exact"/>
        <w:ind w:left="180" w:firstLine="640" w:firstLineChars="200"/>
        <w:rPr>
          <w:rFonts w:ascii="仿宋" w:hAnsi="仿宋" w:eastAsia="仿宋" w:cs="仿宋"/>
          <w:sz w:val="32"/>
          <w:szCs w:val="32"/>
        </w:rPr>
      </w:pPr>
      <w:r>
        <w:rPr>
          <w:rFonts w:hint="eastAsia" w:ascii="仿宋" w:hAnsi="仿宋" w:eastAsia="仿宋" w:cs="仿宋"/>
          <w:sz w:val="32"/>
          <w:szCs w:val="32"/>
        </w:rPr>
        <w:t>二、“政府采购计划”预算情况说明</w:t>
      </w:r>
    </w:p>
    <w:p>
      <w:pPr>
        <w:spacing w:line="520" w:lineRule="exact"/>
        <w:ind w:left="180" w:firstLine="640" w:firstLineChars="200"/>
        <w:rPr>
          <w:rFonts w:ascii="仿宋" w:hAnsi="仿宋" w:eastAsia="仿宋" w:cs="仿宋"/>
          <w:sz w:val="32"/>
          <w:szCs w:val="32"/>
        </w:rPr>
      </w:pPr>
      <w:r>
        <w:rPr>
          <w:rFonts w:hint="eastAsia" w:ascii="仿宋" w:hAnsi="仿宋" w:eastAsia="仿宋" w:cs="仿宋"/>
          <w:sz w:val="32"/>
          <w:szCs w:val="32"/>
        </w:rPr>
        <w:t>三、国有资产占有使用和增量情况说明</w:t>
      </w:r>
    </w:p>
    <w:p>
      <w:pPr>
        <w:spacing w:line="520" w:lineRule="exact"/>
        <w:ind w:left="180" w:firstLine="640" w:firstLineChars="200"/>
        <w:rPr>
          <w:rFonts w:ascii="仿宋" w:hAnsi="仿宋" w:eastAsia="仿宋" w:cs="仿宋"/>
          <w:sz w:val="32"/>
          <w:szCs w:val="32"/>
        </w:rPr>
      </w:pPr>
      <w:r>
        <w:rPr>
          <w:rFonts w:hint="eastAsia" w:ascii="仿宋" w:hAnsi="仿宋" w:eastAsia="仿宋" w:cs="仿宋"/>
          <w:sz w:val="32"/>
          <w:szCs w:val="32"/>
        </w:rPr>
        <w:t>四、部门组织征收收入计划</w:t>
      </w:r>
    </w:p>
    <w:p>
      <w:pPr>
        <w:spacing w:line="520" w:lineRule="exact"/>
        <w:ind w:left="180" w:firstLine="640" w:firstLineChars="200"/>
        <w:rPr>
          <w:rFonts w:ascii="仿宋" w:hAnsi="仿宋" w:eastAsia="仿宋" w:cs="仿宋"/>
          <w:sz w:val="32"/>
          <w:szCs w:val="32"/>
        </w:rPr>
      </w:pPr>
      <w:r>
        <w:rPr>
          <w:rFonts w:hint="eastAsia" w:ascii="仿宋" w:hAnsi="仿宋" w:eastAsia="仿宋" w:cs="仿宋"/>
          <w:sz w:val="32"/>
          <w:szCs w:val="32"/>
        </w:rPr>
        <w:t>五、2022年对下转移支付情况</w:t>
      </w:r>
    </w:p>
    <w:p>
      <w:pPr>
        <w:spacing w:line="520" w:lineRule="exact"/>
        <w:ind w:left="180" w:firstLine="640" w:firstLineChars="200"/>
        <w:rPr>
          <w:rFonts w:ascii="仿宋" w:hAnsi="仿宋" w:eastAsia="仿宋" w:cs="仿宋"/>
          <w:sz w:val="32"/>
          <w:szCs w:val="32"/>
        </w:rPr>
      </w:pPr>
      <w:r>
        <w:rPr>
          <w:rFonts w:hint="eastAsia" w:ascii="仿宋" w:hAnsi="仿宋" w:eastAsia="仿宋" w:cs="仿宋"/>
          <w:sz w:val="32"/>
          <w:szCs w:val="32"/>
        </w:rPr>
        <w:t>六、绩效目标设置情况说明</w:t>
      </w:r>
    </w:p>
    <w:p>
      <w:pPr>
        <w:spacing w:line="520" w:lineRule="exact"/>
        <w:rPr>
          <w:rFonts w:ascii="宋体" w:hAnsi="宋体"/>
          <w:b/>
          <w:bCs/>
          <w:sz w:val="44"/>
        </w:rPr>
      </w:pPr>
      <w:r>
        <w:rPr>
          <w:rFonts w:hint="eastAsia" w:ascii="仿宋_GB2312" w:hAnsi="宋体" w:eastAsia="仿宋_GB2312"/>
          <w:b/>
          <w:bCs/>
          <w:sz w:val="36"/>
          <w:szCs w:val="36"/>
        </w:rPr>
        <w:t>第四部分  名词解释</w:t>
      </w:r>
    </w:p>
    <w:p>
      <w:pPr>
        <w:spacing w:line="520" w:lineRule="exact"/>
        <w:rPr>
          <w:rFonts w:ascii="仿宋_GB2312" w:hAnsi="宋体" w:eastAsia="仿宋_GB2312"/>
          <w:b/>
          <w:bCs/>
          <w:sz w:val="36"/>
          <w:szCs w:val="36"/>
        </w:rPr>
      </w:pPr>
      <w:r>
        <w:rPr>
          <w:rFonts w:hint="eastAsia" w:ascii="仿宋_GB2312" w:hAnsi="宋体" w:eastAsia="仿宋_GB2312"/>
          <w:b/>
          <w:bCs/>
          <w:sz w:val="36"/>
          <w:szCs w:val="36"/>
        </w:rPr>
        <w:t>第五部分  2022年部门预算公开表</w:t>
      </w:r>
    </w:p>
    <w:p>
      <w:pPr>
        <w:spacing w:line="520" w:lineRule="exact"/>
        <w:ind w:firstLine="640" w:firstLineChars="200"/>
        <w:rPr>
          <w:rFonts w:ascii="仿宋_GB2312" w:hAnsi="宋体" w:eastAsia="仿宋_GB2312"/>
          <w:bCs/>
          <w:sz w:val="32"/>
          <w:szCs w:val="32"/>
        </w:rPr>
      </w:pPr>
    </w:p>
    <w:p>
      <w:pPr>
        <w:rPr>
          <w:rFonts w:ascii="微软雅黑" w:hAnsi="微软雅黑" w:eastAsia="微软雅黑"/>
          <w:sz w:val="28"/>
          <w:szCs w:val="28"/>
        </w:rPr>
      </w:pPr>
    </w:p>
    <w:p>
      <w:pPr>
        <w:rPr>
          <w:rFonts w:ascii="微软雅黑" w:hAnsi="微软雅黑" w:eastAsia="微软雅黑"/>
          <w:b/>
          <w:sz w:val="28"/>
          <w:szCs w:val="28"/>
        </w:rPr>
      </w:pPr>
    </w:p>
    <w:p>
      <w:pPr>
        <w:rPr>
          <w:rFonts w:ascii="微软雅黑" w:hAnsi="微软雅黑" w:eastAsia="微软雅黑"/>
          <w:b/>
          <w:sz w:val="28"/>
          <w:szCs w:val="28"/>
        </w:rPr>
      </w:pPr>
    </w:p>
    <w:p>
      <w:pPr>
        <w:rPr>
          <w:rFonts w:ascii="微软雅黑" w:hAnsi="微软雅黑" w:eastAsia="微软雅黑"/>
          <w:b/>
          <w:sz w:val="28"/>
          <w:szCs w:val="28"/>
        </w:rPr>
      </w:pPr>
    </w:p>
    <w:p>
      <w:pPr>
        <w:ind w:firstLine="1541" w:firstLineChars="550"/>
        <w:rPr>
          <w:rFonts w:ascii="微软雅黑" w:hAnsi="微软雅黑" w:eastAsia="微软雅黑"/>
          <w:b/>
          <w:sz w:val="28"/>
          <w:szCs w:val="28"/>
        </w:rPr>
      </w:pPr>
    </w:p>
    <w:p>
      <w:pPr>
        <w:ind w:firstLine="1541" w:firstLineChars="550"/>
        <w:rPr>
          <w:rFonts w:ascii="微软雅黑" w:hAnsi="微软雅黑" w:eastAsia="微软雅黑"/>
          <w:b/>
          <w:sz w:val="28"/>
          <w:szCs w:val="28"/>
        </w:rPr>
      </w:pPr>
    </w:p>
    <w:p>
      <w:pPr>
        <w:ind w:firstLine="1541" w:firstLineChars="550"/>
        <w:rPr>
          <w:rFonts w:ascii="微软雅黑" w:hAnsi="微软雅黑" w:eastAsia="微软雅黑"/>
          <w:b/>
          <w:sz w:val="28"/>
          <w:szCs w:val="28"/>
        </w:rPr>
      </w:pPr>
    </w:p>
    <w:p>
      <w:pPr>
        <w:ind w:firstLine="1541" w:firstLineChars="550"/>
        <w:rPr>
          <w:rFonts w:ascii="微软雅黑" w:hAnsi="微软雅黑" w:eastAsia="微软雅黑"/>
          <w:b/>
          <w:sz w:val="28"/>
          <w:szCs w:val="28"/>
        </w:rPr>
      </w:pPr>
    </w:p>
    <w:p>
      <w:pPr>
        <w:ind w:firstLine="1541" w:firstLineChars="550"/>
        <w:rPr>
          <w:rFonts w:ascii="微软雅黑" w:hAnsi="微软雅黑" w:eastAsia="微软雅黑"/>
          <w:b/>
          <w:sz w:val="28"/>
          <w:szCs w:val="28"/>
        </w:rPr>
      </w:pPr>
    </w:p>
    <w:p>
      <w:pPr>
        <w:ind w:firstLine="1541" w:firstLineChars="550"/>
        <w:rPr>
          <w:rFonts w:ascii="微软雅黑" w:hAnsi="微软雅黑" w:eastAsia="微软雅黑"/>
          <w:b/>
          <w:sz w:val="28"/>
          <w:szCs w:val="28"/>
        </w:rPr>
      </w:pPr>
    </w:p>
    <w:p>
      <w:pPr>
        <w:ind w:firstLine="1541" w:firstLineChars="550"/>
        <w:rPr>
          <w:rFonts w:ascii="微软雅黑" w:hAnsi="微软雅黑" w:eastAsia="微软雅黑"/>
          <w:b/>
          <w:sz w:val="28"/>
          <w:szCs w:val="28"/>
        </w:rPr>
      </w:pPr>
    </w:p>
    <w:p>
      <w:pPr>
        <w:tabs>
          <w:tab w:val="left" w:pos="3532"/>
        </w:tabs>
        <w:autoSpaceDE w:val="0"/>
        <w:autoSpaceDN w:val="0"/>
        <w:adjustRightInd w:val="0"/>
        <w:spacing w:line="560" w:lineRule="exact"/>
        <w:jc w:val="center"/>
        <w:rPr>
          <w:rFonts w:hint="eastAsia" w:ascii="方正小标宋简体" w:hAnsi="宋体" w:eastAsia="方正小标宋简体" w:cs="Times New Roman"/>
          <w:bCs/>
          <w:sz w:val="36"/>
          <w:szCs w:val="36"/>
        </w:rPr>
      </w:pPr>
      <w:r>
        <w:rPr>
          <w:rFonts w:hint="eastAsia" w:ascii="方正小标宋简体" w:hAnsi="宋体" w:eastAsia="方正小标宋简体" w:cs="Times New Roman"/>
          <w:bCs/>
          <w:sz w:val="36"/>
          <w:szCs w:val="36"/>
        </w:rPr>
        <w:t>第一部分</w:t>
      </w:r>
    </w:p>
    <w:p>
      <w:pPr>
        <w:tabs>
          <w:tab w:val="left" w:pos="3532"/>
        </w:tabs>
        <w:autoSpaceDE w:val="0"/>
        <w:autoSpaceDN w:val="0"/>
        <w:adjustRightInd w:val="0"/>
        <w:spacing w:line="560" w:lineRule="exact"/>
        <w:jc w:val="center"/>
        <w:rPr>
          <w:rFonts w:ascii="方正小标宋简体" w:hAnsi="宋体" w:eastAsia="方正小标宋简体" w:cs="Times New Roman"/>
          <w:b/>
          <w:bCs/>
          <w:sz w:val="36"/>
          <w:szCs w:val="36"/>
        </w:rPr>
      </w:pPr>
      <w:r>
        <w:rPr>
          <w:rFonts w:hint="eastAsia" w:ascii="方正小标宋简体" w:hAnsi="宋体" w:eastAsia="方正小标宋简体" w:cs="Times New Roman"/>
          <w:bCs/>
          <w:sz w:val="36"/>
          <w:szCs w:val="36"/>
        </w:rPr>
        <w:t>内蒙古自治区特种设备检验研究院</w:t>
      </w:r>
      <w:r>
        <w:rPr>
          <w:rFonts w:hint="eastAsia" w:ascii="方正小标宋简体" w:hAnsi="宋体" w:eastAsia="方正小标宋简体" w:cs="Times New Roman"/>
          <w:bCs/>
          <w:sz w:val="36"/>
          <w:szCs w:val="36"/>
          <w:lang w:eastAsia="zh-CN"/>
        </w:rPr>
        <w:t>（本级）</w:t>
      </w:r>
      <w:r>
        <w:rPr>
          <w:rFonts w:hint="eastAsia" w:ascii="方正小标宋简体" w:hAnsi="宋体" w:eastAsia="方正小标宋简体" w:cs="Times New Roman"/>
          <w:bCs/>
          <w:sz w:val="36"/>
          <w:szCs w:val="36"/>
        </w:rPr>
        <w:t>概况</w:t>
      </w:r>
    </w:p>
    <w:p>
      <w:pPr>
        <w:ind w:firstLine="2429" w:firstLineChars="550"/>
        <w:rPr>
          <w:rFonts w:asciiTheme="majorEastAsia" w:hAnsiTheme="majorEastAsia" w:eastAsiaTheme="majorEastAsia"/>
          <w:b/>
          <w:sz w:val="44"/>
          <w:szCs w:val="44"/>
        </w:rPr>
      </w:pPr>
    </w:p>
    <w:p>
      <w:pPr>
        <w:ind w:firstLine="1541" w:firstLineChars="550"/>
        <w:rPr>
          <w:rFonts w:ascii="微软雅黑" w:hAnsi="微软雅黑" w:eastAsia="微软雅黑"/>
          <w:b/>
          <w:sz w:val="28"/>
          <w:szCs w:val="28"/>
        </w:rPr>
      </w:pPr>
    </w:p>
    <w:p>
      <w:pPr>
        <w:ind w:firstLine="1541" w:firstLineChars="550"/>
        <w:rPr>
          <w:rFonts w:ascii="微软雅黑" w:hAnsi="微软雅黑" w:eastAsia="微软雅黑"/>
          <w:b/>
          <w:sz w:val="28"/>
          <w:szCs w:val="28"/>
        </w:rPr>
      </w:pPr>
    </w:p>
    <w:p>
      <w:pPr>
        <w:ind w:firstLine="1541" w:firstLineChars="550"/>
        <w:rPr>
          <w:rFonts w:ascii="微软雅黑" w:hAnsi="微软雅黑" w:eastAsia="微软雅黑"/>
          <w:b/>
          <w:sz w:val="28"/>
          <w:szCs w:val="28"/>
        </w:rPr>
      </w:pPr>
    </w:p>
    <w:p>
      <w:pPr>
        <w:ind w:firstLine="1541" w:firstLineChars="550"/>
        <w:rPr>
          <w:rFonts w:ascii="微软雅黑" w:hAnsi="微软雅黑" w:eastAsia="微软雅黑"/>
          <w:b/>
          <w:sz w:val="28"/>
          <w:szCs w:val="28"/>
        </w:rPr>
      </w:pPr>
    </w:p>
    <w:p>
      <w:pPr>
        <w:ind w:firstLine="1541" w:firstLineChars="550"/>
        <w:rPr>
          <w:rFonts w:ascii="微软雅黑" w:hAnsi="微软雅黑" w:eastAsia="微软雅黑"/>
          <w:b/>
          <w:sz w:val="28"/>
          <w:szCs w:val="28"/>
        </w:rPr>
      </w:pPr>
    </w:p>
    <w:p>
      <w:pPr>
        <w:ind w:firstLine="1541" w:firstLineChars="550"/>
        <w:rPr>
          <w:rFonts w:ascii="微软雅黑" w:hAnsi="微软雅黑" w:eastAsia="微软雅黑"/>
          <w:b/>
          <w:sz w:val="28"/>
          <w:szCs w:val="28"/>
        </w:rPr>
      </w:pPr>
    </w:p>
    <w:p>
      <w:pPr>
        <w:ind w:firstLine="1541" w:firstLineChars="550"/>
        <w:rPr>
          <w:rFonts w:ascii="微软雅黑" w:hAnsi="微软雅黑" w:eastAsia="微软雅黑"/>
          <w:b/>
          <w:sz w:val="28"/>
          <w:szCs w:val="28"/>
        </w:rPr>
      </w:pPr>
    </w:p>
    <w:p>
      <w:pPr>
        <w:ind w:firstLine="1541" w:firstLineChars="550"/>
        <w:rPr>
          <w:rFonts w:ascii="微软雅黑" w:hAnsi="微软雅黑" w:eastAsia="微软雅黑"/>
          <w:b/>
          <w:sz w:val="28"/>
          <w:szCs w:val="28"/>
        </w:rPr>
      </w:pPr>
    </w:p>
    <w:p>
      <w:pPr>
        <w:ind w:firstLine="1541" w:firstLineChars="550"/>
        <w:rPr>
          <w:rFonts w:ascii="微软雅黑" w:hAnsi="微软雅黑" w:eastAsia="微软雅黑"/>
          <w:b/>
          <w:sz w:val="28"/>
          <w:szCs w:val="28"/>
        </w:rPr>
      </w:pPr>
    </w:p>
    <w:p>
      <w:pPr>
        <w:ind w:firstLine="1541" w:firstLineChars="550"/>
        <w:rPr>
          <w:rFonts w:ascii="微软雅黑" w:hAnsi="微软雅黑" w:eastAsia="微软雅黑"/>
          <w:b/>
          <w:sz w:val="28"/>
          <w:szCs w:val="28"/>
        </w:rPr>
      </w:pPr>
    </w:p>
    <w:p>
      <w:pPr>
        <w:ind w:firstLine="1541" w:firstLineChars="550"/>
        <w:rPr>
          <w:rFonts w:ascii="微软雅黑" w:hAnsi="微软雅黑" w:eastAsia="微软雅黑"/>
          <w:b/>
          <w:sz w:val="28"/>
          <w:szCs w:val="28"/>
        </w:rPr>
      </w:pPr>
    </w:p>
    <w:p>
      <w:pPr>
        <w:rPr>
          <w:rFonts w:ascii="微软雅黑" w:hAnsi="微软雅黑" w:eastAsia="微软雅黑"/>
          <w:b/>
          <w:sz w:val="28"/>
          <w:szCs w:val="28"/>
        </w:rPr>
      </w:pPr>
    </w:p>
    <w:p>
      <w:pPr>
        <w:rPr>
          <w:rFonts w:ascii="微软雅黑" w:hAnsi="微软雅黑" w:eastAsia="微软雅黑"/>
          <w:b/>
          <w:sz w:val="28"/>
          <w:szCs w:val="28"/>
        </w:rPr>
      </w:pPr>
    </w:p>
    <w:p>
      <w:pPr>
        <w:ind w:firstLine="560"/>
        <w:rPr>
          <w:rFonts w:ascii="黑体" w:hAnsi="黑体" w:eastAsia="黑体" w:cs="黑体"/>
          <w:bCs/>
          <w:sz w:val="32"/>
          <w:szCs w:val="32"/>
        </w:rPr>
      </w:pPr>
      <w:r>
        <w:rPr>
          <w:rFonts w:hint="eastAsia" w:ascii="黑体" w:hAnsi="黑体" w:eastAsia="黑体" w:cs="黑体"/>
          <w:bCs/>
          <w:sz w:val="32"/>
          <w:szCs w:val="32"/>
        </w:rPr>
        <w:t>一、主要职能</w:t>
      </w:r>
    </w:p>
    <w:p>
      <w:pPr>
        <w:widowControl/>
        <w:spacing w:line="580" w:lineRule="exact"/>
        <w:ind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（一）部门职能</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根据《关于自治区市场监督管理局所属事业单位机构职能的批复》（内机编办发〔2020〕148号）文件，设立内蒙古自治区特种设备检验研究院，为自治区市场监督管理局所属相当于正处级公益二类事业单位。</w:t>
      </w:r>
    </w:p>
    <w:p>
      <w:pPr>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（二）主要职责</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开展特种设备（含进口）监督检验、定期检验、仲裁检验、司法鉴定、型式试验、锅炉水 （介）质检验、无损检测、能效测试、材料分析、环保检测、安全阀校验及其他阀门检验。</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承担特种设备安全附件、仪表及安全保护装置的检验工作。</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开展长输管道、公用管道、厂（场）内机动车辆、大型游乐设施等野外在用特种设备检验检测工作。</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承担安全生产、职业卫生、烟花爆竹、劳动防护用品等检测与评价工作。</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承担安全生产、特种设备及相关领域从业人员的法规宣传、技能培训，协助做好从业人员相关考核工作。</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承担特种设备相关科学研究、成果转化和推广应用工作。</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按取得资质开展相关业外及共他委托性检验检测、技术服务工作。</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承担自治区市场监督管理局交办的其他相关工作。</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二、机构设置</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内蒙古自治区特种设备检验研究院，核定事业编制66名，核定单位领导职数4名(2正2副)，科级领导职数18名【12正(含总工程师1名）6副】。内设正科级机构11个：党建办公室、综合管理部、计划财务部、业务与科研管理部、电梯检验部、机电设备与安全生产检验部、锅炉与安全附件检验部、压力容器检验部、压力管道检验部、气瓶检验部、职业卫生评价与节能服务部。</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2021年末实有事业编在职人员62人，聘用人员254人，退休人员60人。</w:t>
      </w:r>
    </w:p>
    <w:p>
      <w:pPr>
        <w:ind w:firstLine="560" w:firstLineChars="200"/>
        <w:rPr>
          <w:rFonts w:ascii="微软雅黑" w:hAnsi="微软雅黑" w:eastAsia="微软雅黑" w:cs="微软雅黑"/>
          <w:sz w:val="28"/>
          <w:szCs w:val="28"/>
        </w:rPr>
      </w:pPr>
    </w:p>
    <w:p>
      <w:pPr>
        <w:ind w:firstLine="560" w:firstLineChars="200"/>
        <w:rPr>
          <w:rFonts w:ascii="微软雅黑" w:hAnsi="微软雅黑" w:eastAsia="微软雅黑" w:cs="微软雅黑"/>
          <w:sz w:val="28"/>
          <w:szCs w:val="28"/>
        </w:rPr>
      </w:pPr>
    </w:p>
    <w:p>
      <w:pPr>
        <w:ind w:firstLine="560" w:firstLineChars="200"/>
        <w:rPr>
          <w:rFonts w:ascii="微软雅黑" w:hAnsi="微软雅黑" w:eastAsia="微软雅黑" w:cs="微软雅黑"/>
          <w:sz w:val="28"/>
          <w:szCs w:val="28"/>
        </w:rPr>
      </w:pPr>
    </w:p>
    <w:p>
      <w:pPr>
        <w:ind w:firstLine="560" w:firstLineChars="200"/>
        <w:rPr>
          <w:rFonts w:ascii="微软雅黑" w:hAnsi="微软雅黑" w:eastAsia="微软雅黑" w:cs="微软雅黑"/>
          <w:sz w:val="28"/>
          <w:szCs w:val="28"/>
        </w:rPr>
      </w:pPr>
    </w:p>
    <w:p>
      <w:pPr>
        <w:ind w:firstLine="560" w:firstLineChars="200"/>
        <w:rPr>
          <w:rFonts w:ascii="微软雅黑" w:hAnsi="微软雅黑" w:eastAsia="微软雅黑" w:cs="微软雅黑"/>
          <w:sz w:val="28"/>
          <w:szCs w:val="28"/>
        </w:rPr>
      </w:pPr>
    </w:p>
    <w:p>
      <w:pPr>
        <w:ind w:firstLine="560" w:firstLineChars="200"/>
        <w:rPr>
          <w:rFonts w:ascii="微软雅黑" w:hAnsi="微软雅黑" w:eastAsia="微软雅黑" w:cs="微软雅黑"/>
          <w:sz w:val="28"/>
          <w:szCs w:val="28"/>
        </w:rPr>
      </w:pPr>
    </w:p>
    <w:p>
      <w:pPr>
        <w:ind w:firstLine="560" w:firstLineChars="200"/>
        <w:rPr>
          <w:rFonts w:ascii="微软雅黑" w:hAnsi="微软雅黑" w:eastAsia="微软雅黑" w:cs="微软雅黑"/>
          <w:sz w:val="28"/>
          <w:szCs w:val="28"/>
        </w:rPr>
      </w:pPr>
    </w:p>
    <w:p>
      <w:pPr>
        <w:ind w:firstLine="560" w:firstLineChars="200"/>
        <w:rPr>
          <w:rFonts w:ascii="微软雅黑" w:hAnsi="微软雅黑" w:eastAsia="微软雅黑" w:cs="微软雅黑"/>
          <w:sz w:val="28"/>
          <w:szCs w:val="28"/>
        </w:rPr>
      </w:pPr>
    </w:p>
    <w:p>
      <w:pPr>
        <w:ind w:firstLine="560" w:firstLineChars="200"/>
        <w:rPr>
          <w:rFonts w:ascii="微软雅黑" w:hAnsi="微软雅黑" w:eastAsia="微软雅黑" w:cs="微软雅黑"/>
          <w:sz w:val="28"/>
          <w:szCs w:val="28"/>
        </w:rPr>
      </w:pPr>
    </w:p>
    <w:p>
      <w:pPr>
        <w:ind w:firstLine="560" w:firstLineChars="200"/>
        <w:rPr>
          <w:rFonts w:ascii="微软雅黑" w:hAnsi="微软雅黑" w:eastAsia="微软雅黑" w:cs="微软雅黑"/>
          <w:sz w:val="28"/>
          <w:szCs w:val="28"/>
        </w:rPr>
      </w:pPr>
    </w:p>
    <w:p>
      <w:pPr>
        <w:ind w:firstLine="560" w:firstLineChars="200"/>
        <w:rPr>
          <w:rFonts w:ascii="微软雅黑" w:hAnsi="微软雅黑" w:eastAsia="微软雅黑" w:cs="微软雅黑"/>
          <w:sz w:val="28"/>
          <w:szCs w:val="28"/>
        </w:rPr>
      </w:pPr>
    </w:p>
    <w:p>
      <w:pPr>
        <w:ind w:firstLine="560" w:firstLineChars="200"/>
        <w:rPr>
          <w:rFonts w:ascii="微软雅黑" w:hAnsi="微软雅黑" w:eastAsia="微软雅黑" w:cs="微软雅黑"/>
          <w:sz w:val="28"/>
          <w:szCs w:val="28"/>
        </w:rPr>
      </w:pPr>
    </w:p>
    <w:p>
      <w:pPr>
        <w:ind w:firstLine="560" w:firstLineChars="200"/>
        <w:rPr>
          <w:rFonts w:ascii="微软雅黑" w:hAnsi="微软雅黑" w:eastAsia="微软雅黑" w:cs="微软雅黑"/>
          <w:sz w:val="28"/>
          <w:szCs w:val="28"/>
        </w:rPr>
      </w:pPr>
    </w:p>
    <w:p>
      <w:pPr>
        <w:ind w:firstLine="560" w:firstLineChars="200"/>
        <w:rPr>
          <w:rFonts w:ascii="微软雅黑" w:hAnsi="微软雅黑" w:eastAsia="微软雅黑" w:cs="微软雅黑"/>
          <w:sz w:val="28"/>
          <w:szCs w:val="28"/>
        </w:rPr>
      </w:pPr>
    </w:p>
    <w:p>
      <w:pPr>
        <w:ind w:firstLine="560" w:firstLineChars="200"/>
        <w:rPr>
          <w:rFonts w:ascii="微软雅黑" w:hAnsi="微软雅黑" w:eastAsia="微软雅黑" w:cs="微软雅黑"/>
          <w:sz w:val="28"/>
          <w:szCs w:val="28"/>
        </w:rPr>
      </w:pPr>
    </w:p>
    <w:p>
      <w:pPr>
        <w:ind w:firstLine="560" w:firstLineChars="200"/>
        <w:rPr>
          <w:rFonts w:ascii="微软雅黑" w:hAnsi="微软雅黑" w:eastAsia="微软雅黑" w:cs="微软雅黑"/>
          <w:sz w:val="28"/>
          <w:szCs w:val="28"/>
        </w:rPr>
      </w:pPr>
    </w:p>
    <w:p>
      <w:pPr>
        <w:rPr>
          <w:rFonts w:ascii="微软雅黑" w:hAnsi="微软雅黑" w:eastAsia="微软雅黑"/>
          <w:b/>
          <w:sz w:val="28"/>
          <w:szCs w:val="28"/>
        </w:rPr>
      </w:pPr>
    </w:p>
    <w:p>
      <w:pPr>
        <w:rPr>
          <w:rFonts w:ascii="微软雅黑" w:hAnsi="微软雅黑" w:eastAsia="微软雅黑"/>
          <w:b/>
          <w:sz w:val="28"/>
          <w:szCs w:val="28"/>
        </w:rPr>
      </w:pPr>
    </w:p>
    <w:p>
      <w:pPr>
        <w:rPr>
          <w:rFonts w:ascii="微软雅黑" w:hAnsi="微软雅黑" w:eastAsia="微软雅黑"/>
          <w:b/>
          <w:sz w:val="28"/>
          <w:szCs w:val="28"/>
        </w:rPr>
      </w:pPr>
    </w:p>
    <w:p>
      <w:pPr>
        <w:rPr>
          <w:rFonts w:ascii="微软雅黑" w:hAnsi="微软雅黑" w:eastAsia="微软雅黑"/>
          <w:b/>
          <w:sz w:val="28"/>
          <w:szCs w:val="28"/>
        </w:rPr>
      </w:pPr>
    </w:p>
    <w:p>
      <w:pPr>
        <w:tabs>
          <w:tab w:val="left" w:pos="3532"/>
        </w:tabs>
        <w:autoSpaceDE w:val="0"/>
        <w:autoSpaceDN w:val="0"/>
        <w:adjustRightInd w:val="0"/>
        <w:spacing w:line="560" w:lineRule="exact"/>
        <w:jc w:val="center"/>
        <w:rPr>
          <w:rFonts w:ascii="方正小标宋简体" w:hAnsi="宋体" w:eastAsia="方正小标宋简体" w:cs="Times New Roman"/>
          <w:b w:val="0"/>
          <w:bCs w:val="0"/>
          <w:sz w:val="36"/>
          <w:szCs w:val="36"/>
        </w:rPr>
      </w:pPr>
      <w:r>
        <w:rPr>
          <w:rFonts w:hint="eastAsia" w:ascii="方正小标宋简体" w:hAnsi="宋体" w:eastAsia="方正小标宋简体" w:cs="Times New Roman"/>
          <w:b w:val="0"/>
          <w:bCs w:val="0"/>
          <w:sz w:val="36"/>
          <w:szCs w:val="36"/>
        </w:rPr>
        <w:t>第二部分</w:t>
      </w:r>
    </w:p>
    <w:p>
      <w:pPr>
        <w:tabs>
          <w:tab w:val="left" w:pos="3532"/>
        </w:tabs>
        <w:autoSpaceDE w:val="0"/>
        <w:autoSpaceDN w:val="0"/>
        <w:adjustRightInd w:val="0"/>
        <w:spacing w:line="560" w:lineRule="exact"/>
        <w:jc w:val="center"/>
        <w:rPr>
          <w:rFonts w:hint="eastAsia" w:ascii="方正小标宋简体" w:hAnsi="宋体" w:eastAsia="方正小标宋简体" w:cs="Times New Roman"/>
          <w:b w:val="0"/>
          <w:bCs w:val="0"/>
          <w:sz w:val="36"/>
          <w:szCs w:val="36"/>
          <w:lang w:eastAsia="zh-CN"/>
        </w:rPr>
      </w:pPr>
      <w:r>
        <w:rPr>
          <w:rFonts w:hint="eastAsia" w:ascii="方正小标宋简体" w:hAnsi="宋体" w:eastAsia="方正小标宋简体" w:cs="Times New Roman"/>
          <w:b w:val="0"/>
          <w:bCs w:val="0"/>
          <w:sz w:val="36"/>
          <w:szCs w:val="36"/>
        </w:rPr>
        <w:t>内蒙古自治区特种设备检验研究院</w:t>
      </w:r>
      <w:r>
        <w:rPr>
          <w:rFonts w:hint="eastAsia" w:ascii="方正小标宋简体" w:hAnsi="宋体" w:eastAsia="方正小标宋简体" w:cs="Times New Roman"/>
          <w:b w:val="0"/>
          <w:bCs w:val="0"/>
          <w:sz w:val="36"/>
          <w:szCs w:val="36"/>
          <w:lang w:eastAsia="zh-CN"/>
        </w:rPr>
        <w:t>（本级）</w:t>
      </w:r>
    </w:p>
    <w:p>
      <w:pPr>
        <w:tabs>
          <w:tab w:val="left" w:pos="3532"/>
        </w:tabs>
        <w:autoSpaceDE w:val="0"/>
        <w:autoSpaceDN w:val="0"/>
        <w:adjustRightInd w:val="0"/>
        <w:spacing w:line="560" w:lineRule="exact"/>
        <w:jc w:val="center"/>
        <w:rPr>
          <w:rFonts w:ascii="方正小标宋简体" w:hAnsi="宋体" w:eastAsia="方正小标宋简体" w:cs="Times New Roman"/>
          <w:b w:val="0"/>
          <w:bCs w:val="0"/>
          <w:sz w:val="36"/>
          <w:szCs w:val="36"/>
        </w:rPr>
      </w:pPr>
      <w:r>
        <w:rPr>
          <w:rFonts w:hint="eastAsia" w:ascii="方正小标宋简体" w:hAnsi="宋体" w:eastAsia="方正小标宋简体" w:cs="Times New Roman"/>
          <w:b w:val="0"/>
          <w:bCs w:val="0"/>
          <w:sz w:val="36"/>
          <w:szCs w:val="36"/>
        </w:rPr>
        <w:t>2022年部门预算安排情况说明</w:t>
      </w:r>
    </w:p>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jc w:val="center"/>
        <w:rPr>
          <w:rFonts w:ascii="微软雅黑" w:hAnsi="微软雅黑" w:eastAsia="微软雅黑"/>
          <w:b/>
          <w:sz w:val="28"/>
          <w:szCs w:val="28"/>
        </w:rPr>
      </w:pPr>
    </w:p>
    <w:p>
      <w:pPr>
        <w:widowControl/>
        <w:spacing w:beforeLines="50" w:afterLines="50" w:line="360" w:lineRule="auto"/>
        <w:ind w:firstLine="640" w:firstLineChars="200"/>
        <w:jc w:val="left"/>
        <w:rPr>
          <w:rFonts w:ascii="黑体" w:hAnsi="黑体" w:eastAsia="黑体" w:cs="黑体"/>
          <w:bCs/>
          <w:sz w:val="32"/>
          <w:szCs w:val="32"/>
        </w:rPr>
      </w:pPr>
      <w:r>
        <w:rPr>
          <w:rFonts w:hint="eastAsia" w:ascii="黑体" w:hAnsi="黑体" w:eastAsia="黑体" w:cs="黑体"/>
          <w:bCs/>
          <w:sz w:val="32"/>
          <w:szCs w:val="32"/>
        </w:rPr>
        <w:t>一、2022年公共预算收支情况的总体说明</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2022年部门预算总收入为</w:t>
      </w:r>
      <w:r>
        <w:rPr>
          <w:rFonts w:ascii="仿宋_GB2312" w:hAnsi="宋体" w:eastAsia="仿宋_GB2312" w:cs="宋体"/>
          <w:kern w:val="0"/>
          <w:sz w:val="32"/>
          <w:szCs w:val="32"/>
        </w:rPr>
        <w:t>11</w:t>
      </w:r>
      <w:r>
        <w:rPr>
          <w:rFonts w:hint="eastAsia" w:ascii="仿宋_GB2312" w:hAnsi="宋体" w:eastAsia="仿宋_GB2312" w:cs="宋体"/>
          <w:kern w:val="0"/>
          <w:sz w:val="32"/>
          <w:szCs w:val="32"/>
          <w:lang w:val="en-US" w:eastAsia="zh-CN"/>
        </w:rPr>
        <w:t>,</w:t>
      </w:r>
      <w:r>
        <w:rPr>
          <w:rFonts w:ascii="仿宋_GB2312" w:hAnsi="宋体" w:eastAsia="仿宋_GB2312" w:cs="宋体"/>
          <w:kern w:val="0"/>
          <w:sz w:val="32"/>
          <w:szCs w:val="32"/>
        </w:rPr>
        <w:t>155.80</w:t>
      </w:r>
      <w:r>
        <w:rPr>
          <w:rFonts w:hint="eastAsia" w:ascii="仿宋_GB2312" w:hAnsi="宋体" w:eastAsia="仿宋_GB2312" w:cs="宋体"/>
          <w:kern w:val="0"/>
          <w:sz w:val="32"/>
          <w:szCs w:val="32"/>
        </w:rPr>
        <w:t>万元，无政府性基金预算拨款，其中：一般公共预算收入</w:t>
      </w:r>
      <w:r>
        <w:rPr>
          <w:rFonts w:ascii="仿宋_GB2312" w:hAnsi="宋体" w:eastAsia="仿宋_GB2312" w:cs="宋体"/>
          <w:kern w:val="0"/>
          <w:sz w:val="32"/>
          <w:szCs w:val="32"/>
        </w:rPr>
        <w:t>4</w:t>
      </w:r>
      <w:r>
        <w:rPr>
          <w:rFonts w:hint="eastAsia" w:ascii="仿宋_GB2312" w:hAnsi="宋体" w:eastAsia="仿宋_GB2312" w:cs="宋体"/>
          <w:kern w:val="0"/>
          <w:sz w:val="32"/>
          <w:szCs w:val="32"/>
          <w:lang w:val="en-US" w:eastAsia="zh-CN"/>
        </w:rPr>
        <w:t>,</w:t>
      </w:r>
      <w:r>
        <w:rPr>
          <w:rFonts w:ascii="仿宋_GB2312" w:hAnsi="宋体" w:eastAsia="仿宋_GB2312" w:cs="宋体"/>
          <w:kern w:val="0"/>
          <w:sz w:val="32"/>
          <w:szCs w:val="32"/>
        </w:rPr>
        <w:t>980.97</w:t>
      </w:r>
      <w:r>
        <w:rPr>
          <w:rFonts w:hint="eastAsia" w:ascii="仿宋_GB2312" w:hAnsi="宋体" w:eastAsia="仿宋_GB2312" w:cs="宋体"/>
          <w:kern w:val="0"/>
          <w:sz w:val="32"/>
          <w:szCs w:val="32"/>
        </w:rPr>
        <w:t>万元，占比44</w:t>
      </w:r>
      <w:r>
        <w:rPr>
          <w:rFonts w:ascii="仿宋_GB2312" w:hAnsi="宋体" w:eastAsia="仿宋_GB2312" w:cs="宋体"/>
          <w:kern w:val="0"/>
          <w:sz w:val="32"/>
          <w:szCs w:val="32"/>
        </w:rPr>
        <w:t>.65%</w:t>
      </w:r>
      <w:r>
        <w:rPr>
          <w:rFonts w:hint="eastAsia" w:ascii="仿宋_GB2312" w:hAnsi="宋体" w:eastAsia="仿宋_GB2312" w:cs="宋体"/>
          <w:kern w:val="0"/>
          <w:sz w:val="32"/>
          <w:szCs w:val="32"/>
        </w:rPr>
        <w:t>；事业单位经营收</w:t>
      </w:r>
      <w:r>
        <w:rPr>
          <w:rFonts w:ascii="仿宋_GB2312" w:hAnsi="宋体" w:eastAsia="仿宋_GB2312" w:cs="宋体"/>
          <w:kern w:val="0"/>
          <w:sz w:val="32"/>
          <w:szCs w:val="32"/>
        </w:rPr>
        <w:t>5</w:t>
      </w:r>
      <w:r>
        <w:rPr>
          <w:rFonts w:hint="eastAsia" w:ascii="仿宋_GB2312" w:hAnsi="宋体" w:eastAsia="仿宋_GB2312" w:cs="宋体"/>
          <w:kern w:val="0"/>
          <w:sz w:val="32"/>
          <w:szCs w:val="32"/>
          <w:lang w:val="en-US" w:eastAsia="zh-CN"/>
        </w:rPr>
        <w:t>,</w:t>
      </w:r>
      <w:r>
        <w:rPr>
          <w:rFonts w:ascii="仿宋_GB2312" w:hAnsi="宋体" w:eastAsia="仿宋_GB2312" w:cs="宋体"/>
          <w:kern w:val="0"/>
          <w:sz w:val="32"/>
          <w:szCs w:val="32"/>
        </w:rPr>
        <w:t>103</w:t>
      </w:r>
      <w:r>
        <w:rPr>
          <w:rFonts w:hint="eastAsia" w:ascii="仿宋_GB2312" w:hAnsi="宋体" w:eastAsia="仿宋_GB2312" w:cs="宋体"/>
          <w:kern w:val="0"/>
          <w:sz w:val="32"/>
          <w:szCs w:val="32"/>
        </w:rPr>
        <w:t>.00万元，占比</w:t>
      </w:r>
      <w:r>
        <w:rPr>
          <w:rFonts w:ascii="仿宋_GB2312" w:hAnsi="宋体" w:eastAsia="仿宋_GB2312" w:cs="宋体"/>
          <w:kern w:val="0"/>
          <w:sz w:val="32"/>
          <w:szCs w:val="32"/>
        </w:rPr>
        <w:t>45.74%</w:t>
      </w:r>
      <w:r>
        <w:rPr>
          <w:rFonts w:hint="eastAsia" w:ascii="仿宋_GB2312" w:hAnsi="宋体" w:eastAsia="仿宋_GB2312" w:cs="宋体"/>
          <w:kern w:val="0"/>
          <w:sz w:val="32"/>
          <w:szCs w:val="32"/>
        </w:rPr>
        <w:t>；其他收入5</w:t>
      </w:r>
      <w:r>
        <w:rPr>
          <w:rFonts w:ascii="仿宋_GB2312" w:hAnsi="宋体" w:eastAsia="仿宋_GB2312" w:cs="宋体"/>
          <w:kern w:val="0"/>
          <w:sz w:val="32"/>
          <w:szCs w:val="32"/>
        </w:rPr>
        <w:t>.00</w:t>
      </w:r>
      <w:r>
        <w:rPr>
          <w:rFonts w:hint="eastAsia" w:ascii="仿宋_GB2312" w:hAnsi="宋体" w:eastAsia="仿宋_GB2312" w:cs="宋体"/>
          <w:kern w:val="0"/>
          <w:sz w:val="32"/>
          <w:szCs w:val="32"/>
        </w:rPr>
        <w:t>万元，占比</w:t>
      </w:r>
      <w:r>
        <w:rPr>
          <w:rFonts w:ascii="仿宋_GB2312" w:hAnsi="宋体" w:eastAsia="仿宋_GB2312" w:cs="宋体"/>
          <w:kern w:val="0"/>
          <w:sz w:val="32"/>
          <w:szCs w:val="32"/>
        </w:rPr>
        <w:t>,0.04%</w:t>
      </w:r>
      <w:r>
        <w:rPr>
          <w:rFonts w:hint="eastAsia" w:ascii="仿宋_GB2312" w:hAnsi="宋体" w:eastAsia="仿宋_GB2312" w:cs="宋体"/>
          <w:kern w:val="0"/>
          <w:sz w:val="32"/>
          <w:szCs w:val="32"/>
        </w:rPr>
        <w:t>；</w:t>
      </w:r>
      <w:r>
        <w:rPr>
          <w:rFonts w:ascii="仿宋_GB2312" w:hAnsi="宋体" w:eastAsia="仿宋_GB2312" w:cs="宋体"/>
          <w:kern w:val="0"/>
          <w:sz w:val="32"/>
          <w:szCs w:val="32"/>
        </w:rPr>
        <w:t>上年结转结余</w:t>
      </w: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066</w:t>
      </w:r>
      <w:r>
        <w:rPr>
          <w:rFonts w:ascii="仿宋_GB2312" w:hAnsi="宋体" w:eastAsia="仿宋_GB2312" w:cs="宋体"/>
          <w:kern w:val="0"/>
          <w:sz w:val="32"/>
          <w:szCs w:val="32"/>
        </w:rPr>
        <w:t>.83</w:t>
      </w:r>
      <w:r>
        <w:rPr>
          <w:rFonts w:hint="eastAsia" w:ascii="仿宋_GB2312" w:hAnsi="宋体" w:eastAsia="仿宋_GB2312" w:cs="宋体"/>
          <w:kern w:val="0"/>
          <w:sz w:val="32"/>
          <w:szCs w:val="32"/>
        </w:rPr>
        <w:t>万元（全部</w:t>
      </w:r>
      <w:r>
        <w:rPr>
          <w:rFonts w:ascii="仿宋_GB2312" w:hAnsi="宋体" w:eastAsia="仿宋_GB2312" w:cs="宋体"/>
          <w:kern w:val="0"/>
          <w:sz w:val="32"/>
          <w:szCs w:val="32"/>
        </w:rPr>
        <w:t>为财政资金结转</w:t>
      </w:r>
      <w:r>
        <w:rPr>
          <w:rFonts w:hint="eastAsia" w:ascii="仿宋_GB2312" w:hAnsi="宋体" w:eastAsia="仿宋_GB2312" w:cs="宋体"/>
          <w:kern w:val="0"/>
          <w:sz w:val="32"/>
          <w:szCs w:val="32"/>
        </w:rPr>
        <w:t>），占比</w:t>
      </w:r>
      <w:r>
        <w:rPr>
          <w:rFonts w:ascii="仿宋_GB2312" w:hAnsi="宋体" w:eastAsia="仿宋_GB2312" w:cs="宋体"/>
          <w:kern w:val="0"/>
          <w:sz w:val="32"/>
          <w:szCs w:val="32"/>
        </w:rPr>
        <w:t>9.57%</w:t>
      </w:r>
      <w:r>
        <w:rPr>
          <w:rFonts w:hint="eastAsia" w:ascii="仿宋_GB2312" w:hAnsi="宋体" w:eastAsia="仿宋_GB2312" w:cs="宋体"/>
          <w:kern w:val="0"/>
          <w:sz w:val="32"/>
          <w:szCs w:val="32"/>
        </w:rPr>
        <w:t>。</w:t>
      </w:r>
    </w:p>
    <w:p>
      <w:pPr>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2022年部门预算总支出为11</w:t>
      </w:r>
      <w:r>
        <w:rPr>
          <w:rFonts w:hint="eastAsia" w:ascii="仿宋_GB2312" w:hAnsi="宋体" w:eastAsia="仿宋_GB2312" w:cs="宋体"/>
          <w:kern w:val="0"/>
          <w:sz w:val="32"/>
          <w:szCs w:val="32"/>
          <w:lang w:val="en-US" w:eastAsia="zh-CN"/>
        </w:rPr>
        <w:t>,</w:t>
      </w:r>
      <w:r>
        <w:rPr>
          <w:rFonts w:ascii="仿宋_GB2312" w:hAnsi="宋体" w:eastAsia="仿宋_GB2312" w:cs="宋体"/>
          <w:kern w:val="0"/>
          <w:sz w:val="32"/>
          <w:szCs w:val="32"/>
        </w:rPr>
        <w:t>155.80</w:t>
      </w:r>
      <w:r>
        <w:rPr>
          <w:rFonts w:hint="eastAsia" w:ascii="仿宋_GB2312" w:hAnsi="宋体" w:eastAsia="仿宋_GB2312" w:cs="宋体"/>
          <w:kern w:val="0"/>
          <w:sz w:val="32"/>
          <w:szCs w:val="32"/>
        </w:rPr>
        <w:t>万元，其中:基本支出</w:t>
      </w:r>
      <w:r>
        <w:rPr>
          <w:rFonts w:ascii="仿宋_GB2312" w:hAnsi="宋体" w:eastAsia="仿宋_GB2312" w:cs="宋体"/>
          <w:kern w:val="0"/>
          <w:sz w:val="32"/>
          <w:szCs w:val="32"/>
        </w:rPr>
        <w:t>56.97</w:t>
      </w:r>
      <w:r>
        <w:rPr>
          <w:rFonts w:hint="eastAsia" w:ascii="仿宋_GB2312" w:hAnsi="宋体" w:eastAsia="仿宋_GB2312" w:cs="宋体"/>
          <w:kern w:val="0"/>
          <w:sz w:val="32"/>
          <w:szCs w:val="32"/>
        </w:rPr>
        <w:t>万元（事业运行1</w:t>
      </w:r>
      <w:r>
        <w:rPr>
          <w:rFonts w:ascii="仿宋_GB2312" w:hAnsi="宋体" w:eastAsia="仿宋_GB2312" w:cs="宋体"/>
          <w:kern w:val="0"/>
          <w:sz w:val="32"/>
          <w:szCs w:val="32"/>
        </w:rPr>
        <w:t>.62</w:t>
      </w:r>
      <w:r>
        <w:rPr>
          <w:rFonts w:hint="eastAsia" w:ascii="仿宋_GB2312" w:hAnsi="宋体" w:eastAsia="仿宋_GB2312" w:cs="宋体"/>
          <w:kern w:val="0"/>
          <w:sz w:val="32"/>
          <w:szCs w:val="32"/>
        </w:rPr>
        <w:t>万元、事业单位离退休55</w:t>
      </w:r>
      <w:r>
        <w:rPr>
          <w:rFonts w:ascii="仿宋_GB2312" w:hAnsi="宋体" w:eastAsia="仿宋_GB2312" w:cs="宋体"/>
          <w:kern w:val="0"/>
          <w:sz w:val="32"/>
          <w:szCs w:val="32"/>
        </w:rPr>
        <w:t>.35</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r>
        <w:rPr>
          <w:rFonts w:ascii="仿宋_GB2312" w:hAnsi="宋体" w:eastAsia="仿宋_GB2312" w:cs="宋体"/>
          <w:kern w:val="0"/>
          <w:sz w:val="32"/>
          <w:szCs w:val="32"/>
        </w:rPr>
        <w:t>占比0.5</w:t>
      </w:r>
      <w:r>
        <w:rPr>
          <w:rFonts w:hint="eastAsia" w:ascii="仿宋_GB2312" w:hAnsi="宋体" w:eastAsia="仿宋_GB2312" w:cs="宋体"/>
          <w:kern w:val="0"/>
          <w:sz w:val="32"/>
          <w:szCs w:val="32"/>
        </w:rPr>
        <w:t>1</w:t>
      </w:r>
      <w:r>
        <w:rPr>
          <w:rFonts w:ascii="仿宋_GB2312" w:hAnsi="宋体" w:eastAsia="仿宋_GB2312" w:cs="宋体"/>
          <w:kern w:val="0"/>
          <w:sz w:val="32"/>
          <w:szCs w:val="32"/>
        </w:rPr>
        <w:t>%；</w:t>
      </w:r>
      <w:r>
        <w:rPr>
          <w:rFonts w:hint="eastAsia" w:ascii="仿宋_GB2312" w:hAnsi="宋体" w:eastAsia="仿宋_GB2312" w:cs="宋体"/>
          <w:kern w:val="0"/>
          <w:sz w:val="32"/>
          <w:szCs w:val="32"/>
        </w:rPr>
        <w:t>项目支出5</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995.83万元（市场秩序执法</w:t>
      </w:r>
      <w:r>
        <w:rPr>
          <w:rFonts w:ascii="仿宋_GB2312" w:hAnsi="宋体" w:eastAsia="仿宋_GB2312" w:cs="宋体"/>
          <w:kern w:val="0"/>
          <w:sz w:val="32"/>
          <w:szCs w:val="32"/>
        </w:rPr>
        <w:t>5</w:t>
      </w:r>
      <w:r>
        <w:rPr>
          <w:rFonts w:hint="eastAsia" w:ascii="仿宋_GB2312" w:hAnsi="宋体" w:eastAsia="仿宋_GB2312" w:cs="宋体"/>
          <w:kern w:val="0"/>
          <w:sz w:val="32"/>
          <w:szCs w:val="32"/>
          <w:lang w:val="en-US" w:eastAsia="zh-CN"/>
        </w:rPr>
        <w:t>,</w:t>
      </w:r>
      <w:r>
        <w:rPr>
          <w:rFonts w:ascii="仿宋_GB2312" w:hAnsi="宋体" w:eastAsia="仿宋_GB2312" w:cs="宋体"/>
          <w:kern w:val="0"/>
          <w:sz w:val="32"/>
          <w:szCs w:val="32"/>
        </w:rPr>
        <w:t>122.83</w:t>
      </w:r>
      <w:r>
        <w:rPr>
          <w:rFonts w:hint="eastAsia" w:ascii="仿宋_GB2312" w:hAnsi="宋体" w:eastAsia="仿宋_GB2312" w:cs="宋体"/>
          <w:kern w:val="0"/>
          <w:sz w:val="32"/>
          <w:szCs w:val="32"/>
        </w:rPr>
        <w:t>万元、质量</w:t>
      </w:r>
      <w:r>
        <w:rPr>
          <w:rFonts w:ascii="仿宋_GB2312" w:hAnsi="宋体" w:eastAsia="仿宋_GB2312" w:cs="宋体"/>
          <w:kern w:val="0"/>
          <w:sz w:val="32"/>
          <w:szCs w:val="32"/>
        </w:rPr>
        <w:t>安全监管</w:t>
      </w:r>
      <w:r>
        <w:rPr>
          <w:rFonts w:hint="eastAsia" w:ascii="仿宋_GB2312" w:hAnsi="宋体" w:eastAsia="仿宋_GB2312" w:cs="宋体"/>
          <w:kern w:val="0"/>
          <w:sz w:val="32"/>
          <w:szCs w:val="32"/>
        </w:rPr>
        <w:t>5</w:t>
      </w:r>
      <w:r>
        <w:rPr>
          <w:rFonts w:ascii="仿宋_GB2312" w:hAnsi="宋体" w:eastAsia="仿宋_GB2312" w:cs="宋体"/>
          <w:kern w:val="0"/>
          <w:sz w:val="32"/>
          <w:szCs w:val="32"/>
        </w:rPr>
        <w:t>.00</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w:t>
      </w:r>
      <w:r>
        <w:rPr>
          <w:rFonts w:hint="eastAsia" w:ascii="仿宋_GB2312" w:hAnsi="宋体" w:eastAsia="仿宋_GB2312" w:cs="宋体"/>
          <w:kern w:val="0"/>
          <w:sz w:val="32"/>
          <w:szCs w:val="32"/>
        </w:rPr>
        <w:t>其他市场监督管理事务</w:t>
      </w:r>
      <w:r>
        <w:rPr>
          <w:rFonts w:ascii="仿宋_GB2312" w:hAnsi="宋体" w:eastAsia="仿宋_GB2312" w:cs="宋体"/>
          <w:kern w:val="0"/>
          <w:sz w:val="32"/>
          <w:szCs w:val="32"/>
        </w:rPr>
        <w:t>868.00</w:t>
      </w:r>
      <w:r>
        <w:rPr>
          <w:rFonts w:hint="eastAsia" w:ascii="仿宋_GB2312" w:hAnsi="宋体" w:eastAsia="仿宋_GB2312" w:cs="宋体"/>
          <w:kern w:val="0"/>
          <w:sz w:val="32"/>
          <w:szCs w:val="32"/>
        </w:rPr>
        <w:t>万元),占比53.75%;事业单位经营支出</w:t>
      </w:r>
      <w:r>
        <w:rPr>
          <w:rFonts w:ascii="仿宋_GB2312" w:hAnsi="宋体" w:eastAsia="仿宋_GB2312" w:cs="宋体"/>
          <w:kern w:val="0"/>
          <w:sz w:val="32"/>
          <w:szCs w:val="32"/>
        </w:rPr>
        <w:t>5</w:t>
      </w:r>
      <w:r>
        <w:rPr>
          <w:rFonts w:hint="eastAsia" w:ascii="仿宋_GB2312" w:hAnsi="宋体" w:eastAsia="仿宋_GB2312" w:cs="宋体"/>
          <w:kern w:val="0"/>
          <w:sz w:val="32"/>
          <w:szCs w:val="32"/>
          <w:lang w:val="en-US" w:eastAsia="zh-CN"/>
        </w:rPr>
        <w:t>,</w:t>
      </w:r>
      <w:r>
        <w:rPr>
          <w:rFonts w:ascii="仿宋_GB2312" w:hAnsi="宋体" w:eastAsia="仿宋_GB2312" w:cs="宋体"/>
          <w:kern w:val="0"/>
          <w:sz w:val="32"/>
          <w:szCs w:val="32"/>
        </w:rPr>
        <w:t>103.00</w:t>
      </w:r>
      <w:r>
        <w:rPr>
          <w:rFonts w:hint="eastAsia" w:ascii="仿宋_GB2312" w:hAnsi="宋体" w:eastAsia="仿宋_GB2312" w:cs="宋体"/>
          <w:kern w:val="0"/>
          <w:sz w:val="32"/>
          <w:szCs w:val="32"/>
        </w:rPr>
        <w:t>万元,占比45.74</w:t>
      </w:r>
      <w:r>
        <w:rPr>
          <w:rFonts w:ascii="仿宋_GB2312" w:hAnsi="宋体" w:eastAsia="仿宋_GB2312" w:cs="宋体"/>
          <w:kern w:val="0"/>
          <w:sz w:val="32"/>
          <w:szCs w:val="32"/>
        </w:rPr>
        <w:t>%。</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二、2022年一般公共预算拨款收支情况说明</w:t>
      </w:r>
    </w:p>
    <w:p>
      <w:pPr>
        <w:ind w:firstLine="643" w:firstLineChars="200"/>
        <w:rPr>
          <w:rFonts w:ascii="仿宋_GB2312" w:hAnsi="宋体" w:eastAsia="仿宋_GB2312" w:cs="宋体"/>
          <w:kern w:val="0"/>
          <w:sz w:val="32"/>
          <w:szCs w:val="32"/>
        </w:rPr>
      </w:pPr>
      <w:r>
        <w:rPr>
          <w:rFonts w:hint="eastAsia" w:ascii="楷体_GB2312" w:hAnsi="宋体" w:eastAsia="楷体_GB2312" w:cs="宋体"/>
          <w:b/>
          <w:kern w:val="0"/>
          <w:sz w:val="32"/>
          <w:szCs w:val="32"/>
          <w:lang w:eastAsia="zh-CN"/>
        </w:rPr>
        <w:t>（一）</w:t>
      </w:r>
      <w:r>
        <w:rPr>
          <w:rFonts w:hint="eastAsia" w:ascii="楷体_GB2312" w:hAnsi="宋体" w:eastAsia="楷体_GB2312" w:cs="宋体"/>
          <w:b/>
          <w:kern w:val="0"/>
          <w:sz w:val="32"/>
          <w:szCs w:val="32"/>
        </w:rPr>
        <w:t>财政拨款规模情况</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内蒙古自治区特种设备检验研究院2022年财政拨款收支总预算为6</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047.8</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万元，其中：本年一般公共预算拨款收入数为</w:t>
      </w:r>
      <w:r>
        <w:rPr>
          <w:rFonts w:ascii="仿宋_GB2312" w:hAnsi="宋体" w:eastAsia="仿宋_GB2312" w:cs="宋体"/>
          <w:kern w:val="0"/>
          <w:sz w:val="32"/>
          <w:szCs w:val="32"/>
        </w:rPr>
        <w:t>4</w:t>
      </w:r>
      <w:r>
        <w:rPr>
          <w:rFonts w:hint="eastAsia" w:ascii="仿宋_GB2312" w:hAnsi="宋体" w:eastAsia="仿宋_GB2312" w:cs="宋体"/>
          <w:kern w:val="0"/>
          <w:sz w:val="32"/>
          <w:szCs w:val="32"/>
          <w:lang w:val="en-US" w:eastAsia="zh-CN"/>
        </w:rPr>
        <w:t>,</w:t>
      </w:r>
      <w:r>
        <w:rPr>
          <w:rFonts w:ascii="仿宋_GB2312" w:hAnsi="宋体" w:eastAsia="仿宋_GB2312" w:cs="宋体"/>
          <w:kern w:val="0"/>
          <w:sz w:val="32"/>
          <w:szCs w:val="32"/>
        </w:rPr>
        <w:t>98</w:t>
      </w:r>
      <w:r>
        <w:rPr>
          <w:rFonts w:hint="eastAsia" w:ascii="仿宋_GB2312" w:hAnsi="宋体" w:eastAsia="仿宋_GB2312" w:cs="宋体"/>
          <w:kern w:val="0"/>
          <w:sz w:val="32"/>
          <w:szCs w:val="32"/>
        </w:rPr>
        <w:t>0</w:t>
      </w:r>
      <w:r>
        <w:rPr>
          <w:rFonts w:ascii="仿宋_GB2312" w:hAnsi="宋体" w:eastAsia="仿宋_GB2312" w:cs="宋体"/>
          <w:kern w:val="0"/>
          <w:sz w:val="32"/>
          <w:szCs w:val="32"/>
        </w:rPr>
        <w:t>.97</w:t>
      </w:r>
      <w:r>
        <w:rPr>
          <w:rFonts w:hint="eastAsia" w:ascii="仿宋_GB2312" w:hAnsi="宋体" w:eastAsia="仿宋_GB2312" w:cs="宋体"/>
          <w:kern w:val="0"/>
          <w:sz w:val="32"/>
          <w:szCs w:val="32"/>
        </w:rPr>
        <w:t>万元，上年</w:t>
      </w:r>
      <w:r>
        <w:rPr>
          <w:rFonts w:ascii="仿宋_GB2312" w:hAnsi="宋体" w:eastAsia="仿宋_GB2312" w:cs="宋体"/>
          <w:kern w:val="0"/>
          <w:sz w:val="32"/>
          <w:szCs w:val="32"/>
        </w:rPr>
        <w:t>结转结余</w:t>
      </w: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066</w:t>
      </w:r>
      <w:r>
        <w:rPr>
          <w:rFonts w:ascii="仿宋_GB2312" w:hAnsi="宋体" w:eastAsia="仿宋_GB2312" w:cs="宋体"/>
          <w:kern w:val="0"/>
          <w:sz w:val="32"/>
          <w:szCs w:val="32"/>
        </w:rPr>
        <w:t>.83</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w:t>
      </w:r>
    </w:p>
    <w:p>
      <w:pPr>
        <w:ind w:firstLine="643" w:firstLineChars="200"/>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eastAsia="zh-CN"/>
        </w:rPr>
        <w:t>（二）财政拨款预算结构情况</w:t>
      </w:r>
    </w:p>
    <w:p>
      <w:pPr>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2022年部门预算中，财政拨款支出数为</w:t>
      </w:r>
      <w:r>
        <w:rPr>
          <w:rFonts w:ascii="仿宋_GB2312" w:hAnsi="宋体" w:eastAsia="仿宋_GB2312" w:cs="宋体"/>
          <w:kern w:val="0"/>
          <w:sz w:val="32"/>
          <w:szCs w:val="32"/>
        </w:rPr>
        <w:t>6</w:t>
      </w:r>
      <w:r>
        <w:rPr>
          <w:rFonts w:hint="eastAsia" w:ascii="仿宋_GB2312" w:hAnsi="宋体" w:eastAsia="仿宋_GB2312" w:cs="宋体"/>
          <w:kern w:val="0"/>
          <w:sz w:val="32"/>
          <w:szCs w:val="32"/>
          <w:lang w:val="en-US" w:eastAsia="zh-CN"/>
        </w:rPr>
        <w:t>,</w:t>
      </w:r>
      <w:r>
        <w:rPr>
          <w:rFonts w:ascii="仿宋_GB2312" w:hAnsi="宋体" w:eastAsia="仿宋_GB2312" w:cs="宋体"/>
          <w:kern w:val="0"/>
          <w:sz w:val="32"/>
          <w:szCs w:val="32"/>
        </w:rPr>
        <w:t>047.80</w:t>
      </w:r>
      <w:r>
        <w:rPr>
          <w:rFonts w:hint="eastAsia" w:ascii="仿宋_GB2312" w:hAnsi="宋体" w:eastAsia="仿宋_GB2312" w:cs="宋体"/>
          <w:kern w:val="0"/>
          <w:sz w:val="32"/>
          <w:szCs w:val="32"/>
        </w:rPr>
        <w:t>万元，用于以下方面：一般公共服务（类）支出</w:t>
      </w:r>
      <w:r>
        <w:rPr>
          <w:rFonts w:ascii="仿宋_GB2312" w:hAnsi="宋体" w:eastAsia="仿宋_GB2312" w:cs="宋体"/>
          <w:kern w:val="0"/>
          <w:sz w:val="32"/>
          <w:szCs w:val="32"/>
        </w:rPr>
        <w:t>5</w:t>
      </w:r>
      <w:r>
        <w:rPr>
          <w:rFonts w:hint="eastAsia" w:ascii="仿宋_GB2312" w:hAnsi="宋体" w:eastAsia="仿宋_GB2312" w:cs="宋体"/>
          <w:kern w:val="0"/>
          <w:sz w:val="32"/>
          <w:szCs w:val="32"/>
          <w:lang w:val="en-US" w:eastAsia="zh-CN"/>
        </w:rPr>
        <w:t>,</w:t>
      </w:r>
      <w:r>
        <w:rPr>
          <w:rFonts w:ascii="仿宋_GB2312" w:hAnsi="宋体" w:eastAsia="仿宋_GB2312" w:cs="宋体"/>
          <w:kern w:val="0"/>
          <w:sz w:val="32"/>
          <w:szCs w:val="32"/>
        </w:rPr>
        <w:t>992.45</w:t>
      </w:r>
      <w:r>
        <w:rPr>
          <w:rFonts w:hint="eastAsia" w:ascii="仿宋_GB2312" w:hAnsi="宋体" w:eastAsia="仿宋_GB2312" w:cs="宋体"/>
          <w:kern w:val="0"/>
          <w:sz w:val="32"/>
          <w:szCs w:val="32"/>
        </w:rPr>
        <w:t>万元，占支出的99.</w:t>
      </w:r>
      <w:r>
        <w:rPr>
          <w:rFonts w:ascii="仿宋_GB2312" w:hAnsi="宋体" w:eastAsia="仿宋_GB2312" w:cs="宋体"/>
          <w:kern w:val="0"/>
          <w:sz w:val="32"/>
          <w:szCs w:val="32"/>
        </w:rPr>
        <w:t>08</w:t>
      </w:r>
      <w:r>
        <w:rPr>
          <w:rFonts w:hint="eastAsia" w:ascii="仿宋_GB2312" w:hAnsi="宋体" w:eastAsia="仿宋_GB2312" w:cs="宋体"/>
          <w:kern w:val="0"/>
          <w:sz w:val="32"/>
          <w:szCs w:val="32"/>
        </w:rPr>
        <w:t>%；社会保障和就业（类）支出</w:t>
      </w:r>
      <w:r>
        <w:rPr>
          <w:rFonts w:ascii="仿宋_GB2312" w:hAnsi="宋体" w:eastAsia="仿宋_GB2312" w:cs="宋体"/>
          <w:kern w:val="0"/>
          <w:sz w:val="32"/>
          <w:szCs w:val="32"/>
        </w:rPr>
        <w:t>55.35</w:t>
      </w:r>
      <w:r>
        <w:rPr>
          <w:rFonts w:hint="eastAsia" w:ascii="仿宋_GB2312" w:hAnsi="宋体" w:eastAsia="仿宋_GB2312" w:cs="宋体"/>
          <w:kern w:val="0"/>
          <w:sz w:val="32"/>
          <w:szCs w:val="32"/>
        </w:rPr>
        <w:t>万元，占支出的</w:t>
      </w:r>
      <w:r>
        <w:rPr>
          <w:rFonts w:ascii="仿宋_GB2312" w:hAnsi="宋体" w:eastAsia="仿宋_GB2312" w:cs="宋体"/>
          <w:kern w:val="0"/>
          <w:sz w:val="32"/>
          <w:szCs w:val="32"/>
        </w:rPr>
        <w:t>0.92</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w:t>
      </w:r>
    </w:p>
    <w:p>
      <w:pPr>
        <w:ind w:firstLine="643" w:firstLineChars="200"/>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eastAsia="zh-CN"/>
        </w:rPr>
        <w:t>（三）一般公共预算拨款收入具体使用安排情况</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2022年财政拨款预算数为</w:t>
      </w:r>
      <w:r>
        <w:rPr>
          <w:rFonts w:ascii="仿宋_GB2312" w:hAnsi="宋体" w:eastAsia="仿宋_GB2312" w:cs="宋体"/>
          <w:kern w:val="0"/>
          <w:sz w:val="32"/>
          <w:szCs w:val="32"/>
        </w:rPr>
        <w:t>6</w:t>
      </w:r>
      <w:r>
        <w:rPr>
          <w:rFonts w:hint="eastAsia" w:ascii="仿宋_GB2312" w:hAnsi="宋体" w:eastAsia="仿宋_GB2312" w:cs="宋体"/>
          <w:kern w:val="0"/>
          <w:sz w:val="32"/>
          <w:szCs w:val="32"/>
          <w:lang w:val="en-US" w:eastAsia="zh-CN"/>
        </w:rPr>
        <w:t>,</w:t>
      </w:r>
      <w:r>
        <w:rPr>
          <w:rFonts w:ascii="仿宋_GB2312" w:hAnsi="宋体" w:eastAsia="仿宋_GB2312" w:cs="宋体"/>
          <w:kern w:val="0"/>
          <w:sz w:val="32"/>
          <w:szCs w:val="32"/>
        </w:rPr>
        <w:t>047</w:t>
      </w:r>
      <w:r>
        <w:rPr>
          <w:rFonts w:hint="eastAsia" w:ascii="仿宋_GB2312" w:hAnsi="宋体" w:eastAsia="仿宋_GB2312" w:cs="宋体"/>
          <w:kern w:val="0"/>
          <w:sz w:val="32"/>
          <w:szCs w:val="32"/>
        </w:rPr>
        <w:t>.80万元，比2021年财政拨款预算数减少1</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334.1</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万元，具体情况如下：</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一般公共服务类2022年财政拨款预算数为</w:t>
      </w:r>
      <w:r>
        <w:rPr>
          <w:rFonts w:ascii="仿宋_GB2312" w:hAnsi="宋体" w:eastAsia="仿宋_GB2312" w:cs="宋体"/>
          <w:kern w:val="0"/>
          <w:sz w:val="32"/>
          <w:szCs w:val="32"/>
        </w:rPr>
        <w:t>5</w:t>
      </w:r>
      <w:r>
        <w:rPr>
          <w:rFonts w:hint="eastAsia" w:ascii="仿宋_GB2312" w:hAnsi="宋体" w:eastAsia="仿宋_GB2312" w:cs="宋体"/>
          <w:kern w:val="0"/>
          <w:sz w:val="32"/>
          <w:szCs w:val="32"/>
          <w:lang w:val="en-US" w:eastAsia="zh-CN"/>
        </w:rPr>
        <w:t>,</w:t>
      </w:r>
      <w:r>
        <w:rPr>
          <w:rFonts w:ascii="仿宋_GB2312" w:hAnsi="宋体" w:eastAsia="仿宋_GB2312" w:cs="宋体"/>
          <w:kern w:val="0"/>
          <w:sz w:val="32"/>
          <w:szCs w:val="32"/>
        </w:rPr>
        <w:t>992.45</w:t>
      </w:r>
      <w:r>
        <w:rPr>
          <w:rFonts w:hint="eastAsia" w:ascii="仿宋_GB2312" w:hAnsi="宋体" w:eastAsia="仿宋_GB2312" w:cs="宋体"/>
          <w:kern w:val="0"/>
          <w:sz w:val="32"/>
          <w:szCs w:val="32"/>
        </w:rPr>
        <w:t>万元，比上年减少1</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004.53万元。其中：</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(1)一般公共服务（类）市场监督管理事务（款）市场秩序执法(项)：2022年财政拨款预算数为</w:t>
      </w:r>
      <w:r>
        <w:rPr>
          <w:rFonts w:ascii="仿宋_GB2312" w:hAnsi="宋体" w:eastAsia="仿宋_GB2312" w:cs="宋体"/>
          <w:kern w:val="0"/>
          <w:sz w:val="32"/>
          <w:szCs w:val="32"/>
        </w:rPr>
        <w:t>5</w:t>
      </w:r>
      <w:r>
        <w:rPr>
          <w:rFonts w:hint="eastAsia" w:ascii="仿宋_GB2312" w:hAnsi="宋体" w:eastAsia="仿宋_GB2312" w:cs="宋体"/>
          <w:kern w:val="0"/>
          <w:sz w:val="32"/>
          <w:szCs w:val="32"/>
          <w:lang w:val="en-US" w:eastAsia="zh-CN"/>
        </w:rPr>
        <w:t>,</w:t>
      </w:r>
      <w:r>
        <w:rPr>
          <w:rFonts w:ascii="仿宋_GB2312" w:hAnsi="宋体" w:eastAsia="仿宋_GB2312" w:cs="宋体"/>
          <w:kern w:val="0"/>
          <w:sz w:val="32"/>
          <w:szCs w:val="32"/>
        </w:rPr>
        <w:t>122.83</w:t>
      </w:r>
      <w:r>
        <w:rPr>
          <w:rFonts w:hint="eastAsia" w:ascii="仿宋_GB2312" w:hAnsi="宋体" w:eastAsia="仿宋_GB2312" w:cs="宋体"/>
          <w:kern w:val="0"/>
          <w:sz w:val="32"/>
          <w:szCs w:val="32"/>
        </w:rPr>
        <w:t>万元。主要用于：锅炉压力容器与特种设备安全监管项目支出。</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(2)一般公共服务（类）市场监督管理事务（款）事业运行（项）：2022年财政拨款预算数为</w:t>
      </w:r>
      <w:r>
        <w:rPr>
          <w:rFonts w:ascii="仿宋_GB2312" w:hAnsi="宋体" w:eastAsia="仿宋_GB2312" w:cs="宋体"/>
          <w:kern w:val="0"/>
          <w:sz w:val="32"/>
          <w:szCs w:val="32"/>
        </w:rPr>
        <w:t>1.62</w:t>
      </w:r>
      <w:r>
        <w:rPr>
          <w:rFonts w:hint="eastAsia" w:ascii="仿宋_GB2312" w:hAnsi="宋体" w:eastAsia="仿宋_GB2312" w:cs="宋体"/>
          <w:kern w:val="0"/>
          <w:sz w:val="32"/>
          <w:szCs w:val="32"/>
        </w:rPr>
        <w:t>万元。主要用于：事业运行经费支出，保障机构正常运行、开展日常工作。</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(3)一般公共服务（类）市场监督管理事务（款）其他市场监督管理事务（项）：2022年财政拨款预算数为</w:t>
      </w:r>
      <w:r>
        <w:rPr>
          <w:rFonts w:ascii="仿宋_GB2312" w:hAnsi="宋体" w:eastAsia="仿宋_GB2312" w:cs="宋体"/>
          <w:kern w:val="0"/>
          <w:sz w:val="32"/>
          <w:szCs w:val="32"/>
        </w:rPr>
        <w:t>868.00</w:t>
      </w:r>
      <w:r>
        <w:rPr>
          <w:rFonts w:hint="eastAsia" w:ascii="仿宋_GB2312" w:hAnsi="宋体" w:eastAsia="仿宋_GB2312" w:cs="宋体"/>
          <w:kern w:val="0"/>
          <w:sz w:val="32"/>
          <w:szCs w:val="32"/>
        </w:rPr>
        <w:t>万元。主要用于</w:t>
      </w:r>
      <w:r>
        <w:rPr>
          <w:rFonts w:hint="eastAsia" w:ascii="仿宋_GB2312" w:eastAsia="仿宋_GB2312"/>
          <w:sz w:val="32"/>
          <w:szCs w:val="32"/>
        </w:rPr>
        <w:t>在编人员基本工资、津贴补贴等人员经费以及事业运行经费基本支出，保障机构正常运行、开展日常工作。</w:t>
      </w:r>
    </w:p>
    <w:p>
      <w:pPr>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(4)社会保障和就业支出（类）行政事业单位养老支出（款）：2022年财政拨款预算数为</w:t>
      </w:r>
      <w:r>
        <w:rPr>
          <w:rFonts w:ascii="仿宋_GB2312" w:hAnsi="宋体" w:eastAsia="仿宋_GB2312" w:cs="宋体"/>
          <w:kern w:val="0"/>
          <w:sz w:val="32"/>
          <w:szCs w:val="32"/>
        </w:rPr>
        <w:t>55.35</w:t>
      </w:r>
      <w:r>
        <w:rPr>
          <w:rFonts w:hint="eastAsia" w:ascii="仿宋_GB2312" w:hAnsi="宋体" w:eastAsia="仿宋_GB2312" w:cs="宋体"/>
          <w:kern w:val="0"/>
          <w:sz w:val="32"/>
          <w:szCs w:val="32"/>
        </w:rPr>
        <w:t>万元，事业单位离退休（项）</w:t>
      </w:r>
      <w:r>
        <w:rPr>
          <w:rFonts w:ascii="仿宋_GB2312" w:hAnsi="宋体" w:eastAsia="仿宋_GB2312" w:cs="宋体"/>
          <w:kern w:val="0"/>
          <w:sz w:val="32"/>
          <w:szCs w:val="32"/>
        </w:rPr>
        <w:t>55.35</w:t>
      </w:r>
      <w:r>
        <w:rPr>
          <w:rFonts w:hint="eastAsia" w:ascii="仿宋_GB2312" w:hAnsi="宋体" w:eastAsia="仿宋_GB2312" w:cs="宋体"/>
          <w:kern w:val="0"/>
          <w:sz w:val="32"/>
          <w:szCs w:val="32"/>
        </w:rPr>
        <w:t>万元，主要用于事业单位开支的离退休经费</w:t>
      </w:r>
      <w:r>
        <w:rPr>
          <w:rFonts w:hint="eastAsia" w:ascii="仿宋_GB2312" w:hAnsi="宋体" w:eastAsia="仿宋_GB2312" w:cs="宋体"/>
          <w:kern w:val="0"/>
          <w:sz w:val="32"/>
          <w:szCs w:val="32"/>
          <w:lang w:eastAsia="zh-CN"/>
        </w:rPr>
        <w:t>。</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三、政府性基金预算拨款支出预算的情况说明</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我单位2022年无政府性基金预算拨款支出。</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四、国有资本经营预算拨款支出预算的情况说明</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我单位2022年无国有资本经营预算拨款支出。</w:t>
      </w:r>
    </w:p>
    <w:p>
      <w:pPr>
        <w:ind w:firstLine="640" w:firstLineChars="200"/>
        <w:rPr>
          <w:rFonts w:ascii="黑体" w:hAnsi="黑体" w:eastAsia="黑体" w:cs="黑体"/>
          <w:bCs/>
          <w:sz w:val="32"/>
          <w:szCs w:val="32"/>
        </w:rPr>
      </w:pPr>
      <w:r>
        <w:rPr>
          <w:rFonts w:hint="eastAsia" w:ascii="黑体" w:hAnsi="黑体" w:eastAsia="黑体" w:cs="黑体"/>
          <w:bCs/>
          <w:sz w:val="32"/>
          <w:szCs w:val="32"/>
        </w:rPr>
        <w:t>五、“三公经费”财政拨款支出预算的情况说明</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2022年度“三公经费”财政拨款支出预算数为</w:t>
      </w:r>
      <w:r>
        <w:rPr>
          <w:rFonts w:ascii="仿宋_GB2312" w:hAnsi="宋体" w:eastAsia="仿宋_GB2312" w:cs="宋体"/>
          <w:kern w:val="0"/>
          <w:sz w:val="32"/>
          <w:szCs w:val="32"/>
        </w:rPr>
        <w:t>136.20</w:t>
      </w:r>
      <w:r>
        <w:rPr>
          <w:rFonts w:hint="eastAsia" w:ascii="仿宋_GB2312" w:hAnsi="宋体" w:eastAsia="仿宋_GB2312" w:cs="宋体"/>
          <w:kern w:val="0"/>
          <w:sz w:val="32"/>
          <w:szCs w:val="32"/>
        </w:rPr>
        <w:t>万元，比上年减少56.6</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万元，下降29.36%，占总支出的</w:t>
      </w:r>
      <w:r>
        <w:rPr>
          <w:rFonts w:ascii="仿宋_GB2312" w:hAnsi="宋体" w:eastAsia="仿宋_GB2312" w:cs="宋体"/>
          <w:kern w:val="0"/>
          <w:sz w:val="32"/>
          <w:szCs w:val="32"/>
        </w:rPr>
        <w:t>1.22</w:t>
      </w:r>
      <w:r>
        <w:rPr>
          <w:rFonts w:hint="eastAsia" w:ascii="仿宋_GB2312" w:hAnsi="宋体" w:eastAsia="仿宋_GB2312" w:cs="宋体"/>
          <w:kern w:val="0"/>
          <w:sz w:val="32"/>
          <w:szCs w:val="32"/>
        </w:rPr>
        <w:t>%，其中因公出国（境)费、公务接待费、公务用车运行维护费预算均比2021年度均有所下降。主要原因是按照中央“八项规定”要求，厉行节约，按照公车改革的要求，大幅减少保留公务用车，严格控制“三公”经费支出，减少因公出国（境）团数和人数，压缩公务接待费和公务用车运行维护费,故预算数相应减少。其中：</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因公出国（境）费预算为0万元</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公务接待费1.2</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万元，比上年预算数减少0.6</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万元，下降33.33%；</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公务用车运行维护费预算</w:t>
      </w:r>
      <w:r>
        <w:rPr>
          <w:rFonts w:ascii="仿宋_GB2312" w:hAnsi="宋体" w:eastAsia="仿宋_GB2312" w:cs="宋体"/>
          <w:kern w:val="0"/>
          <w:sz w:val="32"/>
          <w:szCs w:val="32"/>
        </w:rPr>
        <w:t>135.00</w:t>
      </w:r>
      <w:r>
        <w:rPr>
          <w:rFonts w:hint="eastAsia" w:ascii="仿宋_GB2312" w:hAnsi="宋体" w:eastAsia="仿宋_GB2312" w:cs="宋体"/>
          <w:kern w:val="0"/>
          <w:sz w:val="32"/>
          <w:szCs w:val="32"/>
        </w:rPr>
        <w:t>万元，比上年预算数减少50</w:t>
      </w:r>
      <w:r>
        <w:rPr>
          <w:rFonts w:hint="eastAsia" w:ascii="仿宋_GB2312" w:hAnsi="宋体" w:eastAsia="仿宋_GB2312" w:cs="宋体"/>
          <w:kern w:val="0"/>
          <w:sz w:val="32"/>
          <w:szCs w:val="32"/>
          <w:lang w:val="en-US" w:eastAsia="zh-CN"/>
        </w:rPr>
        <w:t>.00</w:t>
      </w:r>
      <w:r>
        <w:rPr>
          <w:rFonts w:hint="eastAsia" w:ascii="仿宋_GB2312" w:hAnsi="宋体" w:eastAsia="仿宋_GB2312" w:cs="宋体"/>
          <w:kern w:val="0"/>
          <w:sz w:val="32"/>
          <w:szCs w:val="32"/>
        </w:rPr>
        <w:t>万元，减少27.03%。</w:t>
      </w: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微软雅黑" w:hAnsi="微软雅黑" w:eastAsia="微软雅黑"/>
          <w:color w:val="FF0000"/>
          <w:sz w:val="28"/>
          <w:szCs w:val="28"/>
        </w:rPr>
      </w:pPr>
    </w:p>
    <w:p>
      <w:pPr>
        <w:rPr>
          <w:rFonts w:ascii="微软雅黑" w:hAnsi="微软雅黑" w:eastAsia="微软雅黑"/>
          <w:color w:val="FF0000"/>
          <w:sz w:val="28"/>
          <w:szCs w:val="28"/>
        </w:rPr>
      </w:pPr>
    </w:p>
    <w:p>
      <w:pPr>
        <w:rPr>
          <w:rFonts w:ascii="微软雅黑" w:hAnsi="微软雅黑" w:eastAsia="微软雅黑"/>
          <w:color w:val="FF0000"/>
          <w:sz w:val="28"/>
          <w:szCs w:val="28"/>
        </w:rPr>
      </w:pPr>
    </w:p>
    <w:p>
      <w:pPr>
        <w:rPr>
          <w:rFonts w:ascii="微软雅黑" w:hAnsi="微软雅黑" w:eastAsia="微软雅黑"/>
          <w:color w:val="FF0000"/>
          <w:sz w:val="28"/>
          <w:szCs w:val="28"/>
        </w:rPr>
      </w:pPr>
    </w:p>
    <w:p>
      <w:pPr>
        <w:rPr>
          <w:rFonts w:ascii="微软雅黑" w:hAnsi="微软雅黑" w:eastAsia="微软雅黑"/>
          <w:color w:val="FF0000"/>
          <w:sz w:val="28"/>
          <w:szCs w:val="28"/>
        </w:rPr>
      </w:pPr>
    </w:p>
    <w:p>
      <w:pPr>
        <w:rPr>
          <w:rFonts w:ascii="微软雅黑" w:hAnsi="微软雅黑" w:eastAsia="微软雅黑"/>
          <w:color w:val="FF0000"/>
          <w:sz w:val="28"/>
          <w:szCs w:val="28"/>
        </w:rPr>
      </w:pPr>
    </w:p>
    <w:p>
      <w:pPr>
        <w:rPr>
          <w:rFonts w:ascii="微软雅黑" w:hAnsi="微软雅黑" w:eastAsia="微软雅黑"/>
          <w:color w:val="FF0000"/>
          <w:sz w:val="28"/>
          <w:szCs w:val="28"/>
        </w:rPr>
      </w:pPr>
    </w:p>
    <w:p>
      <w:pPr>
        <w:rPr>
          <w:rFonts w:ascii="微软雅黑" w:hAnsi="微软雅黑" w:eastAsia="微软雅黑"/>
          <w:color w:val="FF0000"/>
          <w:sz w:val="28"/>
          <w:szCs w:val="28"/>
        </w:rPr>
      </w:pPr>
    </w:p>
    <w:p>
      <w:pPr>
        <w:rPr>
          <w:rFonts w:ascii="微软雅黑" w:hAnsi="微软雅黑" w:eastAsia="微软雅黑"/>
          <w:color w:val="FF0000"/>
          <w:sz w:val="28"/>
          <w:szCs w:val="28"/>
        </w:rPr>
      </w:pPr>
    </w:p>
    <w:p>
      <w:pPr>
        <w:rPr>
          <w:rFonts w:ascii="微软雅黑" w:hAnsi="微软雅黑" w:eastAsia="微软雅黑"/>
          <w:color w:val="FF0000"/>
          <w:sz w:val="28"/>
          <w:szCs w:val="28"/>
        </w:rPr>
      </w:pPr>
    </w:p>
    <w:p>
      <w:pPr>
        <w:rPr>
          <w:rFonts w:ascii="微软雅黑" w:hAnsi="微软雅黑" w:eastAsia="微软雅黑"/>
          <w:color w:val="FF0000"/>
          <w:sz w:val="28"/>
          <w:szCs w:val="28"/>
        </w:rPr>
      </w:pPr>
    </w:p>
    <w:p>
      <w:pPr>
        <w:rPr>
          <w:rFonts w:ascii="微软雅黑" w:hAnsi="微软雅黑" w:eastAsia="微软雅黑"/>
          <w:color w:val="FF0000"/>
          <w:sz w:val="28"/>
          <w:szCs w:val="28"/>
        </w:rPr>
      </w:pPr>
    </w:p>
    <w:p>
      <w:pPr>
        <w:tabs>
          <w:tab w:val="left" w:pos="3532"/>
        </w:tabs>
        <w:autoSpaceDE w:val="0"/>
        <w:autoSpaceDN w:val="0"/>
        <w:adjustRightInd w:val="0"/>
        <w:spacing w:line="560" w:lineRule="exact"/>
        <w:jc w:val="center"/>
        <w:rPr>
          <w:rFonts w:ascii="方正小标宋简体" w:hAnsi="宋体" w:eastAsia="方正小标宋简体" w:cs="Times New Roman"/>
          <w:b w:val="0"/>
          <w:bCs w:val="0"/>
          <w:sz w:val="36"/>
          <w:szCs w:val="36"/>
        </w:rPr>
      </w:pPr>
      <w:r>
        <w:rPr>
          <w:rFonts w:hint="eastAsia" w:ascii="方正小标宋简体" w:hAnsi="宋体" w:eastAsia="方正小标宋简体" w:cs="Times New Roman"/>
          <w:b w:val="0"/>
          <w:bCs w:val="0"/>
          <w:sz w:val="36"/>
          <w:szCs w:val="36"/>
        </w:rPr>
        <w:t>第三部分</w:t>
      </w:r>
    </w:p>
    <w:p>
      <w:pPr>
        <w:tabs>
          <w:tab w:val="left" w:pos="3532"/>
        </w:tabs>
        <w:autoSpaceDE w:val="0"/>
        <w:autoSpaceDN w:val="0"/>
        <w:adjustRightInd w:val="0"/>
        <w:spacing w:line="560" w:lineRule="exact"/>
        <w:jc w:val="center"/>
        <w:rPr>
          <w:rFonts w:ascii="方正小标宋简体" w:hAnsi="宋体" w:eastAsia="方正小标宋简体" w:cs="Times New Roman"/>
          <w:b w:val="0"/>
          <w:bCs w:val="0"/>
          <w:sz w:val="36"/>
          <w:szCs w:val="36"/>
        </w:rPr>
      </w:pPr>
      <w:r>
        <w:rPr>
          <w:rFonts w:hint="eastAsia" w:ascii="方正小标宋简体" w:hAnsi="宋体" w:eastAsia="方正小标宋简体" w:cs="Times New Roman"/>
          <w:b w:val="0"/>
          <w:bCs w:val="0"/>
          <w:sz w:val="36"/>
          <w:szCs w:val="36"/>
        </w:rPr>
        <w:t>其他公开事项说明</w:t>
      </w:r>
    </w:p>
    <w:p>
      <w:pPr>
        <w:ind w:firstLine="2661" w:firstLineChars="950"/>
        <w:rPr>
          <w:rFonts w:ascii="微软雅黑" w:hAnsi="微软雅黑" w:eastAsia="微软雅黑"/>
          <w:b/>
          <w:sz w:val="28"/>
          <w:szCs w:val="28"/>
        </w:rPr>
      </w:pPr>
    </w:p>
    <w:p>
      <w:pPr>
        <w:ind w:firstLine="2661" w:firstLineChars="950"/>
        <w:rPr>
          <w:rFonts w:ascii="微软雅黑" w:hAnsi="微软雅黑" w:eastAsia="微软雅黑"/>
          <w:b/>
          <w:sz w:val="28"/>
          <w:szCs w:val="28"/>
        </w:rPr>
      </w:pPr>
    </w:p>
    <w:p>
      <w:pPr>
        <w:ind w:firstLine="2661" w:firstLineChars="950"/>
        <w:rPr>
          <w:rFonts w:ascii="微软雅黑" w:hAnsi="微软雅黑" w:eastAsia="微软雅黑"/>
          <w:b/>
          <w:sz w:val="28"/>
          <w:szCs w:val="28"/>
        </w:rPr>
      </w:pPr>
    </w:p>
    <w:p>
      <w:pPr>
        <w:ind w:firstLine="2661" w:firstLineChars="950"/>
        <w:rPr>
          <w:rFonts w:ascii="微软雅黑" w:hAnsi="微软雅黑" w:eastAsia="微软雅黑"/>
          <w:b/>
          <w:sz w:val="28"/>
          <w:szCs w:val="28"/>
        </w:rPr>
      </w:pPr>
    </w:p>
    <w:p>
      <w:pPr>
        <w:ind w:firstLine="2661" w:firstLineChars="950"/>
        <w:rPr>
          <w:rFonts w:ascii="微软雅黑" w:hAnsi="微软雅黑" w:eastAsia="微软雅黑"/>
          <w:b/>
          <w:sz w:val="28"/>
          <w:szCs w:val="28"/>
        </w:rPr>
      </w:pPr>
    </w:p>
    <w:p>
      <w:pPr>
        <w:ind w:firstLine="2661" w:firstLineChars="950"/>
        <w:rPr>
          <w:rFonts w:ascii="微软雅黑" w:hAnsi="微软雅黑" w:eastAsia="微软雅黑"/>
          <w:b/>
          <w:sz w:val="28"/>
          <w:szCs w:val="28"/>
        </w:rPr>
      </w:pPr>
    </w:p>
    <w:p>
      <w:pPr>
        <w:ind w:firstLine="2661" w:firstLineChars="950"/>
        <w:rPr>
          <w:rFonts w:ascii="微软雅黑" w:hAnsi="微软雅黑" w:eastAsia="微软雅黑"/>
          <w:b/>
          <w:sz w:val="28"/>
          <w:szCs w:val="28"/>
        </w:rPr>
      </w:pPr>
    </w:p>
    <w:p>
      <w:pPr>
        <w:ind w:firstLine="2661" w:firstLineChars="950"/>
        <w:rPr>
          <w:rFonts w:ascii="微软雅黑" w:hAnsi="微软雅黑" w:eastAsia="微软雅黑"/>
          <w:b/>
          <w:sz w:val="28"/>
          <w:szCs w:val="28"/>
        </w:rPr>
      </w:pPr>
    </w:p>
    <w:p>
      <w:pPr>
        <w:ind w:firstLine="2661" w:firstLineChars="950"/>
        <w:rPr>
          <w:rFonts w:ascii="微软雅黑" w:hAnsi="微软雅黑" w:eastAsia="微软雅黑"/>
          <w:b/>
          <w:sz w:val="28"/>
          <w:szCs w:val="28"/>
        </w:rPr>
      </w:pPr>
    </w:p>
    <w:p>
      <w:pPr>
        <w:ind w:firstLine="2661" w:firstLineChars="950"/>
        <w:rPr>
          <w:rFonts w:ascii="微软雅黑" w:hAnsi="微软雅黑" w:eastAsia="微软雅黑"/>
          <w:b/>
          <w:sz w:val="28"/>
          <w:szCs w:val="28"/>
        </w:rPr>
      </w:pPr>
    </w:p>
    <w:p>
      <w:pPr>
        <w:ind w:firstLine="2661" w:firstLineChars="950"/>
        <w:rPr>
          <w:rFonts w:ascii="微软雅黑" w:hAnsi="微软雅黑" w:eastAsia="微软雅黑"/>
          <w:b/>
          <w:sz w:val="28"/>
          <w:szCs w:val="28"/>
        </w:rPr>
      </w:pPr>
    </w:p>
    <w:p>
      <w:pPr>
        <w:ind w:firstLine="2661" w:firstLineChars="950"/>
        <w:rPr>
          <w:rFonts w:ascii="微软雅黑" w:hAnsi="微软雅黑" w:eastAsia="微软雅黑"/>
          <w:b/>
          <w:sz w:val="28"/>
          <w:szCs w:val="28"/>
        </w:rPr>
      </w:pPr>
    </w:p>
    <w:p>
      <w:pPr>
        <w:ind w:firstLine="2661" w:firstLineChars="950"/>
        <w:rPr>
          <w:rFonts w:ascii="微软雅黑" w:hAnsi="微软雅黑" w:eastAsia="微软雅黑"/>
          <w:b/>
          <w:sz w:val="28"/>
          <w:szCs w:val="28"/>
        </w:rPr>
      </w:pPr>
    </w:p>
    <w:p>
      <w:pPr>
        <w:ind w:firstLine="2661" w:firstLineChars="950"/>
        <w:rPr>
          <w:rFonts w:ascii="微软雅黑" w:hAnsi="微软雅黑" w:eastAsia="微软雅黑"/>
          <w:b/>
          <w:sz w:val="28"/>
          <w:szCs w:val="28"/>
        </w:rPr>
      </w:pPr>
    </w:p>
    <w:p>
      <w:pPr>
        <w:spacing w:beforeLines="50" w:afterLines="50"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一、事业运行经费安排情况说明</w:t>
      </w:r>
    </w:p>
    <w:p>
      <w:pPr>
        <w:ind w:firstLine="640" w:firstLineChars="200"/>
        <w:rPr>
          <w:rFonts w:ascii="仿宋_GB2312" w:hAnsi="宋体" w:eastAsia="仿宋_GB2312" w:cs="Times New Roman"/>
          <w:bCs/>
          <w:sz w:val="32"/>
          <w:szCs w:val="32"/>
        </w:rPr>
      </w:pPr>
      <w:r>
        <w:rPr>
          <w:rFonts w:hint="eastAsia" w:ascii="仿宋_GB2312" w:hAnsi="宋体" w:eastAsia="仿宋_GB2312" w:cs="Times New Roman"/>
          <w:bCs/>
          <w:sz w:val="32"/>
          <w:szCs w:val="32"/>
        </w:rPr>
        <w:t>2022年我院运行经费财政拨款预算为5</w:t>
      </w:r>
      <w:r>
        <w:rPr>
          <w:rFonts w:hint="eastAsia" w:ascii="仿宋_GB2312" w:hAnsi="宋体" w:eastAsia="仿宋_GB2312" w:cs="Times New Roman"/>
          <w:bCs/>
          <w:sz w:val="32"/>
          <w:szCs w:val="32"/>
          <w:lang w:val="en-US" w:eastAsia="zh-CN"/>
        </w:rPr>
        <w:t>,</w:t>
      </w:r>
      <w:r>
        <w:rPr>
          <w:rFonts w:hint="eastAsia" w:ascii="仿宋_GB2312" w:hAnsi="宋体" w:eastAsia="仿宋_GB2312" w:cs="Times New Roman"/>
          <w:bCs/>
          <w:sz w:val="32"/>
          <w:szCs w:val="32"/>
        </w:rPr>
        <w:t>122.83万元，其中:办公费42.50万元、印刷费15.00万元、水费11.43万元、电费12.39万元、邮电费11.67万元、取暖费34.99万元、物业管理费0.4</w:t>
      </w:r>
      <w:r>
        <w:rPr>
          <w:rFonts w:hint="eastAsia" w:ascii="仿宋_GB2312" w:hAnsi="宋体" w:eastAsia="仿宋_GB2312" w:cs="Times New Roman"/>
          <w:bCs/>
          <w:sz w:val="32"/>
          <w:szCs w:val="32"/>
          <w:lang w:val="en-US" w:eastAsia="zh-CN"/>
        </w:rPr>
        <w:t>0</w:t>
      </w:r>
      <w:r>
        <w:rPr>
          <w:rFonts w:hint="eastAsia" w:ascii="仿宋_GB2312" w:hAnsi="宋体" w:eastAsia="仿宋_GB2312" w:cs="Times New Roman"/>
          <w:bCs/>
          <w:sz w:val="32"/>
          <w:szCs w:val="32"/>
        </w:rPr>
        <w:t>万元、差旅费152.43万元、公务接待费0.67万元、专用材料费50.00万元、委托业务费100</w:t>
      </w:r>
      <w:r>
        <w:rPr>
          <w:rFonts w:hint="eastAsia" w:ascii="仿宋_GB2312" w:hAnsi="宋体" w:eastAsia="仿宋_GB2312" w:cs="Times New Roman"/>
          <w:bCs/>
          <w:sz w:val="32"/>
          <w:szCs w:val="32"/>
          <w:lang w:val="en-US" w:eastAsia="zh-CN"/>
        </w:rPr>
        <w:t>.00</w:t>
      </w:r>
      <w:r>
        <w:rPr>
          <w:rFonts w:hint="eastAsia" w:ascii="仿宋_GB2312" w:hAnsi="宋体" w:eastAsia="仿宋_GB2312" w:cs="Times New Roman"/>
          <w:bCs/>
          <w:sz w:val="32"/>
          <w:szCs w:val="32"/>
        </w:rPr>
        <w:t>万元、工会经费66.28万元、福利费83.10万元、公务用车运行维护费128.15万元。</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二、“政府采购计划”预算情况说明</w:t>
      </w:r>
    </w:p>
    <w:p>
      <w:pPr>
        <w:ind w:firstLine="640" w:firstLineChars="200"/>
        <w:rPr>
          <w:rFonts w:ascii="仿宋_GB2312" w:hAnsi="宋体" w:eastAsia="仿宋_GB2312" w:cs="Times New Roman"/>
          <w:bCs/>
          <w:sz w:val="32"/>
          <w:szCs w:val="32"/>
        </w:rPr>
      </w:pPr>
      <w:r>
        <w:rPr>
          <w:rFonts w:hint="eastAsia" w:ascii="仿宋_GB2312" w:hAnsi="宋体" w:eastAsia="仿宋_GB2312" w:cs="Times New Roman"/>
          <w:bCs/>
          <w:sz w:val="32"/>
          <w:szCs w:val="32"/>
        </w:rPr>
        <w:t>2022年共编制政府采购预算3</w:t>
      </w:r>
      <w:r>
        <w:rPr>
          <w:rFonts w:hint="eastAsia" w:ascii="仿宋_GB2312" w:hAnsi="宋体" w:eastAsia="仿宋_GB2312" w:cs="Times New Roman"/>
          <w:bCs/>
          <w:sz w:val="32"/>
          <w:szCs w:val="32"/>
          <w:lang w:val="en-US" w:eastAsia="zh-CN"/>
        </w:rPr>
        <w:t>,</w:t>
      </w:r>
      <w:r>
        <w:rPr>
          <w:rFonts w:hint="eastAsia" w:ascii="仿宋_GB2312" w:hAnsi="宋体" w:eastAsia="仿宋_GB2312" w:cs="Times New Roman"/>
          <w:bCs/>
          <w:sz w:val="32"/>
          <w:szCs w:val="32"/>
        </w:rPr>
        <w:t>505.97万元。其中货物类政府采购预算为900.49万元；工程类政府预算为640.29万元；服务类政府采购预算为1</w:t>
      </w:r>
      <w:r>
        <w:rPr>
          <w:rFonts w:hint="eastAsia" w:ascii="仿宋_GB2312" w:hAnsi="宋体" w:eastAsia="仿宋_GB2312" w:cs="Times New Roman"/>
          <w:bCs/>
          <w:sz w:val="32"/>
          <w:szCs w:val="32"/>
          <w:lang w:val="en-US" w:eastAsia="zh-CN"/>
        </w:rPr>
        <w:t>,</w:t>
      </w:r>
      <w:r>
        <w:rPr>
          <w:rFonts w:hint="eastAsia" w:ascii="仿宋_GB2312" w:hAnsi="宋体" w:eastAsia="仿宋_GB2312" w:cs="Times New Roman"/>
          <w:bCs/>
          <w:sz w:val="32"/>
          <w:szCs w:val="32"/>
        </w:rPr>
        <w:t>965.19万元。涵盖“计算机设备及软件”、“办公设备”、“电气设备”、“家具用具”、“纸制品及印刷品”、“办公消耗用品及类似物品”、“车辆维修和保养服务”、“物业管理服务”、 “运行维护服务”等采购大类。</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三、国有资产占有使用和增量情况说明</w:t>
      </w:r>
    </w:p>
    <w:p>
      <w:pPr>
        <w:ind w:firstLine="640" w:firstLineChars="200"/>
        <w:rPr>
          <w:rFonts w:ascii="仿宋_GB2312" w:hAnsi="宋体" w:eastAsia="仿宋_GB2312" w:cs="Times New Roman"/>
          <w:bCs/>
          <w:sz w:val="32"/>
          <w:szCs w:val="32"/>
        </w:rPr>
      </w:pPr>
      <w:r>
        <w:rPr>
          <w:rFonts w:hint="eastAsia" w:ascii="仿宋_GB2312" w:hAnsi="宋体" w:eastAsia="仿宋_GB2312" w:cs="Times New Roman"/>
          <w:bCs/>
          <w:sz w:val="32"/>
          <w:szCs w:val="32"/>
        </w:rPr>
        <w:t>截至2021年末，内蒙古自治区特种设备检验研究院固定资产为16</w:t>
      </w:r>
      <w:r>
        <w:rPr>
          <w:rFonts w:hint="eastAsia" w:ascii="仿宋_GB2312" w:hAnsi="宋体" w:eastAsia="仿宋_GB2312" w:cs="Times New Roman"/>
          <w:bCs/>
          <w:sz w:val="32"/>
          <w:szCs w:val="32"/>
          <w:lang w:val="en-US" w:eastAsia="zh-CN"/>
        </w:rPr>
        <w:t>,</w:t>
      </w:r>
      <w:r>
        <w:rPr>
          <w:rFonts w:hint="eastAsia" w:ascii="仿宋_GB2312" w:hAnsi="宋体" w:eastAsia="仿宋_GB2312" w:cs="Times New Roman"/>
          <w:bCs/>
          <w:sz w:val="32"/>
          <w:szCs w:val="32"/>
        </w:rPr>
        <w:t>545.33万元，2022年内蒙古自治区特种设备检验研究院国有资产配置计划资金为1</w:t>
      </w:r>
      <w:r>
        <w:rPr>
          <w:rFonts w:hint="eastAsia" w:ascii="仿宋_GB2312" w:hAnsi="宋体" w:eastAsia="仿宋_GB2312" w:cs="Times New Roman"/>
          <w:bCs/>
          <w:sz w:val="32"/>
          <w:szCs w:val="32"/>
          <w:lang w:val="en-US" w:eastAsia="zh-CN"/>
        </w:rPr>
        <w:t>,</w:t>
      </w:r>
      <w:r>
        <w:rPr>
          <w:rFonts w:hint="eastAsia" w:ascii="仿宋_GB2312" w:hAnsi="宋体" w:eastAsia="仿宋_GB2312" w:cs="Times New Roman"/>
          <w:bCs/>
          <w:sz w:val="32"/>
          <w:szCs w:val="32"/>
        </w:rPr>
        <w:t>067.29万元。</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lang w:eastAsia="zh-CN"/>
        </w:rPr>
        <w:t>四、</w:t>
      </w:r>
      <w:r>
        <w:rPr>
          <w:rFonts w:hint="eastAsia" w:ascii="黑体" w:hAnsi="黑体" w:eastAsia="黑体" w:cs="黑体"/>
          <w:bCs/>
          <w:sz w:val="32"/>
          <w:szCs w:val="32"/>
        </w:rPr>
        <w:t>部门组织征收收入计划</w:t>
      </w:r>
    </w:p>
    <w:p>
      <w:pPr>
        <w:ind w:firstLine="640" w:firstLineChars="200"/>
        <w:rPr>
          <w:rFonts w:ascii="仿宋_GB2312" w:hAnsi="宋体" w:eastAsia="仿宋_GB2312" w:cs="Times New Roman"/>
          <w:bCs/>
          <w:sz w:val="32"/>
          <w:szCs w:val="32"/>
        </w:rPr>
      </w:pPr>
      <w:r>
        <w:rPr>
          <w:rFonts w:hint="eastAsia" w:ascii="仿宋_GB2312" w:hAnsi="宋体" w:eastAsia="仿宋_GB2312" w:cs="Times New Roman"/>
          <w:bCs/>
          <w:sz w:val="32"/>
          <w:szCs w:val="32"/>
        </w:rPr>
        <w:t>2022年内蒙古自治区特种设备检验研究院组织征收收入计划7</w:t>
      </w:r>
      <w:r>
        <w:rPr>
          <w:rFonts w:hint="eastAsia" w:ascii="仿宋_GB2312" w:hAnsi="宋体" w:eastAsia="仿宋_GB2312" w:cs="Times New Roman"/>
          <w:bCs/>
          <w:sz w:val="32"/>
          <w:szCs w:val="32"/>
          <w:lang w:val="en-US" w:eastAsia="zh-CN"/>
        </w:rPr>
        <w:t>,</w:t>
      </w:r>
      <w:r>
        <w:rPr>
          <w:rFonts w:hint="eastAsia" w:ascii="仿宋_GB2312" w:hAnsi="宋体" w:eastAsia="仿宋_GB2312" w:cs="Times New Roman"/>
          <w:bCs/>
          <w:sz w:val="32"/>
          <w:szCs w:val="32"/>
        </w:rPr>
        <w:t>221</w:t>
      </w:r>
      <w:r>
        <w:rPr>
          <w:rFonts w:hint="eastAsia" w:ascii="仿宋_GB2312" w:hAnsi="宋体" w:eastAsia="仿宋_GB2312" w:cs="Times New Roman"/>
          <w:bCs/>
          <w:sz w:val="32"/>
          <w:szCs w:val="32"/>
          <w:lang w:val="en-US" w:eastAsia="zh-CN"/>
        </w:rPr>
        <w:t>.00</w:t>
      </w:r>
      <w:r>
        <w:rPr>
          <w:rFonts w:hint="eastAsia" w:ascii="仿宋_GB2312" w:hAnsi="宋体" w:eastAsia="仿宋_GB2312" w:cs="Times New Roman"/>
          <w:bCs/>
          <w:sz w:val="32"/>
          <w:szCs w:val="32"/>
        </w:rPr>
        <w:t>万元，全部纳入预算管理。</w:t>
      </w:r>
    </w:p>
    <w:p>
      <w:pPr>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五</w:t>
      </w:r>
      <w:r>
        <w:rPr>
          <w:rFonts w:hint="eastAsia" w:ascii="黑体" w:hAnsi="黑体" w:eastAsia="黑体" w:cs="黑体"/>
          <w:bCs/>
          <w:sz w:val="32"/>
          <w:szCs w:val="32"/>
        </w:rPr>
        <w:t>、2022年对下转移支付情况</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我单位2022年无对下转移支付。</w:t>
      </w:r>
    </w:p>
    <w:p>
      <w:pPr>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六</w:t>
      </w:r>
      <w:r>
        <w:rPr>
          <w:rFonts w:hint="eastAsia" w:ascii="黑体" w:hAnsi="黑体" w:eastAsia="黑体" w:cs="黑体"/>
          <w:bCs/>
          <w:sz w:val="32"/>
          <w:szCs w:val="32"/>
        </w:rPr>
        <w:t>、绩效目标设置情况说明</w:t>
      </w:r>
    </w:p>
    <w:p>
      <w:pPr>
        <w:ind w:firstLine="640" w:firstLineChars="200"/>
        <w:rPr>
          <w:rFonts w:ascii="仿宋_GB2312" w:hAnsi="宋体" w:eastAsia="仿宋_GB2312" w:cs="Times New Roman"/>
          <w:bCs/>
          <w:sz w:val="32"/>
          <w:szCs w:val="32"/>
        </w:rPr>
      </w:pPr>
      <w:r>
        <w:rPr>
          <w:rFonts w:hint="eastAsia" w:ascii="仿宋_GB2312" w:hAnsi="宋体" w:eastAsia="仿宋_GB2312" w:cs="Times New Roman"/>
          <w:bCs/>
          <w:sz w:val="32"/>
          <w:szCs w:val="32"/>
        </w:rPr>
        <w:t>根据部门预算编制要求，对重点项目预算的绩效目标进行设置。2022年，我院对共计6个预算项目设置绩效目标，从预算执行、产出、效益、满意度等多方面对预算项目进行综合绩效管理。设计项目绩效指标52项，一级指标中：产出指标</w:t>
      </w:r>
      <w:r>
        <w:rPr>
          <w:rFonts w:ascii="仿宋_GB2312" w:hAnsi="宋体" w:eastAsia="仿宋_GB2312" w:cs="Times New Roman"/>
          <w:bCs/>
          <w:sz w:val="32"/>
          <w:szCs w:val="32"/>
        </w:rPr>
        <w:t>35</w:t>
      </w:r>
      <w:r>
        <w:rPr>
          <w:rFonts w:hint="eastAsia" w:ascii="仿宋_GB2312" w:hAnsi="宋体" w:eastAsia="仿宋_GB2312" w:cs="Times New Roman"/>
          <w:bCs/>
          <w:sz w:val="32"/>
          <w:szCs w:val="32"/>
        </w:rPr>
        <w:t>项, 效益指标15项, 满意度指标</w:t>
      </w:r>
      <w:r>
        <w:rPr>
          <w:rFonts w:ascii="仿宋_GB2312" w:hAnsi="宋体" w:eastAsia="仿宋_GB2312" w:cs="Times New Roman"/>
          <w:bCs/>
          <w:sz w:val="32"/>
          <w:szCs w:val="32"/>
        </w:rPr>
        <w:t>2</w:t>
      </w:r>
      <w:r>
        <w:rPr>
          <w:rFonts w:hint="eastAsia" w:ascii="仿宋_GB2312" w:hAnsi="宋体" w:eastAsia="仿宋_GB2312" w:cs="Times New Roman"/>
          <w:bCs/>
          <w:sz w:val="32"/>
          <w:szCs w:val="32"/>
        </w:rPr>
        <w:t>项。</w:t>
      </w:r>
      <w:r>
        <w:rPr>
          <w:rFonts w:ascii="仿宋_GB2312" w:hAnsi="宋体" w:eastAsia="仿宋_GB2312" w:cs="Times New Roman"/>
          <w:bCs/>
          <w:sz w:val="32"/>
          <w:szCs w:val="32"/>
        </w:rPr>
        <w:t>二级指标</w:t>
      </w:r>
      <w:r>
        <w:rPr>
          <w:rFonts w:hint="eastAsia" w:ascii="仿宋_GB2312" w:hAnsi="宋体" w:eastAsia="仿宋_GB2312" w:cs="Times New Roman"/>
          <w:bCs/>
          <w:sz w:val="32"/>
          <w:szCs w:val="32"/>
        </w:rPr>
        <w:t>中：数量指标1</w:t>
      </w:r>
      <w:r>
        <w:rPr>
          <w:rFonts w:ascii="仿宋_GB2312" w:hAnsi="宋体" w:eastAsia="仿宋_GB2312" w:cs="Times New Roman"/>
          <w:bCs/>
          <w:sz w:val="32"/>
          <w:szCs w:val="32"/>
        </w:rPr>
        <w:t>1</w:t>
      </w:r>
      <w:r>
        <w:rPr>
          <w:rFonts w:hint="eastAsia" w:ascii="仿宋_GB2312" w:hAnsi="宋体" w:eastAsia="仿宋_GB2312" w:cs="Times New Roman"/>
          <w:bCs/>
          <w:sz w:val="32"/>
          <w:szCs w:val="32"/>
        </w:rPr>
        <w:t>项，包括：检验数量、完成区域特检经营性服务项目数量、完成特种设备委托检验检测数量、组织开展专业培训参加人数、补贴资金发放次数、在职职工基本工资发放人数、补贴资金发放形式种类、社会保险补助人数、津贴补贴人数、科目调整次数、足额保障率。质量指标</w:t>
      </w:r>
      <w:r>
        <w:rPr>
          <w:rFonts w:ascii="仿宋_GB2312" w:hAnsi="宋体" w:eastAsia="仿宋_GB2312" w:cs="Times New Roman"/>
          <w:bCs/>
          <w:sz w:val="32"/>
          <w:szCs w:val="32"/>
        </w:rPr>
        <w:t>11</w:t>
      </w:r>
      <w:r>
        <w:rPr>
          <w:rFonts w:hint="eastAsia" w:ascii="仿宋_GB2312" w:hAnsi="宋体" w:eastAsia="仿宋_GB2312" w:cs="Times New Roman"/>
          <w:bCs/>
          <w:sz w:val="32"/>
          <w:szCs w:val="32"/>
        </w:rPr>
        <w:t>项，包括：检验报告合格率、经营性服务项目报告合格率、经营性特种设备检测完成率、专业培训人员合格率、社会保险补助足额缴纳率、补助对象审核率、补贴资金发放形式便捷率、在职职工工资足额发放率、补贴资金发放次数保障率、补助人员覆盖率、预算编制质量=（执行数-预算数）/预算数。时效指标</w:t>
      </w:r>
      <w:r>
        <w:rPr>
          <w:rFonts w:ascii="仿宋_GB2312" w:hAnsi="宋体" w:eastAsia="仿宋_GB2312" w:cs="Times New Roman"/>
          <w:bCs/>
          <w:sz w:val="32"/>
          <w:szCs w:val="32"/>
        </w:rPr>
        <w:t>9</w:t>
      </w:r>
      <w:r>
        <w:rPr>
          <w:rFonts w:hint="eastAsia" w:ascii="仿宋_GB2312" w:hAnsi="宋体" w:eastAsia="仿宋_GB2312" w:cs="Times New Roman"/>
          <w:bCs/>
          <w:sz w:val="32"/>
          <w:szCs w:val="32"/>
        </w:rPr>
        <w:t>项，包括：报告出具时间、经营性特种设备检测完成时间、经营性检验报告出具时间、各项补贴发放及时率、核实人员变化情况及时率、补助资金支出及时率、工资发放及时率、社保等资金缴纳及时率、发放及时率。成本指标</w:t>
      </w:r>
      <w:r>
        <w:rPr>
          <w:rFonts w:ascii="仿宋_GB2312" w:hAnsi="宋体" w:eastAsia="仿宋_GB2312" w:cs="Times New Roman"/>
          <w:bCs/>
          <w:sz w:val="32"/>
          <w:szCs w:val="32"/>
        </w:rPr>
        <w:t>4</w:t>
      </w:r>
      <w:r>
        <w:rPr>
          <w:rFonts w:hint="eastAsia" w:ascii="仿宋_GB2312" w:hAnsi="宋体" w:eastAsia="仿宋_GB2312" w:cs="Times New Roman"/>
          <w:bCs/>
          <w:sz w:val="32"/>
          <w:szCs w:val="32"/>
        </w:rPr>
        <w:t>项，包括：检测成本、专业培训人员成本、补贴发放标准、人员工资发放标准。经济效益指标</w:t>
      </w:r>
      <w:r>
        <w:rPr>
          <w:rFonts w:ascii="仿宋_GB2312" w:hAnsi="宋体" w:eastAsia="仿宋_GB2312" w:cs="Times New Roman"/>
          <w:bCs/>
          <w:sz w:val="32"/>
          <w:szCs w:val="32"/>
        </w:rPr>
        <w:t>5</w:t>
      </w:r>
      <w:r>
        <w:rPr>
          <w:rFonts w:hint="eastAsia" w:ascii="仿宋_GB2312" w:hAnsi="宋体" w:eastAsia="仿宋_GB2312" w:cs="Times New Roman"/>
          <w:bCs/>
          <w:sz w:val="32"/>
          <w:szCs w:val="32"/>
        </w:rPr>
        <w:t>项，包括：提高特种设备制造使用企业的经济效益、有效防止和减少被检测单位安全事故发生、提高社会经济效益、结余率=结余数/预算数、三公经费控制率=（实际支出数/预算安排数）x100%。社会效益指标</w:t>
      </w:r>
      <w:r>
        <w:rPr>
          <w:rFonts w:ascii="仿宋_GB2312" w:hAnsi="宋体" w:eastAsia="仿宋_GB2312" w:cs="Times New Roman"/>
          <w:bCs/>
          <w:sz w:val="32"/>
          <w:szCs w:val="32"/>
        </w:rPr>
        <w:t>5</w:t>
      </w:r>
      <w:r>
        <w:rPr>
          <w:rFonts w:hint="eastAsia" w:ascii="仿宋_GB2312" w:hAnsi="宋体" w:eastAsia="仿宋_GB2312" w:cs="Times New Roman"/>
          <w:bCs/>
          <w:sz w:val="32"/>
          <w:szCs w:val="32"/>
        </w:rPr>
        <w:t>项，包括：保障人民群众的生命财产安全、有效保护企业安全稳定运转、有效减少企业安全事故发生率、保证员工及时收到工资</w:t>
      </w:r>
      <w:r>
        <w:rPr>
          <w:rFonts w:ascii="仿宋_GB2312" w:hAnsi="宋体" w:eastAsia="仿宋_GB2312" w:cs="Times New Roman"/>
          <w:bCs/>
          <w:sz w:val="32"/>
          <w:szCs w:val="32"/>
        </w:rPr>
        <w:t>、</w:t>
      </w:r>
      <w:r>
        <w:rPr>
          <w:rFonts w:hint="eastAsia" w:ascii="仿宋_GB2312" w:hAnsi="宋体" w:eastAsia="仿宋_GB2312" w:cs="Times New Roman"/>
          <w:bCs/>
          <w:sz w:val="32"/>
          <w:szCs w:val="32"/>
        </w:rPr>
        <w:t>保证财政资金及时发放。生态效益指标</w:t>
      </w:r>
      <w:r>
        <w:rPr>
          <w:rFonts w:ascii="仿宋_GB2312" w:hAnsi="宋体" w:eastAsia="仿宋_GB2312" w:cs="Times New Roman"/>
          <w:bCs/>
          <w:sz w:val="32"/>
          <w:szCs w:val="32"/>
        </w:rPr>
        <w:t>1</w:t>
      </w:r>
      <w:r>
        <w:rPr>
          <w:rFonts w:hint="eastAsia" w:ascii="仿宋_GB2312" w:hAnsi="宋体" w:eastAsia="仿宋_GB2312" w:cs="Times New Roman"/>
          <w:bCs/>
          <w:sz w:val="32"/>
          <w:szCs w:val="32"/>
        </w:rPr>
        <w:t>项，为提高节能减排能力。可持续影响指标</w:t>
      </w:r>
      <w:r>
        <w:rPr>
          <w:rFonts w:ascii="仿宋_GB2312" w:hAnsi="宋体" w:eastAsia="仿宋_GB2312" w:cs="Times New Roman"/>
          <w:bCs/>
          <w:sz w:val="32"/>
          <w:szCs w:val="32"/>
        </w:rPr>
        <w:t>4</w:t>
      </w:r>
      <w:r>
        <w:rPr>
          <w:rFonts w:hint="eastAsia" w:ascii="仿宋_GB2312" w:hAnsi="宋体" w:eastAsia="仿宋_GB2312" w:cs="Times New Roman"/>
          <w:bCs/>
          <w:sz w:val="32"/>
          <w:szCs w:val="32"/>
        </w:rPr>
        <w:t>项，包括：可持续发展、营造良好的营商环境、人才引进增长率、财政资金保证各项各项业务有序开展。服务对象满意度指标2项，</w:t>
      </w:r>
      <w:r>
        <w:rPr>
          <w:rFonts w:ascii="仿宋_GB2312" w:hAnsi="宋体" w:eastAsia="仿宋_GB2312" w:cs="Times New Roman"/>
          <w:bCs/>
          <w:sz w:val="32"/>
          <w:szCs w:val="32"/>
        </w:rPr>
        <w:t>包括：</w:t>
      </w:r>
      <w:r>
        <w:rPr>
          <w:rFonts w:hint="eastAsia" w:ascii="仿宋_GB2312" w:hAnsi="宋体" w:eastAsia="仿宋_GB2312" w:cs="Times New Roman"/>
          <w:bCs/>
          <w:sz w:val="32"/>
          <w:szCs w:val="32"/>
        </w:rPr>
        <w:t>被服务企业满意度、在职员工满意度。</w:t>
      </w:r>
    </w:p>
    <w:p>
      <w:pPr>
        <w:ind w:firstLine="640" w:firstLineChars="200"/>
        <w:rPr>
          <w:rFonts w:ascii="仿宋_GB2312" w:hAnsi="宋体" w:eastAsia="仿宋_GB2312" w:cs="Times New Roman"/>
          <w:bCs/>
          <w:sz w:val="32"/>
          <w:szCs w:val="32"/>
        </w:rPr>
      </w:pPr>
    </w:p>
    <w:p>
      <w:pPr>
        <w:ind w:firstLine="640" w:firstLineChars="200"/>
        <w:rPr>
          <w:rFonts w:ascii="仿宋_GB2312" w:hAnsi="宋体" w:eastAsia="仿宋_GB2312" w:cs="Times New Roman"/>
          <w:bCs/>
          <w:sz w:val="32"/>
          <w:szCs w:val="32"/>
        </w:rPr>
      </w:pPr>
    </w:p>
    <w:p>
      <w:pPr>
        <w:ind w:firstLine="640" w:firstLineChars="200"/>
        <w:rPr>
          <w:rFonts w:ascii="仿宋_GB2312" w:hAnsi="宋体" w:eastAsia="仿宋_GB2312" w:cs="Times New Roman"/>
          <w:bCs/>
          <w:sz w:val="32"/>
          <w:szCs w:val="32"/>
        </w:rPr>
      </w:pPr>
    </w:p>
    <w:p>
      <w:pPr>
        <w:ind w:firstLine="640" w:firstLineChars="200"/>
        <w:rPr>
          <w:rFonts w:ascii="仿宋_GB2312" w:hAnsi="宋体" w:eastAsia="仿宋_GB2312" w:cs="Times New Roman"/>
          <w:bCs/>
          <w:sz w:val="32"/>
          <w:szCs w:val="32"/>
        </w:rPr>
      </w:pPr>
    </w:p>
    <w:p>
      <w:pPr>
        <w:ind w:firstLine="640" w:firstLineChars="200"/>
        <w:rPr>
          <w:rFonts w:ascii="仿宋_GB2312" w:hAnsi="宋体" w:eastAsia="仿宋_GB2312" w:cs="Times New Roman"/>
          <w:bCs/>
          <w:sz w:val="32"/>
          <w:szCs w:val="32"/>
        </w:rPr>
      </w:pPr>
    </w:p>
    <w:p>
      <w:pPr>
        <w:ind w:firstLine="640" w:firstLineChars="200"/>
        <w:rPr>
          <w:rFonts w:ascii="仿宋_GB2312" w:hAnsi="宋体" w:eastAsia="仿宋_GB2312" w:cs="Times New Roman"/>
          <w:bCs/>
          <w:sz w:val="32"/>
          <w:szCs w:val="32"/>
        </w:rPr>
      </w:pPr>
    </w:p>
    <w:p>
      <w:pPr>
        <w:ind w:firstLine="640" w:firstLineChars="200"/>
        <w:rPr>
          <w:rFonts w:ascii="仿宋_GB2312" w:hAnsi="宋体" w:eastAsia="仿宋_GB2312" w:cs="Times New Roman"/>
          <w:bCs/>
          <w:sz w:val="32"/>
          <w:szCs w:val="32"/>
        </w:rPr>
      </w:pPr>
    </w:p>
    <w:p>
      <w:pPr>
        <w:ind w:firstLine="640" w:firstLineChars="200"/>
        <w:rPr>
          <w:rFonts w:ascii="仿宋_GB2312" w:hAnsi="宋体" w:eastAsia="仿宋_GB2312" w:cs="Times New Roman"/>
          <w:bCs/>
          <w:sz w:val="32"/>
          <w:szCs w:val="32"/>
        </w:rPr>
      </w:pPr>
    </w:p>
    <w:p>
      <w:pPr>
        <w:ind w:firstLine="640" w:firstLineChars="200"/>
        <w:rPr>
          <w:rFonts w:ascii="仿宋_GB2312" w:hAnsi="宋体" w:eastAsia="仿宋_GB2312" w:cs="Times New Roman"/>
          <w:bCs/>
          <w:sz w:val="32"/>
          <w:szCs w:val="32"/>
        </w:rPr>
      </w:pPr>
    </w:p>
    <w:p>
      <w:pPr>
        <w:ind w:firstLine="640" w:firstLineChars="200"/>
        <w:rPr>
          <w:rFonts w:ascii="仿宋_GB2312" w:hAnsi="宋体" w:eastAsia="仿宋_GB2312" w:cs="Times New Roman"/>
          <w:bCs/>
          <w:sz w:val="32"/>
          <w:szCs w:val="32"/>
        </w:rPr>
      </w:pPr>
    </w:p>
    <w:p>
      <w:pPr>
        <w:ind w:firstLine="640" w:firstLineChars="200"/>
        <w:rPr>
          <w:rFonts w:ascii="仿宋_GB2312" w:hAnsi="宋体" w:eastAsia="仿宋_GB2312" w:cs="Times New Roman"/>
          <w:bCs/>
          <w:sz w:val="32"/>
          <w:szCs w:val="32"/>
        </w:rPr>
      </w:pPr>
    </w:p>
    <w:p>
      <w:pPr>
        <w:ind w:firstLine="640" w:firstLineChars="200"/>
        <w:rPr>
          <w:rFonts w:ascii="仿宋_GB2312" w:hAnsi="宋体" w:eastAsia="仿宋_GB2312" w:cs="Times New Roman"/>
          <w:bCs/>
          <w:sz w:val="32"/>
          <w:szCs w:val="32"/>
        </w:rPr>
      </w:pPr>
    </w:p>
    <w:p>
      <w:pPr>
        <w:ind w:firstLine="640" w:firstLineChars="200"/>
        <w:rPr>
          <w:rFonts w:ascii="仿宋_GB2312" w:hAnsi="宋体" w:eastAsia="仿宋_GB2312" w:cs="Times New Roman"/>
          <w:bCs/>
          <w:sz w:val="32"/>
          <w:szCs w:val="32"/>
        </w:rPr>
      </w:pPr>
    </w:p>
    <w:p>
      <w:pPr>
        <w:ind w:firstLine="640" w:firstLineChars="200"/>
        <w:rPr>
          <w:rFonts w:ascii="仿宋_GB2312" w:hAnsi="宋体" w:eastAsia="仿宋_GB2312" w:cs="Times New Roman"/>
          <w:bCs/>
          <w:sz w:val="32"/>
          <w:szCs w:val="32"/>
        </w:rPr>
      </w:pPr>
    </w:p>
    <w:p>
      <w:pPr>
        <w:ind w:firstLine="640" w:firstLineChars="200"/>
        <w:rPr>
          <w:rFonts w:ascii="仿宋_GB2312" w:hAnsi="宋体" w:eastAsia="仿宋_GB2312" w:cs="Times New Roman"/>
          <w:bCs/>
          <w:sz w:val="32"/>
          <w:szCs w:val="32"/>
        </w:rPr>
      </w:pPr>
    </w:p>
    <w:p>
      <w:pPr>
        <w:ind w:firstLine="640" w:firstLineChars="200"/>
        <w:rPr>
          <w:rFonts w:ascii="仿宋_GB2312" w:hAnsi="宋体" w:eastAsia="仿宋_GB2312" w:cs="Times New Roman"/>
          <w:bCs/>
          <w:sz w:val="32"/>
          <w:szCs w:val="32"/>
        </w:rPr>
      </w:pPr>
    </w:p>
    <w:p>
      <w:pPr>
        <w:ind w:firstLine="640" w:firstLineChars="200"/>
        <w:rPr>
          <w:rFonts w:ascii="仿宋_GB2312" w:hAnsi="宋体" w:eastAsia="仿宋_GB2312" w:cs="Times New Roman"/>
          <w:bCs/>
          <w:sz w:val="32"/>
          <w:szCs w:val="32"/>
        </w:rPr>
      </w:pPr>
    </w:p>
    <w:p>
      <w:pPr>
        <w:ind w:firstLine="640" w:firstLineChars="200"/>
        <w:rPr>
          <w:rFonts w:ascii="仿宋_GB2312" w:hAnsi="宋体" w:eastAsia="仿宋_GB2312" w:cs="Times New Roman"/>
          <w:bCs/>
          <w:sz w:val="32"/>
          <w:szCs w:val="32"/>
        </w:rPr>
      </w:pPr>
    </w:p>
    <w:p>
      <w:pPr>
        <w:ind w:firstLine="640" w:firstLineChars="200"/>
        <w:rPr>
          <w:rFonts w:ascii="仿宋_GB2312" w:hAnsi="宋体" w:eastAsia="仿宋_GB2312" w:cs="Times New Roman"/>
          <w:bCs/>
          <w:sz w:val="32"/>
          <w:szCs w:val="32"/>
        </w:rPr>
      </w:pPr>
    </w:p>
    <w:p>
      <w:pPr>
        <w:ind w:firstLine="640" w:firstLineChars="200"/>
        <w:rPr>
          <w:rFonts w:ascii="仿宋_GB2312" w:hAnsi="宋体" w:eastAsia="仿宋_GB2312" w:cs="Times New Roman"/>
          <w:bCs/>
          <w:sz w:val="32"/>
          <w:szCs w:val="32"/>
        </w:rPr>
      </w:pPr>
    </w:p>
    <w:p>
      <w:pPr>
        <w:ind w:firstLine="640" w:firstLineChars="200"/>
        <w:rPr>
          <w:rFonts w:ascii="仿宋_GB2312" w:hAnsi="宋体" w:eastAsia="仿宋_GB2312" w:cs="Times New Roman"/>
          <w:bCs/>
          <w:sz w:val="32"/>
          <w:szCs w:val="32"/>
        </w:rPr>
      </w:pPr>
      <w:bookmarkStart w:id="0" w:name="_GoBack"/>
      <w:bookmarkEnd w:id="0"/>
    </w:p>
    <w:p>
      <w:pPr>
        <w:spacing w:line="560" w:lineRule="exact"/>
        <w:jc w:val="center"/>
        <w:rPr>
          <w:rFonts w:hint="eastAsia" w:ascii="方正小标宋简体" w:hAnsi="宋体" w:eastAsia="方正小标宋简体" w:cs="Times New Roman"/>
          <w:bCs/>
          <w:sz w:val="36"/>
          <w:szCs w:val="36"/>
        </w:rPr>
      </w:pPr>
      <w:r>
        <w:rPr>
          <w:rFonts w:hint="eastAsia" w:ascii="方正小标宋简体" w:hAnsi="宋体" w:eastAsia="方正小标宋简体" w:cs="Times New Roman"/>
          <w:bCs/>
          <w:sz w:val="36"/>
          <w:szCs w:val="36"/>
        </w:rPr>
        <w:t>第四部分</w:t>
      </w:r>
      <w:r>
        <w:rPr>
          <w:rFonts w:hint="eastAsia" w:ascii="方正小标宋简体" w:hAnsi="宋体" w:eastAsia="方正小标宋简体" w:cs="Times New Roman"/>
          <w:bCs/>
          <w:sz w:val="36"/>
          <w:szCs w:val="36"/>
          <w:lang w:val="en-US" w:eastAsia="zh-CN"/>
        </w:rPr>
        <w:t xml:space="preserve">  </w:t>
      </w:r>
      <w:r>
        <w:rPr>
          <w:rFonts w:hint="eastAsia" w:ascii="方正小标宋简体" w:hAnsi="宋体" w:eastAsia="方正小标宋简体" w:cs="Times New Roman"/>
          <w:bCs/>
          <w:sz w:val="36"/>
          <w:szCs w:val="36"/>
        </w:rPr>
        <w:t>名词解释</w:t>
      </w: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3782" w:firstLineChars="1350"/>
        <w:rPr>
          <w:rFonts w:ascii="微软雅黑" w:hAnsi="微软雅黑" w:eastAsia="微软雅黑"/>
          <w:b/>
          <w:sz w:val="28"/>
          <w:szCs w:val="28"/>
        </w:rPr>
      </w:pP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一、一般公共预算拨款收入：</w:t>
      </w:r>
      <w:r>
        <w:rPr>
          <w:rFonts w:hint="eastAsia" w:ascii="仿宋_GB2312" w:hAnsi="宋体" w:eastAsia="仿宋_GB2312" w:cs="Times New Roman"/>
          <w:sz w:val="32"/>
          <w:szCs w:val="32"/>
        </w:rPr>
        <w:t>指自治区财政当年拨付的资金。</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二、事业收入：</w:t>
      </w:r>
      <w:r>
        <w:rPr>
          <w:rFonts w:hint="eastAsia" w:ascii="仿宋_GB2312" w:hAnsi="宋体" w:eastAsia="仿宋_GB2312" w:cs="Times New Roman"/>
          <w:sz w:val="32"/>
          <w:szCs w:val="32"/>
        </w:rPr>
        <w:t>指事业单位开展专业业务活动及辅助活动所取得的收入。</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三、事业单位经营收入：</w:t>
      </w:r>
      <w:r>
        <w:rPr>
          <w:rFonts w:hint="eastAsia" w:ascii="仿宋_GB2312" w:hAnsi="宋体" w:eastAsia="仿宋_GB2312" w:cs="Times New Roman"/>
          <w:sz w:val="32"/>
          <w:szCs w:val="32"/>
        </w:rPr>
        <w:t>指事业单位在专业业务活动及其辅助活动之外开展非独立核算经营活动取得的收入。</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四、其他收入：</w:t>
      </w:r>
      <w:r>
        <w:rPr>
          <w:rFonts w:hint="eastAsia" w:ascii="仿宋_GB2312" w:hAnsi="宋体" w:eastAsia="仿宋_GB2312" w:cs="Times New Roman"/>
          <w:sz w:val="32"/>
          <w:szCs w:val="32"/>
        </w:rPr>
        <w:t>指除上述“财政拨款收入”、“事业收入”、“事业单位经营收入”等以外的收入。主要是按规定动用的售房收入、存款利息收入等。</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五、用事业基金弥补收支差额：</w:t>
      </w:r>
      <w:r>
        <w:rPr>
          <w:rFonts w:hint="eastAsia" w:ascii="仿宋_GB2312" w:hAnsi="宋体" w:eastAsia="仿宋_GB2312" w:cs="Times New Roman"/>
          <w:sz w:val="32"/>
          <w:szCs w:val="32"/>
        </w:rPr>
        <w:t>指事业单位在预计用当年的“财政拨款收入”、“财政拨款结转和结余资金”、“事业收入”、“事业单位经营收入”、“其他收入”不足以安排当年支出的情况下，使用以前年度积累的事业基金（事业单位当年收支相抵后按国家规定提取、用于弥补以后年度收支差额的基金）弥补本年度收支缺口的资金。</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六、上年结转：</w:t>
      </w:r>
      <w:r>
        <w:rPr>
          <w:rFonts w:hint="eastAsia" w:ascii="仿宋_GB2312" w:hAnsi="宋体" w:eastAsia="仿宋_GB2312" w:cs="Times New Roman"/>
          <w:sz w:val="32"/>
          <w:szCs w:val="32"/>
        </w:rPr>
        <w:t>指以前年度尚未完成、结转到本年仍按原规定用途继续使用的资金。</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七、一般公共服务（类）市场监督管理事务（款）：</w:t>
      </w:r>
      <w:r>
        <w:rPr>
          <w:rFonts w:hint="eastAsia" w:ascii="仿宋_GB2312" w:hAnsi="宋体" w:eastAsia="仿宋_GB2312" w:cs="Times New Roman"/>
          <w:sz w:val="32"/>
          <w:szCs w:val="32"/>
        </w:rPr>
        <w:t>指用于保障机构正常运行、开展市场监督管理活动的支出。</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八、社会保障和就业（类）人力资源和社会保障管理事务（款）：</w:t>
      </w:r>
      <w:r>
        <w:rPr>
          <w:rFonts w:hint="eastAsia" w:ascii="仿宋_GB2312" w:hAnsi="宋体" w:eastAsia="仿宋_GB2312" w:cs="Times New Roman"/>
          <w:sz w:val="32"/>
          <w:szCs w:val="32"/>
        </w:rPr>
        <w:t>指用于人力资源引进人才补助方面的支出。</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九、社会保障和就业支出（类）行政事业单位养老支出（款）：</w:t>
      </w:r>
      <w:r>
        <w:rPr>
          <w:rFonts w:hint="eastAsia" w:ascii="仿宋_GB2312" w:hAnsi="宋体" w:eastAsia="仿宋_GB2312" w:cs="Times New Roman"/>
          <w:sz w:val="32"/>
          <w:szCs w:val="32"/>
        </w:rPr>
        <w:t>指事业单位按照国家政策规定用于养老方面的支出。</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十、住房保障支出（类）住房改革支出（款）：</w:t>
      </w:r>
      <w:r>
        <w:rPr>
          <w:rFonts w:hint="eastAsia" w:ascii="仿宋_GB2312" w:hAnsi="宋体" w:eastAsia="仿宋_GB2312" w:cs="Times New Roman"/>
          <w:sz w:val="32"/>
          <w:szCs w:val="32"/>
        </w:rPr>
        <w:t>指事业单位按照国家政策规定用于住房改革方面的支出。</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十一、卫生健康支出（类）行政事业单位医疗（款）：</w:t>
      </w:r>
      <w:r>
        <w:rPr>
          <w:rFonts w:hint="eastAsia" w:ascii="仿宋_GB2312" w:hAnsi="宋体" w:eastAsia="仿宋_GB2312" w:cs="Times New Roman"/>
          <w:sz w:val="32"/>
          <w:szCs w:val="32"/>
        </w:rPr>
        <w:t>指事业单位按照国家政策规定用于医疗方面的支出。</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十二、住房公积金：</w:t>
      </w:r>
      <w:r>
        <w:rPr>
          <w:rFonts w:hint="eastAsia" w:ascii="仿宋_GB2312" w:hAnsi="宋体" w:eastAsia="仿宋_GB2312" w:cs="Times New Roman"/>
          <w:sz w:val="32"/>
          <w:szCs w:val="32"/>
        </w:rPr>
        <w:t>指按照国家统一规定，按规定比例为职工缴纳的住房公积金。</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十三、结转下年：</w:t>
      </w:r>
      <w:r>
        <w:rPr>
          <w:rFonts w:hint="eastAsia" w:ascii="仿宋_GB2312" w:hAnsi="宋体" w:eastAsia="仿宋_GB2312" w:cs="Times New Roman"/>
          <w:sz w:val="32"/>
          <w:szCs w:val="32"/>
        </w:rPr>
        <w:t>指以前年度预算安排、因客观条件发生变化无法按原计划实施，需延迟到以后年度按原规定用途继续使用的资金。</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十四、基本支出：</w:t>
      </w:r>
      <w:r>
        <w:rPr>
          <w:rFonts w:hint="eastAsia" w:ascii="仿宋_GB2312" w:hAnsi="宋体" w:eastAsia="仿宋_GB2312" w:cs="Times New Roman"/>
          <w:sz w:val="32"/>
          <w:szCs w:val="32"/>
        </w:rPr>
        <w:t>指为保障机构正常运转、完成日常工作任务而发生的人员支出和公用支出。</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十五、项目支出：</w:t>
      </w:r>
      <w:r>
        <w:rPr>
          <w:rFonts w:hint="eastAsia" w:ascii="仿宋_GB2312" w:hAnsi="宋体" w:eastAsia="仿宋_GB2312" w:cs="Times New Roman"/>
          <w:sz w:val="32"/>
          <w:szCs w:val="32"/>
        </w:rPr>
        <w:t>指在基本支出之外为完成特定行政任务和事业发展目标所发生的支出。</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十六、“三公”经费：</w:t>
      </w:r>
      <w:r>
        <w:rPr>
          <w:rFonts w:hint="eastAsia" w:ascii="仿宋_GB2312" w:hAnsi="宋体" w:eastAsia="仿宋_GB2312" w:cs="Times New Roman"/>
          <w:sz w:val="32"/>
          <w:szCs w:val="32"/>
        </w:rPr>
        <w:t>纳入财政预决算管理的“三公”经费，是指部门用财政拨款安排的因公出国（境）费、公务用车购置及运行费和公务接待费。</w:t>
      </w:r>
    </w:p>
    <w:p>
      <w:pPr>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十七、机关运行经费：</w:t>
      </w:r>
      <w:r>
        <w:rPr>
          <w:rFonts w:hint="eastAsia" w:ascii="仿宋_GB2312" w:hAnsi="宋体" w:eastAsia="仿宋_GB2312" w:cs="Times New Roman"/>
          <w:sz w:val="32"/>
          <w:szCs w:val="32"/>
        </w:rPr>
        <w:t>是指各部门的公用经费，包括办公及印刷费、邮电费、差旅费、会议费、福利费、日常维修费、专业材料及一般设备购置费、办公用房水电费、办公用房取暖费、办公用房物业管理费、公务用车运行维护费以及其他费用。</w:t>
      </w:r>
    </w:p>
    <w:p>
      <w:pPr>
        <w:ind w:firstLine="4160" w:firstLineChars="1300"/>
        <w:rPr>
          <w:rFonts w:ascii="仿宋_GB2312" w:hAnsi="宋体" w:eastAsia="仿宋_GB2312" w:cs="Times New Roman"/>
          <w:sz w:val="32"/>
          <w:szCs w:val="32"/>
        </w:rPr>
      </w:pPr>
    </w:p>
    <w:p>
      <w:pPr>
        <w:ind w:firstLine="4160" w:firstLineChars="1300"/>
        <w:rPr>
          <w:rFonts w:ascii="仿宋_GB2312" w:hAnsi="宋体" w:eastAsia="仿宋_GB2312" w:cs="Times New Roman"/>
          <w:sz w:val="32"/>
          <w:szCs w:val="32"/>
        </w:rPr>
      </w:pPr>
    </w:p>
    <w:p>
      <w:pPr>
        <w:ind w:firstLine="4160" w:firstLineChars="1300"/>
        <w:rPr>
          <w:rFonts w:ascii="仿宋_GB2312" w:hAnsi="宋体" w:eastAsia="仿宋_GB2312" w:cs="Times New Roman"/>
          <w:sz w:val="32"/>
          <w:szCs w:val="32"/>
        </w:rPr>
      </w:pPr>
    </w:p>
    <w:p>
      <w:pPr>
        <w:ind w:firstLine="4160" w:firstLineChars="1300"/>
        <w:rPr>
          <w:rFonts w:ascii="仿宋_GB2312" w:hAnsi="宋体" w:eastAsia="仿宋_GB2312" w:cs="Times New Roman"/>
          <w:sz w:val="32"/>
          <w:szCs w:val="32"/>
        </w:rPr>
      </w:pPr>
    </w:p>
    <w:p>
      <w:pPr>
        <w:ind w:firstLine="4160" w:firstLineChars="1300"/>
        <w:rPr>
          <w:rFonts w:ascii="仿宋_GB2312" w:hAnsi="宋体" w:eastAsia="仿宋_GB2312" w:cs="Times New Roman"/>
          <w:sz w:val="32"/>
          <w:szCs w:val="32"/>
        </w:rPr>
      </w:pPr>
    </w:p>
    <w:p>
      <w:pPr>
        <w:ind w:firstLine="4160" w:firstLineChars="1300"/>
        <w:rPr>
          <w:rFonts w:ascii="仿宋_GB2312" w:hAnsi="宋体" w:eastAsia="仿宋_GB2312" w:cs="Times New Roman"/>
          <w:sz w:val="32"/>
          <w:szCs w:val="32"/>
        </w:rPr>
      </w:pPr>
    </w:p>
    <w:p>
      <w:pPr>
        <w:ind w:firstLine="4160" w:firstLineChars="1300"/>
        <w:rPr>
          <w:rFonts w:ascii="仿宋_GB2312" w:hAnsi="宋体" w:eastAsia="仿宋_GB2312" w:cs="Times New Roman"/>
          <w:sz w:val="32"/>
          <w:szCs w:val="32"/>
        </w:rPr>
      </w:pPr>
    </w:p>
    <w:p>
      <w:pPr>
        <w:ind w:firstLine="4160" w:firstLineChars="1300"/>
        <w:rPr>
          <w:rFonts w:ascii="仿宋_GB2312" w:hAnsi="宋体" w:eastAsia="仿宋_GB2312" w:cs="Times New Roman"/>
          <w:sz w:val="32"/>
          <w:szCs w:val="32"/>
        </w:rPr>
      </w:pPr>
    </w:p>
    <w:p>
      <w:pPr>
        <w:tabs>
          <w:tab w:val="left" w:pos="3532"/>
        </w:tabs>
        <w:autoSpaceDE w:val="0"/>
        <w:autoSpaceDN w:val="0"/>
        <w:adjustRightInd w:val="0"/>
        <w:spacing w:line="560" w:lineRule="exact"/>
        <w:jc w:val="center"/>
        <w:rPr>
          <w:rFonts w:ascii="方正小标宋简体" w:hAnsi="宋体" w:eastAsia="方正小标宋简体" w:cs="Times New Roman"/>
          <w:b w:val="0"/>
          <w:bCs w:val="0"/>
          <w:sz w:val="36"/>
          <w:szCs w:val="36"/>
        </w:rPr>
      </w:pPr>
      <w:r>
        <w:rPr>
          <w:rFonts w:hint="eastAsia" w:ascii="方正小标宋简体" w:hAnsi="宋体" w:eastAsia="方正小标宋简体" w:cs="Times New Roman"/>
          <w:b w:val="0"/>
          <w:bCs w:val="0"/>
          <w:sz w:val="36"/>
          <w:szCs w:val="36"/>
        </w:rPr>
        <w:t>第五部分</w:t>
      </w:r>
    </w:p>
    <w:p>
      <w:pPr>
        <w:tabs>
          <w:tab w:val="left" w:pos="3532"/>
        </w:tabs>
        <w:autoSpaceDE w:val="0"/>
        <w:autoSpaceDN w:val="0"/>
        <w:adjustRightInd w:val="0"/>
        <w:spacing w:line="560" w:lineRule="exact"/>
        <w:jc w:val="center"/>
        <w:rPr>
          <w:rFonts w:hint="eastAsia" w:ascii="方正小标宋简体" w:hAnsi="宋体" w:eastAsia="方正小标宋简体" w:cs="Times New Roman"/>
          <w:b w:val="0"/>
          <w:bCs w:val="0"/>
          <w:sz w:val="36"/>
          <w:szCs w:val="36"/>
          <w:lang w:eastAsia="zh-CN"/>
        </w:rPr>
      </w:pPr>
      <w:r>
        <w:rPr>
          <w:rFonts w:hint="eastAsia" w:ascii="方正小标宋简体" w:hAnsi="宋体" w:eastAsia="方正小标宋简体" w:cs="Times New Roman"/>
          <w:b w:val="0"/>
          <w:bCs w:val="0"/>
          <w:sz w:val="36"/>
          <w:szCs w:val="36"/>
        </w:rPr>
        <w:t>内蒙古自治区特种设备检验研究院</w:t>
      </w:r>
      <w:r>
        <w:rPr>
          <w:rFonts w:hint="eastAsia" w:ascii="方正小标宋简体" w:hAnsi="宋体" w:eastAsia="方正小标宋简体" w:cs="Times New Roman"/>
          <w:b w:val="0"/>
          <w:bCs w:val="0"/>
          <w:sz w:val="36"/>
          <w:szCs w:val="36"/>
          <w:lang w:eastAsia="zh-CN"/>
        </w:rPr>
        <w:t>（本级）</w:t>
      </w:r>
    </w:p>
    <w:p>
      <w:pPr>
        <w:tabs>
          <w:tab w:val="left" w:pos="3532"/>
        </w:tabs>
        <w:autoSpaceDE w:val="0"/>
        <w:autoSpaceDN w:val="0"/>
        <w:adjustRightInd w:val="0"/>
        <w:spacing w:line="560" w:lineRule="exact"/>
        <w:jc w:val="center"/>
        <w:rPr>
          <w:rFonts w:ascii="方正小标宋简体" w:hAnsi="宋体" w:eastAsia="方正小标宋简体" w:cs="Times New Roman"/>
          <w:b w:val="0"/>
          <w:bCs w:val="0"/>
          <w:sz w:val="36"/>
          <w:szCs w:val="36"/>
        </w:rPr>
      </w:pPr>
      <w:r>
        <w:rPr>
          <w:rFonts w:hint="eastAsia" w:ascii="方正小标宋简体" w:hAnsi="宋体" w:eastAsia="方正小标宋简体" w:cs="Times New Roman"/>
          <w:b w:val="0"/>
          <w:bCs w:val="0"/>
          <w:sz w:val="36"/>
          <w:szCs w:val="36"/>
        </w:rPr>
        <w:t>2022年部门预算公开表</w:t>
      </w: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jc w:val="center"/>
        <w:rPr>
          <w:rFonts w:ascii="方正小标宋简体" w:hAnsi="宋体" w:eastAsia="方正小标宋简体" w:cs="Times New Roman"/>
          <w:bCs/>
          <w:sz w:val="36"/>
          <w:szCs w:val="36"/>
        </w:rPr>
      </w:pP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一、收支总表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二、收入总表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三、支出总表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四、财政拨款收支总表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五、一般公共预算支出表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六、一般公共预算基本支出表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七、一般公共预算“三公”经费支出表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八、政府性基金预算支出表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九、国有资本经营预算支出表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十、项目支出表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十一、项目绩效目标表</w:t>
      </w:r>
    </w:p>
    <w:p>
      <w:pPr>
        <w:tabs>
          <w:tab w:val="left" w:pos="3532"/>
        </w:tabs>
        <w:autoSpaceDE w:val="0"/>
        <w:autoSpaceDN w:val="0"/>
        <w:adjustRightIn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十二、政府采购预算表</w:t>
      </w: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方正小标宋简体" w:hAnsi="宋体" w:eastAsia="方正小标宋简体"/>
          <w:bCs/>
          <w:sz w:val="36"/>
          <w:szCs w:val="36"/>
        </w:rPr>
      </w:pPr>
    </w:p>
    <w:p>
      <w:pPr>
        <w:tabs>
          <w:tab w:val="left" w:pos="3532"/>
        </w:tabs>
        <w:autoSpaceDE w:val="0"/>
        <w:autoSpaceDN w:val="0"/>
        <w:adjustRightInd w:val="0"/>
        <w:spacing w:line="560" w:lineRule="exact"/>
        <w:rPr>
          <w:rFonts w:ascii="仿宋_GB2312" w:eastAsia="仿宋_GB2312"/>
          <w:sz w:val="32"/>
          <w:szCs w:val="32"/>
        </w:rPr>
      </w:pPr>
      <w:r>
        <w:rPr>
          <w:rFonts w:hint="eastAsia" w:ascii="仿宋_GB2312" w:eastAsia="仿宋_GB2312"/>
          <w:sz w:val="32"/>
          <w:szCs w:val="32"/>
        </w:rPr>
        <w:t>备注：1、预算公开表见附件</w:t>
      </w:r>
    </w:p>
    <w:p>
      <w:pPr>
        <w:tabs>
          <w:tab w:val="left" w:pos="3532"/>
        </w:tabs>
        <w:autoSpaceDE w:val="0"/>
        <w:autoSpaceDN w:val="0"/>
        <w:adjustRightInd w:val="0"/>
        <w:spacing w:line="560" w:lineRule="exact"/>
        <w:rPr>
          <w:rFonts w:ascii="黑体" w:hAnsi="黑体" w:eastAsia="黑体" w:cs="黑体"/>
          <w:bCs/>
          <w:sz w:val="32"/>
          <w:szCs w:val="32"/>
        </w:rPr>
      </w:pPr>
      <w:r>
        <w:rPr>
          <w:rFonts w:hint="eastAsia" w:ascii="仿宋_GB2312" w:eastAsia="仿宋_GB2312"/>
          <w:sz w:val="32"/>
          <w:szCs w:val="32"/>
        </w:rPr>
        <w:t xml:space="preserve">      2、按预算公开编制要求，预算公开报告及公开表的计数单位为万元，而2022年预算编制是以元为计数单位，因此小数点后第二位存在四舍五入的差异。</w:t>
      </w:r>
    </w:p>
    <w:p>
      <w:pPr>
        <w:rPr>
          <w:rFonts w:ascii="微软雅黑" w:hAnsi="微软雅黑" w:eastAsia="微软雅黑"/>
          <w:sz w:val="28"/>
          <w:szCs w:val="28"/>
        </w:rPr>
      </w:pPr>
    </w:p>
    <w:p>
      <w:pPr>
        <w:rPr>
          <w:rFonts w:ascii="微软雅黑" w:hAnsi="微软雅黑" w:eastAsia="微软雅黑"/>
          <w:sz w:val="28"/>
          <w:szCs w:val="28"/>
        </w:rPr>
      </w:pPr>
    </w:p>
    <w:p>
      <w:pPr>
        <w:rPr>
          <w:rFonts w:ascii="微软雅黑" w:hAnsi="微软雅黑" w:eastAsia="微软雅黑"/>
          <w:sz w:val="28"/>
          <w:szCs w:val="28"/>
        </w:rPr>
      </w:pPr>
    </w:p>
    <w:sectPr>
      <w:pgSz w:w="11906" w:h="16838"/>
      <w:pgMar w:top="1440" w:right="1304"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50B39"/>
    <w:multiLevelType w:val="multilevel"/>
    <w:tmpl w:val="07E50B39"/>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0D5A"/>
    <w:rsid w:val="00035418"/>
    <w:rsid w:val="00057417"/>
    <w:rsid w:val="000C3B80"/>
    <w:rsid w:val="000D66D5"/>
    <w:rsid w:val="000E5058"/>
    <w:rsid w:val="00132D73"/>
    <w:rsid w:val="0015444E"/>
    <w:rsid w:val="00180D5A"/>
    <w:rsid w:val="001C12B9"/>
    <w:rsid w:val="00201F7C"/>
    <w:rsid w:val="00212250"/>
    <w:rsid w:val="00224505"/>
    <w:rsid w:val="00227177"/>
    <w:rsid w:val="00261B37"/>
    <w:rsid w:val="002B229D"/>
    <w:rsid w:val="00313F07"/>
    <w:rsid w:val="00327753"/>
    <w:rsid w:val="00412E05"/>
    <w:rsid w:val="00434CCD"/>
    <w:rsid w:val="0048524D"/>
    <w:rsid w:val="004B13F1"/>
    <w:rsid w:val="004D3985"/>
    <w:rsid w:val="004F56D4"/>
    <w:rsid w:val="00507205"/>
    <w:rsid w:val="00523ECC"/>
    <w:rsid w:val="00587D9D"/>
    <w:rsid w:val="0063778D"/>
    <w:rsid w:val="006830B0"/>
    <w:rsid w:val="006A0368"/>
    <w:rsid w:val="006E02B4"/>
    <w:rsid w:val="00724462"/>
    <w:rsid w:val="008A1E37"/>
    <w:rsid w:val="00902766"/>
    <w:rsid w:val="009044CD"/>
    <w:rsid w:val="00917C3B"/>
    <w:rsid w:val="009317C4"/>
    <w:rsid w:val="0094323F"/>
    <w:rsid w:val="00954B18"/>
    <w:rsid w:val="00976B7A"/>
    <w:rsid w:val="009A686B"/>
    <w:rsid w:val="00A53458"/>
    <w:rsid w:val="00A96D51"/>
    <w:rsid w:val="00AD7A73"/>
    <w:rsid w:val="00AF7B0F"/>
    <w:rsid w:val="00B4685C"/>
    <w:rsid w:val="00BB76F7"/>
    <w:rsid w:val="00BF33EE"/>
    <w:rsid w:val="00C104C6"/>
    <w:rsid w:val="00C837CF"/>
    <w:rsid w:val="00C96F31"/>
    <w:rsid w:val="00D042E5"/>
    <w:rsid w:val="00D703FE"/>
    <w:rsid w:val="00D92042"/>
    <w:rsid w:val="00E34BAA"/>
    <w:rsid w:val="00E77308"/>
    <w:rsid w:val="00F02B19"/>
    <w:rsid w:val="00F10C0B"/>
    <w:rsid w:val="00F24B93"/>
    <w:rsid w:val="00F83F15"/>
    <w:rsid w:val="00FA5ECD"/>
    <w:rsid w:val="00FC4D6D"/>
    <w:rsid w:val="03864826"/>
    <w:rsid w:val="077247E6"/>
    <w:rsid w:val="1C2F49B6"/>
    <w:rsid w:val="222671BF"/>
    <w:rsid w:val="2F655284"/>
    <w:rsid w:val="3719169F"/>
    <w:rsid w:val="3EDA1BB3"/>
    <w:rsid w:val="3F861EC4"/>
    <w:rsid w:val="42D57A4D"/>
    <w:rsid w:val="503D794D"/>
    <w:rsid w:val="56F03878"/>
    <w:rsid w:val="575F40D9"/>
    <w:rsid w:val="61CF580E"/>
    <w:rsid w:val="699D5CDB"/>
    <w:rsid w:val="777E1077"/>
    <w:rsid w:val="7CCB67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kern w:val="2"/>
      <w:sz w:val="18"/>
      <w:szCs w:val="18"/>
    </w:rPr>
  </w:style>
  <w:style w:type="character" w:customStyle="1" w:styleId="9">
    <w:name w:val="页脚 Char"/>
    <w:basedOn w:val="6"/>
    <w:link w:val="3"/>
    <w:semiHidden/>
    <w:qFormat/>
    <w:uiPriority w:val="99"/>
    <w:rPr>
      <w:kern w:val="2"/>
      <w:sz w:val="18"/>
      <w:szCs w:val="18"/>
    </w:rPr>
  </w:style>
  <w:style w:type="paragraph" w:styleId="10">
    <w:name w:val="List Paragraph"/>
    <w:basedOn w:val="1"/>
    <w:qFormat/>
    <w:uiPriority w:val="99"/>
    <w:pPr>
      <w:ind w:firstLine="420" w:firstLineChars="200"/>
    </w:pPr>
  </w:style>
  <w:style w:type="character" w:customStyle="1" w:styleId="11">
    <w:name w:val="日期 Char"/>
    <w:basedOn w:val="6"/>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18</Pages>
  <Words>810</Words>
  <Characters>4621</Characters>
  <Lines>38</Lines>
  <Paragraphs>10</Paragraphs>
  <TotalTime>3</TotalTime>
  <ScaleCrop>false</ScaleCrop>
  <LinksUpToDate>false</LinksUpToDate>
  <CharactersWithSpaces>5421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2022-02-16T00:30:00Z</dcterms:created>
  <dc:creator>lenovo</dc:creator>
  <cp:lastModifiedBy>jcc</cp:lastModifiedBy>
  <dcterms:modified xsi:type="dcterms:W3CDTF">2022-02-22T08:53:13Z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33D939F30E4D46AD904B43FA4B8C6F5F</vt:lpwstr>
  </property>
</Properties>
</file>